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智能体数据飞轮详细设计报告</w:t>
      </w:r>
    </w:p>
    <w:p>
      <w:pPr>
        <w:pStyle w:val="Subtitle"/>
      </w:pPr>
      <w:r>
        <w:t>真实数据版  从业务理解到工程实现</w:t>
      </w:r>
    </w:p>
    <w:p>
      <w:pPr>
        <w:pStyle w:val="Caption"/>
      </w:pPr>
      <w:r>
        <w:rPr>
          <w:b w:val="0"/>
        </w:rPr>
        <w:t>版本 V1.0    编制日期 2026年10月16日</w:t>
      </w:r>
    </w:p>
    <w:p>
      <w:r>
        <w:rPr>
          <w:b w:val="0"/>
        </w:rPr>
        <w:t>实现基线为当前七页看板与 agent-data-flywheel Skill；数据基线为已保存的2026年7月至9月导出样本。</w:t>
      </w:r>
    </w:p>
    <w:p>
      <w:r>
        <w:rPr>
          <w:b w:val="0"/>
        </w:rPr>
        <w:t>本报告面向产品负责人、运营分析人员和工程团队。它说明为什么要建设数据飞轮、统计结果如何解释、AI 在什么证据下作出判断，以及每一个看板数字如何回查到原始记录。前半部分先建立业务理解，后半部分进入数据契约、脚本、接口、部署和验收。</w:t>
      </w:r>
    </w:p>
    <w:p>
      <w:r>
        <w:rPr>
          <w:b w:val="0"/>
        </w:rPr>
        <w:t>当前版本已完成四类日志解析、逐条 AI 评审、项目月度统计及全指标来源下钻。修复登记、版本发布和复测结果尚未接入，因此现阶段可以发现与解释问题，不能据此宣称修复闭环已经完成。</w:t>
      </w:r>
    </w:p>
    <w:p>
      <w:pPr>
        <w:pStyle w:val="Heading2"/>
      </w:pPr>
      <w:r>
        <w:t>阅读路线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1800"/>
        <w:gridCol w:w="6480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233B53"/>
          </w:tcPr>
          <w:p>
            <w:pPr>
              <w:keepNext/>
              <w:spacing w:after="0" w:line="269" w:lineRule="auto"/>
            </w:pPr>
            <w:r>
              <w:rPr>
                <w:b/>
                <w:color w:val="FFFFFF"/>
                <w:sz w:val="19"/>
              </w:rPr>
              <w:t>阅读层次</w:t>
            </w:r>
          </w:p>
        </w:tc>
        <w:tc>
          <w:tcPr>
            <w:tcW w:type="dxa" w:w="180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233B53"/>
          </w:tcPr>
          <w:p>
            <w:pPr>
              <w:keepNext/>
              <w:spacing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章节</w:t>
            </w:r>
          </w:p>
        </w:tc>
        <w:tc>
          <w:tcPr>
            <w:tcW w:type="dxa" w:w="648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233B53"/>
          </w:tcPr>
          <w:p>
            <w:pPr>
              <w:keepNext/>
              <w:spacing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读完可以回答的问题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业务入门</w:t>
            </w:r>
          </w:p>
        </w:tc>
        <w:tc>
          <w:tcPr>
            <w:tcW w:type="dxa" w:w="180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01 至 03</w:t>
            </w:r>
          </w:p>
        </w:tc>
        <w:tc>
          <w:tcPr>
            <w:tcW w:type="dxa" w:w="648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为什么建设飞轮  当前有什么数据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分析口径</w:t>
            </w:r>
          </w:p>
        </w:tc>
        <w:tc>
          <w:tcPr>
            <w:tcW w:type="dxa" w:w="180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04 至 07</w:t>
            </w:r>
          </w:p>
        </w:tc>
        <w:tc>
          <w:tcPr>
            <w:tcW w:type="dxa" w:w="648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有效问题 支持率 价值和月度数据怎样解释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产品与证据</w:t>
            </w:r>
          </w:p>
        </w:tc>
        <w:tc>
          <w:tcPr>
            <w:tcW w:type="dxa" w:w="180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08 至 10</w:t>
            </w:r>
          </w:p>
        </w:tc>
        <w:tc>
          <w:tcPr>
            <w:tcW w:type="dxa" w:w="648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怎样使用看板  怎样回到原文  哪些模块协作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工程实现</w:t>
            </w:r>
          </w:p>
        </w:tc>
        <w:tc>
          <w:tcPr>
            <w:tcW w:type="dxa" w:w="180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11 至 15</w:t>
            </w:r>
          </w:p>
        </w:tc>
        <w:tc>
          <w:tcPr>
            <w:tcW w:type="dxa" w:w="648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数据怎样解析 校验 交付和运行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9"/>
              </w:rPr>
              <w:t>验收与演进</w:t>
            </w:r>
          </w:p>
        </w:tc>
        <w:tc>
          <w:tcPr>
            <w:tcW w:type="dxa" w:w="180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9"/>
              </w:rPr>
              <w:t>16 至 18 及附录</w:t>
            </w:r>
          </w:p>
        </w:tc>
        <w:tc>
          <w:tcPr>
            <w:tcW w:type="dxa" w:w="648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9"/>
              </w:rPr>
              <w:t>当前验证到哪一步  怎样补齐闭环</w:t>
            </w:r>
          </w:p>
        </w:tc>
      </w:tr>
    </w:tbl>
    <w:p>
      <w:pPr>
        <w:pStyle w:val="Caption"/>
      </w:pPr>
      <w:r>
        <w:rPr>
          <w:b w:val="0"/>
        </w:rPr>
      </w:r>
    </w:p>
    <w:p>
      <w:r>
        <w:rPr>
          <w:b w:val="0"/>
        </w:rPr>
        <w:t>报告中的“已实现”以当前源码和保存产物为准；“建议”“规划”表示后续设计，不作为现有功能承诺。全部业务数值来自本地导出文件及其分析报告，参考资料见附录。</w:t>
      </w:r>
    </w:p>
    <w:p>
      <w:pPr>
        <w:pStyle w:val="Heading1"/>
      </w:pPr>
      <w:r>
        <w:t>01 设计结论与当前能力</w:t>
      </w:r>
    </w:p>
    <w:p>
      <w:r>
        <w:rPr>
          <w:b w:val="0"/>
        </w:rPr>
        <w:t>本方案采用 Skill 组织整个分析流程：确定性脚本负责解析、计数、去重和引用校验；当前 AI 助手负责阅读问题与实际响应、判断业务语义；静态看板负责展示指标、记录和证据。使用者提供输入目录和分析任务后，AI 按 Skill 指令调用这些脚本并写出评审文件。</w:t>
      </w:r>
    </w:p>
    <w:p>
      <w:r>
        <w:rPr>
          <w:b w:val="0"/>
        </w:rPr>
        <w:t>Skill 文件夹本身不包含常驻模型服务。单独运行 Python 脚本可以完成确定性统计和页面生成，语义标签仍需要 AI 读取批次后填写。这一分工把可复算部分固定下来，也让业务判断保留明确的原因和证据。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2736"/>
        <w:gridCol w:w="3888"/>
      </w:tblGrid>
      <w:tr>
        <w:trPr>
          <w:cantSplit/>
          <w:tblHeader/>
        </w:trPr>
        <w:tc>
          <w:tcPr>
            <w:tcW w:type="dxa" w:w="331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233B53"/>
          </w:tcPr>
          <w:p>
            <w:pPr>
              <w:keepNext/>
              <w:spacing w:after="0" w:line="269" w:lineRule="auto"/>
            </w:pPr>
            <w:r>
              <w:rPr>
                <w:b/>
                <w:color w:val="FFFFFF"/>
                <w:sz w:val="19"/>
              </w:rPr>
              <w:t>当前观察</w:t>
            </w:r>
          </w:p>
        </w:tc>
        <w:tc>
          <w:tcPr>
            <w:tcW w:type="dxa" w:w="273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233B53"/>
          </w:tcPr>
          <w:p>
            <w:pPr>
              <w:keepNext/>
              <w:spacing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结果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233B53"/>
          </w:tcPr>
          <w:p>
            <w:pPr>
              <w:keepNext/>
              <w:spacing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解释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四类规范化来源记录</w:t>
            </w:r>
          </w:p>
        </w:tc>
        <w:tc>
          <w:tcPr>
            <w:tcW w:type="dxa" w:w="273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19,991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日志对象总量 不能作为用户数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默认问题集已评审</w:t>
            </w:r>
          </w:p>
        </w:tc>
        <w:tc>
          <w:tcPr>
            <w:tcW w:type="dxa" w:w="273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509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468 条对话及 41 条孤立反馈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对话中的有效问题</w:t>
            </w:r>
          </w:p>
        </w:tc>
        <w:tc>
          <w:tcPr>
            <w:tcW w:type="dxa" w:w="273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445 / 468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AI 按可辨识业务需求判断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有效对话的实际响应支持</w:t>
            </w:r>
          </w:p>
        </w:tc>
        <w:tc>
          <w:tcPr>
            <w:tcW w:type="dxa" w:w="273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271 / 445  60.90%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未知与部分支持均在分母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项目与会话</w:t>
            </w:r>
          </w:p>
        </w:tc>
        <w:tc>
          <w:tcPr>
            <w:tcW w:type="dxa" w:w="273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8 个项目  85 个会话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缺少稳定用户标识 人数未知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 w:val="0"/>
              <w:spacing w:after="0" w:line="269" w:lineRule="auto"/>
            </w:pPr>
            <w:r>
              <w:rPr>
                <w:sz w:val="19"/>
              </w:rPr>
              <w:t>业务价值候选</w:t>
            </w:r>
          </w:p>
        </w:tc>
        <w:tc>
          <w:tcPr>
            <w:tcW w:type="dxa" w:w="273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9"/>
              </w:rPr>
              <w:t>443 条有效对话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9"/>
              </w:rPr>
              <w:t>评价问题用途 不等于待修复数量</w:t>
            </w:r>
          </w:p>
        </w:tc>
      </w:tr>
    </w:tbl>
    <w:p>
      <w:pPr>
        <w:pStyle w:val="Caption"/>
      </w:pPr>
      <w:r>
        <w:rPr>
          <w:b w:val="0"/>
        </w:rPr>
      </w:r>
    </w:p>
    <w:p>
      <w:pPr>
        <w:keepNext/>
      </w:pPr>
      <w:r>
        <w:rPr>
          <w:b w:val="0"/>
        </w:rPr>
        <w:t>这些结果表明，当前数据足以回答“哪些项目在使用、主要业务请求是什么、本次响应是否覆盖诉求、有哪些值得复核的缺口”。产品能力全貌、真实准确率、RAG 召回率和修复成功率还需要额外资料，报告不补造这些指标。</w:t>
      </w:r>
    </w:p>
    <w:p>
      <w:pPr>
        <w:pStyle w:val="Caption"/>
        <w:spacing w:before="40"/>
      </w:pPr>
      <w:r>
        <w:rPr>
          <w:b w:val="0"/>
        </w:rPr>
        <w:t>依据 R3 analysis.sources 与 analysis.usage  R5 review.primary_metrics 和 review.coverage</w:t>
      </w:r>
    </w:p>
    <w:p>
      <w:pPr>
        <w:pStyle w:val="Heading1"/>
      </w:pPr>
      <w:r>
        <w:t>02 从业务目标理解数据飞轮</w:t>
      </w:r>
    </w:p>
    <w:p>
      <w:pPr>
        <w:pStyle w:val="Heading2"/>
      </w:pPr>
      <w:r>
        <w:t>02 1 飞轮的输入和输出</w:t>
      </w:r>
    </w:p>
    <w:p>
      <w:r>
        <w:rPr>
          <w:b w:val="0"/>
        </w:rPr>
        <w:t>一条用户问题会留下对话链路、模型请求、安全检查和可能的用户反馈。将这些记录沉淀下来，可以从“发生过什么”走向“哪些需求值得改进”。当改进完成后，再用相同需求复测并采集新的结果，数据才能反过来验证能力变化。这个持续循环构成这里所说的数据飞轮。</w:t>
      </w:r>
    </w:p>
    <w:p>
      <w:r>
        <w:rPr>
          <w:b w:val="0"/>
        </w:rPr>
        <w:t>例如，用户要求查询指定 OLT 下所有 ONU 近一小时的接收光功率。日志可能显示请求被改写、指标映射被选择、查询被执行以及结果被返回。分析需要先确认原诉求是否保留，再看本次输出是否覆盖它，最后决定是否应补映射、改意图识别或仅增加澄清提示。每一步都应能回到证据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2945331"/>
            <wp:docPr id="1" name="Picture 1" descr="图1 数据飞轮当前能力与后续闭环分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iness_lo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45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 w:val="0"/>
        </w:rPr>
        <w:t>图1 数据飞轮当前能力与后续闭环分工</w:t>
      </w:r>
    </w:p>
    <w:p>
      <w:pPr>
        <w:pStyle w:val="Heading2"/>
      </w:pPr>
      <w:r>
        <w:t>02 2 本版解决的业务问题</w:t>
      </w:r>
    </w:p>
    <w:p>
      <w:r>
        <w:rPr>
          <w:b w:val="0"/>
        </w:rPr>
        <w:t>运营人员需要按项目和月份了解使用范围；产品人员需要区分未满足需求、合理澄清与技术失败；工程人员需要找到问题对应的原始链路。三类任务使用同一套底表，但观察单位不同，不能把日志条数、会话数、业务问题数混成一个总量。</w:t>
      </w:r>
    </w:p>
    <w:p>
      <w:r>
        <w:rPr>
          <w:b w:val="0"/>
        </w:rPr>
        <w:t>本版将改进讨论建立在可核对的记录上。发现一个不支持响应后，先查看原因及具体诉求，再选择需要复核的样本。业务价值较高且具有明确覆盖缺口的问题可以优先进入评估；合理的安全拒答或缺参澄清应保留解释，不自动作为产品缺陷。</w:t>
      </w:r>
    </w:p>
    <w:p>
      <w:pPr>
        <w:pStyle w:val="Heading2"/>
      </w:pPr>
      <w:r>
        <w:t>02 3 本版的闭环边界</w:t>
      </w:r>
    </w:p>
    <w:p>
      <w:r>
        <w:rPr>
          <w:b w:val="0"/>
        </w:rPr>
        <w:t>当前已实现采集材料分析、语义评审、候选识别、建议交付与来源追溯。人工确认台账、修复版本、复测执行器和发布后对照尚未实现。后续应把这些环节接到同一条问题证据链上，而不能把一个人工 mark 或一次 END 状态当作已修复。</w:t>
      </w:r>
    </w:p>
    <w:p>
      <w:pPr>
        <w:pStyle w:val="Heading1"/>
      </w:pPr>
      <w:r>
        <w:t>03 真实数据范围与统计单位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1008"/>
        <w:gridCol w:w="4464"/>
        <w:gridCol w:w="2880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233B53"/>
          </w:tcPr>
          <w:p>
            <w:pPr>
              <w:keepNext/>
              <w:spacing w:after="0" w:line="269" w:lineRule="auto"/>
            </w:pPr>
            <w:r>
              <w:rPr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233B53"/>
          </w:tcPr>
          <w:p>
            <w:pPr>
              <w:keepNext/>
              <w:spacing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对象数</w:t>
            </w:r>
          </w:p>
        </w:tc>
        <w:tc>
          <w:tcPr>
            <w:tcW w:type="dxa" w:w="446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233B53"/>
          </w:tcPr>
          <w:p>
            <w:pPr>
              <w:keepNext/>
              <w:spacing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主要用途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233B53"/>
          </w:tcPr>
          <w:p>
            <w:pPr>
              <w:keepNext/>
              <w:spacing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月份时间字段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用户反馈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42</w:t>
            </w:r>
          </w:p>
        </w:tc>
        <w:tc>
          <w:tcPr>
            <w:tcW w:type="dxa" w:w="446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评价 标记 原因与问题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createTime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安全护栏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3280</w:t>
            </w:r>
          </w:p>
        </w:tc>
        <w:tc>
          <w:tcPr>
            <w:tcW w:type="dxa" w:w="446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请求及检查结果的合法性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updateTime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对话详情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468</w:t>
            </w:r>
          </w:p>
        </w:tc>
        <w:tc>
          <w:tcPr>
            <w:tcW w:type="dxa" w:w="446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业务问题及回答执行链路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优先 askTime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 w:val="0"/>
              <w:spacing w:after="0" w:line="269" w:lineRule="auto"/>
            </w:pPr>
            <w:r>
              <w:rPr>
                <w:sz w:val="19"/>
              </w:rPr>
              <w:t>推理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9"/>
              </w:rPr>
              <w:t>16201</w:t>
            </w:r>
          </w:p>
        </w:tc>
        <w:tc>
          <w:tcPr>
            <w:tcW w:type="dxa" w:w="446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9"/>
              </w:rPr>
              <w:t>模型请求 回复与流式片段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9"/>
              </w:rPr>
              <w:t>updateTime</w:t>
            </w:r>
          </w:p>
        </w:tc>
      </w:tr>
    </w:tbl>
    <w:p>
      <w:pPr>
        <w:pStyle w:val="Caption"/>
      </w:pPr>
      <w:r>
        <w:rPr>
          <w:b w:val="0"/>
        </w:rPr>
      </w:r>
    </w:p>
    <w:p>
      <w:r>
        <w:rPr>
          <w:b w:val="0"/>
        </w:rPr>
        <w:t>原始文件是 JSON 对象数组。对象数与文本行数不同，一个对象可能跨越许多物理行；行号用于定位，不作为记录计数。本批四类记录在当前去重规则下未淘汰重复日志，但系统仍保留去重逻辑，以处理之后可能出现的重试或多份快照。</w:t>
      </w:r>
    </w:p>
    <w:p>
      <w:r>
        <w:rPr>
          <w:b w:val="0"/>
        </w:rPr>
        <w:t>对话中的 detail.id 用来识别独立业务详情，conversationId 用来识别多轮会话，外层 requestId 用来识别当前来源的网关请求。一个业务请求可以包含多个回答节点，一个会话可以包含多轮问题。同样，独立推理和护栏日志可能记录内部调用，不能与对话量直接组成业务转换漏斗。</w:t>
      </w:r>
    </w:p>
    <w:p>
      <w:r>
        <w:rPr>
          <w:b w:val="0"/>
        </w:rPr>
        <w:t>本批反馈共有42条，仅1条能够按 chatId 与对话 detail.id 确定关联，另41条作为孤立反馈保留。相似文本、同一项目和相近时间都不足以建立确定关联。未建立关联时，反馈中的问题和评价仍有分析价值，但缺少对应回答就无法判断本次响应覆盖。</w:t>
      </w:r>
    </w:p>
    <w:p>
      <w:pPr>
        <w:keepNext/>
      </w:pPr>
      <w:r>
        <w:rPr>
          <w:b w:val="0"/>
        </w:rPr>
        <w:t>本报告沿用真实文件及现有字段文档中的项目名称和标识符。旧文档和参考图片用于理解业务背景及布局，实际数量以当前四份 JSON 计算结果为准。月份覆盖7月至9月，并不代表覆盖这三个完整自然月或全部线上请求。</w:t>
      </w:r>
    </w:p>
    <w:p>
      <w:pPr>
        <w:pStyle w:val="Caption"/>
        <w:spacing w:before="40"/>
      </w:pPr>
      <w:r>
        <w:rPr>
          <w:b w:val="0"/>
        </w:rPr>
        <w:t>依据 R0 四类原始 JSON  R3 provenance.files sources records 与反馈关联指标</w:t>
      </w:r>
    </w:p>
    <w:p>
      <w:pPr>
        <w:pStyle w:val="Heading1"/>
      </w:pPr>
      <w:r>
        <w:t>04 先区分五个评审维度</w:t>
      </w:r>
    </w:p>
    <w:p>
      <w:r>
        <w:rPr>
          <w:b w:val="0"/>
        </w:rPr>
        <w:t>同一个问题可以“有效、当前响应未满足、产品能力未知、正确性未知、具有较高业务价值”。这些标签同时出现是合理的，因为它们回答不同问题。将各维度拆开后，支持率和改进清单才有明确含义。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3456"/>
        <w:gridCol w:w="4320"/>
      </w:tblGrid>
      <w:tr>
        <w:trPr>
          <w:cantSplit/>
          <w:tblHeader/>
        </w:trPr>
        <w:tc>
          <w:tcPr>
            <w:tcW w:type="dxa" w:w="216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233B53"/>
          </w:tcPr>
          <w:p>
            <w:pPr>
              <w:keepNext/>
              <w:spacing w:after="0" w:line="269" w:lineRule="auto"/>
            </w:pPr>
            <w:r>
              <w:rPr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233B53"/>
          </w:tcPr>
          <w:p>
            <w:pPr>
              <w:keepNext/>
              <w:spacing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核心判断</w:t>
            </w:r>
          </w:p>
        </w:tc>
        <w:tc>
          <w:tcPr>
            <w:tcW w:type="dxa" w:w="432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233B53"/>
          </w:tcPr>
          <w:p>
            <w:pPr>
              <w:keepNext/>
              <w:spacing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本版证据要求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有效性 validity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是否表达可辨识业务需求</w:t>
            </w:r>
          </w:p>
        </w:tc>
        <w:tc>
          <w:tcPr>
            <w:tcW w:type="dxa" w:w="432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问题及必要上下文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实际响应 response_support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这一次回答是否覆盖主要诉求</w:t>
            </w:r>
          </w:p>
        </w:tc>
        <w:tc>
          <w:tcPr>
            <w:tcW w:type="dxa" w:w="432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实际回答 执行结果 或明确拒答证据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产品能力 support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当前版本是否具备所需能力</w:t>
            </w:r>
          </w:p>
        </w:tc>
        <w:tc>
          <w:tcPr>
            <w:tcW w:type="dxa" w:w="432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使用者提供的能力规则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正确性 correctness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答案及结论是否正确</w:t>
            </w:r>
          </w:p>
        </w:tc>
        <w:tc>
          <w:tcPr>
            <w:tcW w:type="dxa" w:w="432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绑定记录的人工标签或标准答案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9"/>
              </w:rPr>
              <w:t>业务价值 value_level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9"/>
              </w:rPr>
              <w:t>问题对运维工作的用途</w:t>
            </w:r>
          </w:p>
        </w:tc>
        <w:tc>
          <w:tcPr>
            <w:tcW w:type="dxa" w:w="432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9"/>
              </w:rPr>
              <w:t>对象 指标 动作及业务目的</w:t>
            </w:r>
          </w:p>
        </w:tc>
      </w:tr>
    </w:tbl>
    <w:p>
      <w:pPr>
        <w:pStyle w:val="Caption"/>
      </w:pPr>
      <w:r>
        <w:rPr>
          <w:b w:val="0"/>
        </w:rPr>
      </w:r>
    </w:p>
    <w:p>
      <w:pPr>
        <w:pStyle w:val="Heading2"/>
      </w:pPr>
      <w:r>
        <w:t>04 1 有效问题与意图</w:t>
      </w:r>
    </w:p>
    <w:p>
      <w:r>
        <w:rPr>
          <w:b w:val="0"/>
        </w:rPr>
        <w:t>有效问题指能够辨认业务目的的需求。查询设备数量、定位断网原因、筛选告警和生成报告都可能有效。缺少某个参数时，业务目的仍可能清楚；无法理解的片段则保留有效性未知。问候、无业务内容的符号或明显攻击式输入，不能因为系统有响应就算作有效业务需求。</w:t>
      </w:r>
    </w:p>
    <w:p>
      <w:r>
        <w:rPr>
          <w:b w:val="0"/>
        </w:rPr>
        <w:t>意图使用 data_query、diagnosis、knowledge、report、conversation、other 或 uncertain，可多选。问数关注业务数据的查询、汇总、比较和分析；报告或诊断不必都属于问数。多意图记录只计算一次问题，按意图分布统计时可能进入多个类别。</w:t>
      </w:r>
    </w:p>
    <w:p>
      <w:pPr>
        <w:pStyle w:val="Heading2"/>
      </w:pPr>
      <w:r>
        <w:t>04 2 实际响应支持的五种状态</w:t>
      </w:r>
    </w:p>
    <w:p>
      <w:r>
        <w:rPr>
          <w:b w:val="0"/>
        </w:rPr>
        <w:t>supported 表示实际输出已执行或回答主要诉求。unsupported 表示本轮有明确拒答、执行失败或主要诉求未覆盖的证据。partial 需要明确指出已覆盖的子诉求和未覆盖部分；执行了相似查询并不足以证明部分覆盖。uncertain 用于缺少关键结果、截断或上下文不足；not_applicable 主要用于没有可评业务需求的记录。</w:t>
      </w:r>
    </w:p>
    <w:p>
      <w:r>
        <w:rPr>
          <w:b w:val="0"/>
        </w:rPr>
        <w:t>HTTP 200 说明接口层状态，END 或 finished 说明流程标志，都不能单独证明完成业务请求。空结果可能是合法查询结果，也不能单凭空集判失败。原对象或时间范围被改写后，即使返回了数据，也需要核对是否仍覆盖用户诉求。</w:t>
      </w:r>
    </w:p>
    <w:p>
      <w:pPr>
        <w:pStyle w:val="Heading2"/>
      </w:pPr>
      <w:r>
        <w:t>04 3 业务价值与 BadCase</w:t>
      </w:r>
    </w:p>
    <w:p>
      <w:r>
        <w:rPr>
          <w:b w:val="0"/>
        </w:rPr>
        <w:t>high 用于对象及指标或动作清楚、可直接支持运维决策或故障处置的问题；medium 用于业务目的可辨但范围或条件还需补全的问题；none 表示未识别业务用途；uncertain 表示材料不足。正常完成的告警查询和故障诊断仍可有高价值。价值标签不等于修复优先级，也不是经济收益的证明。</w:t>
      </w:r>
    </w:p>
    <w:p>
      <w:pPr>
        <w:keepNext/>
      </w:pPr>
      <w:r>
        <w:rPr>
          <w:b w:val="0"/>
        </w:rPr>
        <w:t>BadCase 分为 confirmed、candidate、not_observed 和 uncertain。差评、标记以及具体异常可以形成候选，confirmed 需要外部错误确认依据。当前没有能力规则和正确性金标，因此产品能力与准确率保留未知；对话中的57条候选不能写成57个已确认缺陷。</w:t>
      </w:r>
    </w:p>
    <w:p>
      <w:pPr>
        <w:pStyle w:val="Caption"/>
        <w:spacing w:before="40"/>
      </w:pPr>
      <w:r>
        <w:rPr>
          <w:b w:val="0"/>
        </w:rPr>
        <w:t>依据 R1 Skill  R10 review-rubric.md  R5 review.items 与 primary_metrics</w:t>
      </w:r>
    </w:p>
    <w:p>
      <w:pPr>
        <w:pStyle w:val="Heading1"/>
      </w:pPr>
      <w:r>
        <w:t>05 主指标与计算口径</w:t>
      </w:r>
    </w:p>
    <w:p>
      <w:pPr>
        <w:pStyle w:val="Heading2"/>
      </w:pPr>
      <w:r>
        <w:t>05 1 明确分母后再解释支持率</w:t>
      </w:r>
    </w:p>
    <w:p>
      <w:r>
        <w:rPr>
          <w:b w:val="0"/>
        </w:rPr>
        <w:t>主运营指标只使用已评审对话请求。468条对话中，445条被 AI 评为有效；有效问题内有271条响应支持、68条未支持、3条部分支持、103条响应未知。有效性未知和无效的其余23条，不进入响应支持率分母。</w:t>
      </w:r>
    </w:p>
    <w:p>
      <w:pPr>
        <w:spacing w:before="100" w:after="200"/>
      </w:pPr>
      <m:oMathPara>
        <m:oMath>
          <m:r>
            <m:t>主响应支持率 = </m:t>
          </m:r>
          <m:f>
            <m:num>
              <m:r>
                <m:t>有效且响应支持的对话数 271</m:t>
              </m:r>
            </m:num>
            <m:den>
              <m:r>
                <m:t>全部已评审有效对话数 445</m:t>
              </m:r>
            </m:den>
          </m:f>
          <m:r>
            <m:t> = 60.90%</m:t>
          </m:r>
        </m:oMath>
      </m:oMathPara>
    </w:p>
    <w:p>
      <w:pPr>
        <w:spacing w:before="100" w:after="200"/>
      </w:pPr>
      <m:oMathPara>
        <m:oMath>
          <m:r>
            <m:t>可判样本支持率 = </m:t>
          </m:r>
          <m:f>
            <m:num>
              <m:r>
                <m:t>有效且响应支持的对话数 271</m:t>
              </m:r>
            </m:num>
            <m:den>
              <m:r>
                <m:t>有效且响应可判的对话数 342</m:t>
              </m:r>
            </m:den>
          </m:f>
          <m:r>
            <m:t> = 79.24%</m:t>
          </m:r>
        </m:oMath>
      </m:oMathPara>
    </w:p>
    <w:p>
      <w:r>
        <w:rPr>
          <w:b w:val="0"/>
        </w:rPr>
        <w:t>主指标保留103条未知响应和3条部分支持在分母中，描述当前全部有效对话中观察到完整支持的比例。可判样本率只描述能够判定的子集。若只展示79.24%而隐藏其分母，会让使用者误以为所有有效对话都达到同样水平。两者都属于 AI 响应覆盖判断，不能替代人工评测准确率。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00"/>
        <w:gridCol w:w="1584"/>
        <w:gridCol w:w="4752"/>
      </w:tblGrid>
      <w:tr>
        <w:trPr>
          <w:cantSplit/>
          <w:tblHeader/>
        </w:trPr>
        <w:tc>
          <w:tcPr>
            <w:tcW w:type="dxa" w:w="360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233B53"/>
          </w:tcPr>
          <w:p>
            <w:pPr>
              <w:keepNext/>
              <w:spacing w:after="0" w:line="269" w:lineRule="auto"/>
            </w:pPr>
            <w:r>
              <w:rPr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58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233B53"/>
          </w:tcPr>
          <w:p>
            <w:pPr>
              <w:keepNext/>
              <w:spacing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本轮数值</w:t>
            </w:r>
          </w:p>
        </w:tc>
        <w:tc>
          <w:tcPr>
            <w:tcW w:type="dxa" w:w="475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233B53"/>
          </w:tcPr>
          <w:p>
            <w:pPr>
              <w:keepNext/>
              <w:spacing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分子与分母或纳入条件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有效问题率</w:t>
            </w:r>
          </w:p>
        </w:tc>
        <w:tc>
          <w:tcPr>
            <w:tcW w:type="dxa" w:w="158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95.09%</w:t>
            </w:r>
          </w:p>
        </w:tc>
        <w:tc>
          <w:tcPr>
            <w:tcW w:type="dxa" w:w="475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445 / 468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响应已支持</w:t>
            </w:r>
          </w:p>
        </w:tc>
        <w:tc>
          <w:tcPr>
            <w:tcW w:type="dxa" w:w="158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271</w:t>
            </w:r>
          </w:p>
        </w:tc>
        <w:tc>
          <w:tcPr>
            <w:tcW w:type="dxa" w:w="475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valid 且 supported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响应未支持</w:t>
            </w:r>
          </w:p>
        </w:tc>
        <w:tc>
          <w:tcPr>
            <w:tcW w:type="dxa" w:w="158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68</w:t>
            </w:r>
          </w:p>
        </w:tc>
        <w:tc>
          <w:tcPr>
            <w:tcW w:type="dxa" w:w="475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valid 且 unsupported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响应部分支持</w:t>
            </w:r>
          </w:p>
        </w:tc>
        <w:tc>
          <w:tcPr>
            <w:tcW w:type="dxa" w:w="158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475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valid 且 partial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响应未知</w:t>
            </w:r>
          </w:p>
        </w:tc>
        <w:tc>
          <w:tcPr>
            <w:tcW w:type="dxa" w:w="158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103</w:t>
            </w:r>
          </w:p>
        </w:tc>
        <w:tc>
          <w:tcPr>
            <w:tcW w:type="dxa" w:w="475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valid 且尚不能判定覆盖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业务价值候选</w:t>
            </w:r>
          </w:p>
        </w:tc>
        <w:tc>
          <w:tcPr>
            <w:tcW w:type="dxa" w:w="158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443</w:t>
            </w:r>
          </w:p>
        </w:tc>
        <w:tc>
          <w:tcPr>
            <w:tcW w:type="dxa" w:w="475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valid 且 high 或 medium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待核验 BadCase 候选</w:t>
            </w:r>
          </w:p>
        </w:tc>
        <w:tc>
          <w:tcPr>
            <w:tcW w:type="dxa" w:w="158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57</w:t>
            </w:r>
          </w:p>
        </w:tc>
        <w:tc>
          <w:tcPr>
            <w:tcW w:type="dxa" w:w="475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468条对话中 candidate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 w:val="0"/>
              <w:spacing w:after="0" w:line="269" w:lineRule="auto"/>
            </w:pPr>
            <w:r>
              <w:rPr>
                <w:sz w:val="19"/>
              </w:rPr>
              <w:t>回答准确率</w:t>
            </w:r>
          </w:p>
        </w:tc>
        <w:tc>
          <w:tcPr>
            <w:tcW w:type="dxa" w:w="158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9"/>
              </w:rPr>
              <w:t>未知</w:t>
            </w:r>
          </w:p>
        </w:tc>
        <w:tc>
          <w:tcPr>
            <w:tcW w:type="dxa" w:w="475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9"/>
              </w:rPr>
              <w:t>没有记录绑定的外部评测分母</w:t>
            </w:r>
          </w:p>
        </w:tc>
      </w:tr>
    </w:tbl>
    <w:p>
      <w:pPr>
        <w:pStyle w:val="Caption"/>
      </w:pPr>
      <w:r>
        <w:rPr>
          <w:b w:val="0"/>
        </w:rPr>
      </w:r>
    </w:p>
    <w:p>
      <w:pPr>
        <w:pStyle w:val="Heading2"/>
      </w:pPr>
      <w:r>
        <w:t>05 2 孤立反馈和评审覆盖</w:t>
      </w:r>
    </w:p>
    <w:p>
      <w:r>
        <w:rPr>
          <w:b w:val="0"/>
        </w:rPr>
        <w:t>默认问题集由468条有问题文本的对话与41条孤立反馈构成，509条均已完成评审。孤立反馈缺少对应回答，其响应支持性均未知。全局汇总包含这些反馈，不能替代对话主指标。已关联的1条反馈作为对话证据保留，不再次当作一个独立问题评审。</w:t>
      </w:r>
    </w:p>
    <w:p>
      <w:r>
        <w:rPr>
          <w:b w:val="0"/>
        </w:rPr>
        <w:t>报告中的 coverage.available 和 ratio 使用全部规范化来源记录作为分母，还包含独立推理和护栏。默认问题集是否评完，必须对照 manifest 与选定 ID 集合检查。all_question_records 只说明当前导入底表的默认问题集覆盖完整，不说明历史全部用户请求或全部原始文本均已人工评测。</w:t>
      </w:r>
    </w:p>
    <w:p>
      <w:pPr>
        <w:pStyle w:val="Heading2"/>
      </w:pPr>
      <w:r>
        <w:t>05 3 比例与去重计数的来源不同</w:t>
      </w:r>
    </w:p>
    <w:p>
      <w:pPr>
        <w:keepNext/>
      </w:pPr>
      <w:r>
        <w:rPr>
          <w:b w:val="0"/>
        </w:rPr>
        <w:t>主支持率的成员是445条有效对话，分子是其中271条。会话数85的成员则可能仍是468条对话，需要按 conversationId 去重。看板因此同时保留成员与分组映射，不能对所有指标统一使用“成员条数等于统计值”的检查。</w:t>
      </w:r>
    </w:p>
    <w:p>
      <w:pPr>
        <w:pStyle w:val="Caption"/>
        <w:spacing w:before="40"/>
      </w:pPr>
      <w:r>
        <w:rPr>
          <w:b w:val="0"/>
        </w:rPr>
        <w:t>依据 R5 review.primary_metrics by_source_metrics primary_monthly coverage  R4 默认问题集评审集合</w:t>
      </w:r>
    </w:p>
    <w:p>
      <w:pPr>
        <w:pStyle w:val="Heading1"/>
      </w:pPr>
      <w:r>
        <w:t>06 项目月度使用设计</w:t>
      </w:r>
    </w:p>
    <w:p>
      <w:pPr>
        <w:pStyle w:val="Heading2"/>
      </w:pPr>
      <w:r>
        <w:t>06 1 当前能够描述的使用情况</w:t>
      </w:r>
    </w:p>
    <w:p>
      <w:r>
        <w:rPr>
          <w:b w:val="0"/>
        </w:rPr>
        <w:t>数据没有经确认的稳定提问人 ID，因此用户人数、DAU、MAU与留存均不可计算。本版使用项目活跃度、会话活跃度和业务请求量描述使用情况。租户、项目、会话以及 userType 各有不同含义，不能替代真实用户标识。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92"/>
        <w:gridCol w:w="2448"/>
        <w:gridCol w:w="2448"/>
        <w:gridCol w:w="2448"/>
      </w:tblGrid>
      <w:tr>
        <w:trPr>
          <w:cantSplit/>
          <w:tblHeader/>
        </w:trPr>
        <w:tc>
          <w:tcPr>
            <w:tcW w:type="dxa" w:w="259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233B53"/>
          </w:tcPr>
          <w:p>
            <w:pPr>
              <w:keepNext/>
              <w:spacing w:after="0" w:line="269" w:lineRule="auto"/>
            </w:pPr>
            <w:r>
              <w:rPr>
                <w:b/>
                <w:color w:val="FFFFFF"/>
                <w:sz w:val="19"/>
              </w:rPr>
              <w:t>月份</w:t>
            </w:r>
          </w:p>
        </w:tc>
        <w:tc>
          <w:tcPr>
            <w:tcW w:type="dxa" w:w="24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233B53"/>
          </w:tcPr>
          <w:p>
            <w:pPr>
              <w:keepNext/>
              <w:spacing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对话请求</w:t>
            </w:r>
          </w:p>
        </w:tc>
        <w:tc>
          <w:tcPr>
            <w:tcW w:type="dxa" w:w="24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233B53"/>
          </w:tcPr>
          <w:p>
            <w:pPr>
              <w:keepNext/>
              <w:spacing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活跃项目</w:t>
            </w:r>
          </w:p>
        </w:tc>
        <w:tc>
          <w:tcPr>
            <w:tcW w:type="dxa" w:w="24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233B53"/>
          </w:tcPr>
          <w:p>
            <w:pPr>
              <w:keepNext/>
              <w:spacing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活跃会话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2026年7月</w:t>
            </w:r>
          </w:p>
        </w:tc>
        <w:tc>
          <w:tcPr>
            <w:tcW w:type="dxa" w:w="24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185</w:t>
            </w:r>
          </w:p>
        </w:tc>
        <w:tc>
          <w:tcPr>
            <w:tcW w:type="dxa" w:w="24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24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28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2026年8月</w:t>
            </w:r>
          </w:p>
        </w:tc>
        <w:tc>
          <w:tcPr>
            <w:tcW w:type="dxa" w:w="24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82</w:t>
            </w:r>
          </w:p>
        </w:tc>
        <w:tc>
          <w:tcPr>
            <w:tcW w:type="dxa" w:w="24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24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31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9"/>
              </w:rPr>
              <w:t>2026年9月</w:t>
            </w:r>
          </w:p>
        </w:tc>
        <w:tc>
          <w:tcPr>
            <w:tcW w:type="dxa" w:w="24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9"/>
              </w:rPr>
              <w:t>201</w:t>
            </w:r>
          </w:p>
        </w:tc>
        <w:tc>
          <w:tcPr>
            <w:tcW w:type="dxa" w:w="24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type="dxa" w:w="24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9"/>
              </w:rPr>
              <w:t>26</w:t>
            </w:r>
          </w:p>
        </w:tc>
      </w:tr>
    </w:tbl>
    <w:p>
      <w:pPr>
        <w:pStyle w:val="Caption"/>
      </w:pPr>
      <w:r>
        <w:rPr>
          <w:b w:val="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904"/>
        <w:gridCol w:w="1008"/>
        <w:gridCol w:w="1008"/>
        <w:gridCol w:w="1008"/>
        <w:gridCol w:w="1008"/>
      </w:tblGrid>
      <w:tr>
        <w:trPr>
          <w:cantSplit/>
          <w:tblHeader/>
        </w:trPr>
        <w:tc>
          <w:tcPr>
            <w:tcW w:type="dxa" w:w="590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233B53"/>
          </w:tcPr>
          <w:p>
            <w:pPr>
              <w:keepNext/>
              <w:spacing w:after="0" w:line="269" w:lineRule="auto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233B53"/>
          </w:tcPr>
          <w:p>
            <w:pPr>
              <w:keepNext/>
              <w:spacing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7月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233B53"/>
          </w:tcPr>
          <w:p>
            <w:pPr>
              <w:keepNext/>
              <w:spacing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8月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233B53"/>
          </w:tcPr>
          <w:p>
            <w:pPr>
              <w:keepNext/>
              <w:spacing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9月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233B53"/>
          </w:tcPr>
          <w:p>
            <w:pPr>
              <w:keepNext/>
              <w:spacing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合计</w:t>
            </w:r>
          </w:p>
        </w:tc>
      </w:tr>
      <w:tr>
        <w:trPr>
          <w:cantSplit/>
        </w:trPr>
        <w:tc>
          <w:tcPr>
            <w:tcW w:type="dxa" w:w="590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合阳教育局企业APP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590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江西理工大学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590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山东第一医科大学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17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37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54</w:t>
            </w:r>
          </w:p>
        </w:tc>
      </w:tr>
      <w:tr>
        <w:trPr>
          <w:cantSplit/>
        </w:trPr>
        <w:tc>
          <w:tcPr>
            <w:tcW w:type="dxa" w:w="590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浙江平慧信息技术有限公司POC测试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145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145</w:t>
            </w:r>
          </w:p>
        </w:tc>
      </w:tr>
      <w:tr>
        <w:trPr>
          <w:cantSplit/>
        </w:trPr>
        <w:tc>
          <w:tcPr>
            <w:tcW w:type="dxa" w:w="590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长春人文学院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185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185</w:t>
            </w:r>
          </w:p>
        </w:tc>
      </w:tr>
      <w:tr>
        <w:trPr>
          <w:cantSplit/>
        </w:trPr>
        <w:tc>
          <w:tcPr>
            <w:tcW w:type="dxa" w:w="590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鼓楼区第xx初级中学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9</w:t>
            </w:r>
          </w:p>
        </w:tc>
      </w:tr>
      <w:tr>
        <w:trPr>
          <w:cantSplit/>
        </w:trPr>
        <w:tc>
          <w:tcPr>
            <w:tcW w:type="dxa" w:w="590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欧菲光集团股份有限公司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590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 w:val="0"/>
              <w:spacing w:after="0" w:line="269" w:lineRule="auto"/>
            </w:pPr>
            <w:r>
              <w:rPr>
                <w:sz w:val="19"/>
              </w:rPr>
              <w:t>鼓楼区第八初级中学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9"/>
              </w:rPr>
              <w:t>65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9"/>
              </w:rPr>
              <w:t>68</w:t>
            </w:r>
          </w:p>
        </w:tc>
      </w:tr>
    </w:tbl>
    <w:p>
      <w:pPr>
        <w:pStyle w:val="Caption"/>
      </w:pPr>
      <w:r>
        <w:rPr>
          <w:b w:val="0"/>
        </w:rPr>
      </w:r>
    </w:p>
    <w:p>
      <w:r>
        <w:rPr>
          <w:b w:val="0"/>
        </w:rPr>
        <w:t>项目以 projectId 形成稳定分组，名称用于展示。缺失和占位符保留为单独桶，不充当已识别活跃项目。表格中的0仅表示本批导出中该月份没有观察到该项目请求，不证明项目当月从未使用。跨月会话和项目需要重新去重，不能直接把月度活跃数相加作为全期人数或项目数。</w:t>
      </w:r>
    </w:p>
    <w:p>
      <w:pPr>
        <w:pStyle w:val="Heading2"/>
      </w:pPr>
      <w:r>
        <w:t>06 2 时间字段与月度比较</w:t>
      </w:r>
    </w:p>
    <w:p>
      <w:r>
        <w:rPr>
          <w:b w:val="0"/>
        </w:rPr>
        <w:t>统一使用 Asia/Shanghai 时区。对话优先取 detail.askTime，其次 questionTime，再回退外层 updateTime，并保留 time_field。反馈使用 createTime；护栏和推理使用 updateTime，后两类月份代表日志完成月份。时间无法使用时保留未知桶，不从邻近记录猜测日期。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1440"/>
        <w:gridCol w:w="1152"/>
        <w:gridCol w:w="1152"/>
        <w:gridCol w:w="1008"/>
        <w:gridCol w:w="1008"/>
        <w:gridCol w:w="2304"/>
      </w:tblGrid>
      <w:tr>
        <w:trPr>
          <w:cantSplit/>
          <w:tblHeader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233B53"/>
          </w:tcPr>
          <w:p>
            <w:pPr>
              <w:keepNext/>
              <w:spacing w:after="0" w:line="269" w:lineRule="auto"/>
            </w:pPr>
            <w:r>
              <w:rPr>
                <w:b/>
                <w:color w:val="FFFFFF"/>
                <w:sz w:val="19"/>
              </w:rPr>
              <w:t>月份</w:t>
            </w:r>
          </w:p>
        </w:tc>
        <w:tc>
          <w:tcPr>
            <w:tcW w:type="dxa" w:w="144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233B53"/>
          </w:tcPr>
          <w:p>
            <w:pPr>
              <w:keepNext/>
              <w:spacing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有效问题</w:t>
            </w:r>
          </w:p>
        </w:tc>
        <w:tc>
          <w:tcPr>
            <w:tcW w:type="dxa" w:w="115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233B53"/>
          </w:tcPr>
          <w:p>
            <w:pPr>
              <w:keepNext/>
              <w:spacing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支持</w:t>
            </w:r>
          </w:p>
        </w:tc>
        <w:tc>
          <w:tcPr>
            <w:tcW w:type="dxa" w:w="115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233B53"/>
          </w:tcPr>
          <w:p>
            <w:pPr>
              <w:keepNext/>
              <w:spacing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未支持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233B53"/>
          </w:tcPr>
          <w:p>
            <w:pPr>
              <w:keepNext/>
              <w:spacing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部分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233B53"/>
          </w:tcPr>
          <w:p>
            <w:pPr>
              <w:keepNext/>
              <w:spacing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未知</w:t>
            </w:r>
          </w:p>
        </w:tc>
        <w:tc>
          <w:tcPr>
            <w:tcW w:type="dxa" w:w="230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233B53"/>
          </w:tcPr>
          <w:p>
            <w:pPr>
              <w:keepNext/>
              <w:spacing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主支持率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2026年7月</w:t>
            </w:r>
          </w:p>
        </w:tc>
        <w:tc>
          <w:tcPr>
            <w:tcW w:type="dxa" w:w="144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164</w:t>
            </w:r>
          </w:p>
        </w:tc>
        <w:tc>
          <w:tcPr>
            <w:tcW w:type="dxa" w:w="115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92</w:t>
            </w:r>
          </w:p>
        </w:tc>
        <w:tc>
          <w:tcPr>
            <w:tcW w:type="dxa" w:w="115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28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44</w:t>
            </w:r>
          </w:p>
        </w:tc>
        <w:tc>
          <w:tcPr>
            <w:tcW w:type="dxa" w:w="230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56.10%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2026年8月</w:t>
            </w:r>
          </w:p>
        </w:tc>
        <w:tc>
          <w:tcPr>
            <w:tcW w:type="dxa" w:w="144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82</w:t>
            </w:r>
          </w:p>
        </w:tc>
        <w:tc>
          <w:tcPr>
            <w:tcW w:type="dxa" w:w="115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46</w:t>
            </w:r>
          </w:p>
        </w:tc>
        <w:tc>
          <w:tcPr>
            <w:tcW w:type="dxa" w:w="115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13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22</w:t>
            </w:r>
          </w:p>
        </w:tc>
        <w:tc>
          <w:tcPr>
            <w:tcW w:type="dxa" w:w="230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56.10%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9"/>
              </w:rPr>
              <w:t>2026年9月</w:t>
            </w:r>
          </w:p>
        </w:tc>
        <w:tc>
          <w:tcPr>
            <w:tcW w:type="dxa" w:w="144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9"/>
              </w:rPr>
              <w:t>199</w:t>
            </w:r>
          </w:p>
        </w:tc>
        <w:tc>
          <w:tcPr>
            <w:tcW w:type="dxa" w:w="115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9"/>
              </w:rPr>
              <w:t>133</w:t>
            </w:r>
          </w:p>
        </w:tc>
        <w:tc>
          <w:tcPr>
            <w:tcW w:type="dxa" w:w="115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9"/>
              </w:rPr>
              <w:t>27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9"/>
              </w:rPr>
              <w:t>37</w:t>
            </w:r>
          </w:p>
        </w:tc>
        <w:tc>
          <w:tcPr>
            <w:tcW w:type="dxa" w:w="230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9"/>
              </w:rPr>
              <w:t>66.83%</w:t>
            </w:r>
          </w:p>
        </w:tc>
      </w:tr>
    </w:tbl>
    <w:p>
      <w:pPr>
        <w:pStyle w:val="Caption"/>
      </w:pPr>
      <w:r>
        <w:rPr>
          <w:b w:val="0"/>
        </w:rPr>
      </w:r>
    </w:p>
    <w:p>
      <w:pPr>
        <w:keepNext/>
      </w:pPr>
      <w:r>
        <w:rPr>
          <w:b w:val="0"/>
        </w:rPr>
        <w:t>月度结果支持按同一口径回查，但不能直接归因于产品改善。样本日期覆盖、项目构成和业务问题类型可能变化。例如不同月份出现的项目数量不同，缺少一致样本、发布版本和复测依据时，不能将支持率变化解释为版本效果。</w:t>
      </w:r>
    </w:p>
    <w:p>
      <w:pPr>
        <w:pStyle w:val="Caption"/>
        <w:spacing w:before="40"/>
      </w:pPr>
      <w:r>
        <w:rPr>
          <w:b w:val="0"/>
        </w:rPr>
        <w:t>依据 R3 usage.project_rows monthly_metrics  R5 review.primary_monthly</w:t>
      </w:r>
    </w:p>
    <w:p>
      <w:pPr>
        <w:pStyle w:val="Heading1"/>
      </w:pPr>
      <w:r>
        <w:t>07 未支持问题与价值清单</w:t>
      </w:r>
    </w:p>
    <w:p>
      <w:pPr>
        <w:pStyle w:val="Heading2"/>
      </w:pPr>
      <w:r>
        <w:t>07 1 响应缺口按观察证据归类</w:t>
      </w:r>
    </w:p>
    <w:p>
      <w:r>
        <w:rPr>
          <w:b w:val="0"/>
        </w:rPr>
        <w:t>未支持与部分支持的有效对话共有71条。AI 根据每条实际回答和既有证据补充 response_gap_type，脚本仅汇总这些标签，不按关键词自动推断原因。响应缺口分类与 root_cause 分开，后者也只是待核验原因，不能当作确定故障根因。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032"/>
        <w:gridCol w:w="864"/>
        <w:gridCol w:w="5040"/>
      </w:tblGrid>
      <w:tr>
        <w:trPr>
          <w:cantSplit/>
          <w:tblHeader/>
        </w:trPr>
        <w:tc>
          <w:tcPr>
            <w:tcW w:type="dxa" w:w="403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233B53"/>
          </w:tcPr>
          <w:p>
            <w:pPr>
              <w:keepNext/>
              <w:spacing w:after="0" w:line="269" w:lineRule="auto"/>
            </w:pPr>
            <w:r>
              <w:rPr>
                <w:b/>
                <w:color w:val="FFFFFF"/>
                <w:sz w:val="19"/>
              </w:rPr>
              <w:t>本次响应缺口</w:t>
            </w:r>
          </w:p>
        </w:tc>
        <w:tc>
          <w:tcPr>
            <w:tcW w:type="dxa" w:w="86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233B53"/>
          </w:tcPr>
          <w:p>
            <w:pPr>
              <w:keepNext/>
              <w:spacing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数量</w:t>
            </w:r>
          </w:p>
        </w:tc>
        <w:tc>
          <w:tcPr>
            <w:tcW w:type="dxa" w:w="504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233B53"/>
          </w:tcPr>
          <w:p>
            <w:pPr>
              <w:keepNext/>
              <w:spacing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主要复核方向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字段或指标映射缺口</w:t>
            </w:r>
          </w:p>
        </w:tc>
        <w:tc>
          <w:tcPr>
            <w:tcW w:type="dxa" w:w="86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22</w:t>
            </w:r>
          </w:p>
        </w:tc>
        <w:tc>
          <w:tcPr>
            <w:tcW w:type="dxa" w:w="504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检查目标字段与业务数据模型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执行异常或超时</w:t>
            </w:r>
          </w:p>
        </w:tc>
        <w:tc>
          <w:tcPr>
            <w:tcW w:type="dxa" w:w="86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16</w:t>
            </w:r>
          </w:p>
        </w:tc>
        <w:tc>
          <w:tcPr>
            <w:tcW w:type="dxa" w:w="504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复现执行与查询生成过程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对象范围或条件待澄清</w:t>
            </w:r>
          </w:p>
        </w:tc>
        <w:tc>
          <w:tcPr>
            <w:tcW w:type="dxa" w:w="86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12</w:t>
            </w:r>
          </w:p>
        </w:tc>
        <w:tc>
          <w:tcPr>
            <w:tcW w:type="dxa" w:w="504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核对缺少的条件与交互提示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实际响应未覆盖诉求</w:t>
            </w:r>
          </w:p>
        </w:tc>
        <w:tc>
          <w:tcPr>
            <w:tcW w:type="dxa" w:w="86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type="dxa" w:w="504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对照原始请求及输出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意图或对象发生偏移</w:t>
            </w:r>
          </w:p>
        </w:tc>
        <w:tc>
          <w:tcPr>
            <w:tcW w:type="dxa" w:w="86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type="dxa" w:w="504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核对对象识别及路由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对象或时间约束不一致</w:t>
            </w:r>
          </w:p>
        </w:tc>
        <w:tc>
          <w:tcPr>
            <w:tcW w:type="dxa" w:w="86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504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检查重写是否保留限定条件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9"/>
              </w:rPr>
              <w:t>安全边界相关拒答</w:t>
            </w:r>
          </w:p>
        </w:tc>
        <w:tc>
          <w:tcPr>
            <w:tcW w:type="dxa" w:w="86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504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9"/>
              </w:rPr>
              <w:t>确认是否为合理拒答</w:t>
            </w:r>
          </w:p>
        </w:tc>
      </w:tr>
    </w:tbl>
    <w:p>
      <w:pPr>
        <w:pStyle w:val="Caption"/>
      </w:pPr>
      <w:r>
        <w:rPr>
          <w:b w:val="0"/>
        </w:rPr>
      </w:r>
    </w:p>
    <w:p>
      <w:r>
        <w:rPr>
          <w:b w:val="0"/>
        </w:rPr>
        <w:t>例如，下行速率 TOP100 未生成目标查询可进入映射复核；产品版本被当成设备名查询可进入意图识别复核；完整子设备路径或一小时时窗在重写中丢失，可进入约束保留的回归样本。缺参澄清和安全拒答需要业务确认，不能一概作为错误修复。</w:t>
      </w:r>
    </w:p>
    <w:p>
      <w:pPr>
        <w:pStyle w:val="Heading2"/>
      </w:pPr>
      <w:r>
        <w:t>07 2 价值清单服务改进选择</w:t>
      </w:r>
    </w:p>
    <w:p>
      <w:r>
        <w:rPr>
          <w:b w:val="0"/>
        </w:rPr>
        <w:t>价值表保留项目、问题、请求时间、价值等级、机会类型、原因、建议和来源。默认仅展示对话，与主指标一致；反馈可通过来源筛选单独查看。使用者可以进一步选择“响应未满足 待改进”，把具有业务用途且未覆盖的需求作为复核起点。</w:t>
      </w:r>
    </w:p>
    <w:p>
      <w:r>
        <w:rPr>
          <w:b w:val="0"/>
        </w:rPr>
        <w:t>443条价值候选包含正常完成的需求，所以清单不能直接当作研发待办。优先级还应结合影响范围、出现频次、证据完整度、修复代价以及是否属于预期边界。当前没有这些要素的统一评分和经济收益验证，报告只给出待评估方向。</w:t>
      </w:r>
    </w:p>
    <w:p>
      <w:pPr>
        <w:keepNext/>
      </w:pPr>
      <w:r>
        <w:rPr>
          <w:b w:val="0"/>
        </w:rPr>
        <w:t>opportunity_type 目前允许自由文本，类别粒度尚未完全统一；部分高或中价值记录没有额外改进方向或方向未知。这表示问题具有业务用途，但改进分类治理还需补充。后续可制定受控词表并建立旧标签映射，不应把当前类别分布写成已经验证的业务根因体系。</w:t>
      </w:r>
    </w:p>
    <w:p>
      <w:pPr>
        <w:pStyle w:val="Caption"/>
        <w:spacing w:before="40"/>
      </w:pPr>
      <w:r>
        <w:rPr>
          <w:b w:val="0"/>
        </w:rPr>
        <w:t>依据 R5 review.primary_distributions.unsupported_reasons 与 opportunity_types  R7 aggregate_distributions</w:t>
      </w:r>
    </w:p>
    <w:p>
      <w:pPr>
        <w:pStyle w:val="Heading1"/>
      </w:pPr>
      <w:r>
        <w:t>08 七页看板的信息组织</w:t>
      </w:r>
    </w:p>
    <w:p>
      <w:r>
        <w:rPr>
          <w:b w:val="0"/>
        </w:rPr>
        <w:t>看板使用同一分析包组织不同任务。页面顺序为总览、项目月度使用、指标字典与计算依据、问题分析、不支持问题、价值问题、数据健康。指标字典已从数据健康中拆出，紧跟项目月度使用，便于查看使用规模后继续核对口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3888"/>
        <w:gridCol w:w="3672"/>
      </w:tblGrid>
      <w:tr>
        <w:trPr>
          <w:cantSplit/>
          <w:tblHeader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233B53"/>
          </w:tcPr>
          <w:p>
            <w:pPr>
              <w:keepNext/>
              <w:spacing w:after="0" w:line="269" w:lineRule="auto"/>
            </w:pPr>
            <w:r>
              <w:rPr>
                <w:b/>
                <w:color w:val="FFFFFF"/>
                <w:sz w:val="19"/>
              </w:rPr>
              <w:t>页面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233B53"/>
          </w:tcPr>
          <w:p>
            <w:pPr>
              <w:keepNext/>
              <w:spacing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主要任务</w:t>
            </w:r>
          </w:p>
        </w:tc>
        <w:tc>
          <w:tcPr>
            <w:tcW w:type="dxa" w:w="367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233B53"/>
          </w:tcPr>
          <w:p>
            <w:pPr>
              <w:keepNext/>
              <w:spacing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关键交互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总览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快速了解来源规模 响应覆盖和项目使用</w:t>
            </w:r>
          </w:p>
        </w:tc>
        <w:tc>
          <w:tcPr>
            <w:tcW w:type="dxa" w:w="367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点击统计或分布进入血缘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项目月度使用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比较项目月份与同口径 AI 统计</w:t>
            </w:r>
          </w:p>
        </w:tc>
        <w:tc>
          <w:tcPr>
            <w:tcW w:type="dxa" w:w="367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搜索项目 点击月份或合计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指标字典与计算依据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集中核对指标值 分母与说明</w:t>
            </w:r>
          </w:p>
        </w:tc>
        <w:tc>
          <w:tcPr>
            <w:tcW w:type="dxa" w:w="367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点击值或分子分母查看成员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问题分析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逐条查看对话及孤立反馈</w:t>
            </w:r>
          </w:p>
        </w:tc>
        <w:tc>
          <w:tcPr>
            <w:tcW w:type="dxa" w:w="367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搜索 来源与响应标签筛选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不支持问题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定位未满足诉求及观察原因</w:t>
            </w:r>
          </w:p>
        </w:tc>
        <w:tc>
          <w:tcPr>
            <w:tcW w:type="dxa" w:w="367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原因分布下钻 明细与原文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价值问题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寻找有业务用途的需求与改进方向</w:t>
            </w:r>
          </w:p>
        </w:tc>
        <w:tc>
          <w:tcPr>
            <w:tcW w:type="dxa" w:w="367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默认对话 可切反馈及待改进筛选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9"/>
              </w:rPr>
              <w:t>数据健康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9"/>
              </w:rPr>
              <w:t>核对来源处理数量和证据缺口</w:t>
            </w:r>
          </w:p>
        </w:tc>
        <w:tc>
          <w:tcPr>
            <w:tcW w:type="dxa" w:w="367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9"/>
              </w:rPr>
              <w:t>来源统计 质量问题定位</w:t>
            </w:r>
          </w:p>
        </w:tc>
      </w:tr>
    </w:tbl>
    <w:p>
      <w:pPr>
        <w:pStyle w:val="Caption"/>
      </w:pPr>
      <w:r>
        <w:rPr>
          <w:b w:val="0"/>
        </w:rPr>
      </w:r>
    </w:p>
    <w:p>
      <w:pPr>
        <w:pStyle w:val="Heading2"/>
      </w:pPr>
      <w:r>
        <w:t>08 1 汇总指标与明细筛选</w:t>
      </w:r>
    </w:p>
    <w:p>
      <w:r>
        <w:rPr>
          <w:b w:val="0"/>
        </w:rPr>
        <w:t>项目月度表与总览展示当前数据包的固定统计。问题明细筛选只改变当前列表及其可点击计数，不重算总览或顶部汇总分布。这样可以在缩小问题范围的同时保留总体背景，也避免把筛选结果与全量指标混写成一个口径。</w:t>
      </w:r>
    </w:p>
    <w:p>
      <w:r>
        <w:rPr>
          <w:b w:val="0"/>
        </w:rPr>
        <w:t>问题列表默认包含对话和未关联反馈。价值页默认来源为对话，切到反馈后能够单独查看孤立反馈的业务价值判断；顶部机会分布仍保持对话主口径。点击当前列表计数可以查看当前筛选成员，导出的 CSV 也应从这个入口进入。</w:t>
      </w:r>
    </w:p>
    <w:p>
      <w:pPr>
        <w:pStyle w:val="Heading2"/>
      </w:pPr>
      <w:r>
        <w:t>08 2 来源抽屉与导出</w:t>
      </w:r>
    </w:p>
    <w:p>
      <w:r>
        <w:rPr>
          <w:b w:val="0"/>
        </w:rPr>
        <w:t>指标抽屉展示口径、成员、分子、分母和排除项，可搜索并分页查看。CSV 导出覆盖当前选择分组中的搜索结果，不限于屏幕当前30条。记录详情可以导出 JSON，包含定位、当前展示记录、评审及已读取的原文。它不是直接导出项目矩阵的专用按钮，也不是将全部原始日志公开成下载目录。</w:t>
      </w:r>
    </w:p>
    <w:p>
      <w:r>
        <w:rPr>
          <w:b w:val="0"/>
        </w:rPr>
        <w:t>零值和未知使用不同空态。计数为0可以表示当前范围没有成员；分母为0或没有计算依据的指标应显示未知原因。导入纯分析包时旧 AI 标签不会沿用。新导入包的前端检查主要处理结构和 ID 绑定，正式报告仍应经过 CLI 合并校验。</w:t>
      </w:r>
    </w:p>
    <w:p>
      <w:pPr>
        <w:pStyle w:val="Heading2"/>
      </w:pPr>
      <w:r>
        <w:t>08 3 桌面与窄屏使用</w:t>
      </w:r>
    </w:p>
    <w:p>
      <w:pPr>
        <w:keepNext/>
      </w:pPr>
      <w:r>
        <w:rPr>
          <w:b w:val="0"/>
        </w:rPr>
        <w:t>页面提供响应式布局，导航和宽表在空间不足时允许滚动。指标按钮可聚焦，导航支持左右方向键，抽屉支持 Escape 关闭及焦点恢复。当前存在基础键盘逻辑，但没有完成完整无障碍验收，不能据此声称符合某个无障碍标准。</w:t>
      </w:r>
    </w:p>
    <w:p>
      <w:pPr>
        <w:pStyle w:val="Caption"/>
        <w:spacing w:before="40"/>
      </w:pPr>
      <w:r>
        <w:rPr>
          <w:b w:val="0"/>
        </w:rPr>
        <w:t>依据 R8 assets/dashboard.html  normalizeBundle switchTab renderMetricDictionary renderList exportDrawer</w:t>
      </w:r>
    </w:p>
    <w:p>
      <w:pPr>
        <w:pStyle w:val="Heading1"/>
      </w:pPr>
      <w:r>
        <w:t>09 所有统计如何回到原始记录</w:t>
      </w:r>
    </w:p>
    <w:p>
      <w:pPr>
        <w:pStyle w:val="Heading2"/>
      </w:pPr>
      <w:r>
        <w:t>09 1 将统计值与成员绑定</w:t>
      </w:r>
    </w:p>
    <w:p>
      <w:r>
        <w:rPr>
          <w:b w:val="0"/>
        </w:rPr>
        <w:t>每个统计通过 trace_id 指向 lineage 中的一项说明。核心指标由 analyze 产生，operations 为其补充来源成员和使用统计；AI 评审汇总则在生成指标时同时形成对应成员。它们最终通过独立 verify_lineage 校验数值、引用和选取规则的一致性，而不是仅相信页面显示的数字。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32"/>
        <w:gridCol w:w="3456"/>
        <w:gridCol w:w="4248"/>
      </w:tblGrid>
      <w:tr>
        <w:trPr>
          <w:cantSplit/>
          <w:tblHeader/>
        </w:trPr>
        <w:tc>
          <w:tcPr>
            <w:tcW w:type="dxa" w:w="223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233B53"/>
          </w:tcPr>
          <w:p>
            <w:pPr>
              <w:keepNext/>
              <w:spacing w:after="0" w:line="269" w:lineRule="auto"/>
            </w:pPr>
            <w:r>
              <w:rPr>
                <w:b/>
                <w:color w:val="FFFFFF"/>
                <w:sz w:val="19"/>
              </w:rPr>
              <w:t>血缘字段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233B53"/>
          </w:tcPr>
          <w:p>
            <w:pPr>
              <w:keepNext/>
              <w:spacing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42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233B53"/>
          </w:tcPr>
          <w:p>
            <w:pPr>
              <w:keepNext/>
              <w:spacing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典型用途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formula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纳入条件和计算口径</w:t>
            </w:r>
          </w:p>
        </w:tc>
        <w:tc>
          <w:tcPr>
            <w:tcW w:type="dxa" w:w="42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解释为什么计入或排除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member_refs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参与当前计算的成员</w:t>
            </w:r>
          </w:p>
        </w:tc>
        <w:tc>
          <w:tcPr>
            <w:tcW w:type="dxa" w:w="42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计数 比例分母 参与分组的记录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numerator_refs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比例的分子成员</w:t>
            </w:r>
          </w:p>
        </w:tc>
        <w:tc>
          <w:tcPr>
            <w:tcW w:type="dxa" w:w="42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查看实际支持的有效对话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denominator_refs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比例的分母成员</w:t>
            </w:r>
          </w:p>
        </w:tc>
        <w:tc>
          <w:tcPr>
            <w:tcW w:type="dxa" w:w="42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核对未知是否仍在分母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excluded_refs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当前统计范围内排除的成员</w:t>
            </w:r>
          </w:p>
        </w:tc>
        <w:tc>
          <w:tcPr>
            <w:tcW w:type="dxa" w:w="42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解释不满足条件的记录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group_values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每条记录所属去重分组</w:t>
            </w:r>
          </w:p>
        </w:tc>
        <w:tc>
          <w:tcPr>
            <w:tcW w:type="dxa" w:w="42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项目数与会话数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sample_values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每条有效测量值</w:t>
            </w:r>
          </w:p>
        </w:tc>
        <w:tc>
          <w:tcPr>
            <w:tcW w:type="dxa" w:w="42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耗时与延迟分位数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rank 与 selected_ref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分位数的秩及所选记录</w:t>
            </w:r>
          </w:p>
        </w:tc>
        <w:tc>
          <w:tcPr>
            <w:tcW w:type="dxa" w:w="42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复算 P95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9"/>
              </w:rPr>
              <w:t>reason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9"/>
              </w:rPr>
              <w:t>无法计算或证据缺失原因</w:t>
            </w:r>
          </w:p>
        </w:tc>
        <w:tc>
          <w:tcPr>
            <w:tcW w:type="dxa" w:w="42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9"/>
              </w:rPr>
              <w:t>未知指标与文档快照边界</w:t>
            </w:r>
          </w:p>
        </w:tc>
      </w:tr>
    </w:tbl>
    <w:p>
      <w:pPr>
        <w:pStyle w:val="Caption"/>
      </w:pPr>
      <w:r>
        <w:rPr>
          <w:b w:val="0"/>
        </w:rPr>
      </w:r>
    </w:p>
    <w:p>
      <w:r>
        <w:rPr>
          <w:b w:val="0"/>
        </w:rPr>
        <w:t>“排除”需要结合当前统计的范围理解。主支持率排除23条无效或有效性待定对话，并不把独立推理日志列成业务分母。不同 trace 的范围可能不同；不能把任意两个抽屉的排除条数直接相加。质量问题统计还可能包含同一记录的多个问题项，应按事件而非独立记录核对。</w:t>
      </w:r>
    </w:p>
    <w:p>
      <w:pPr>
        <w:pStyle w:val="Heading2"/>
      </w:pPr>
      <w:r>
        <w:t>09 2 从主支持率追溯一个真实样本</w:t>
      </w:r>
    </w:p>
    <w:p>
      <w:r>
        <w:rPr>
          <w:b w:val="0"/>
        </w:rPr>
        <w:t>第一步，在总览点击60.90%。抽屉定位到 review:source:dialogue:response_support_rate，显示271条分子和445条分母。第二步，进入分子并搜索 TOP2，可以找到下列对话记录。</w:t>
      </w:r>
    </w:p>
    <w:p>
      <w:pPr>
        <w:pStyle w:val="ReportCode"/>
        <w:keepNext w:val="0"/>
      </w:pPr>
      <w:r>
        <w:rPr>
          <w:b w:val="0"/>
        </w:rPr>
        <w:t>dialogue:request:c564b28c-3c39-46d4-8f2f-d0c33f5b38c4</w:t>
      </w:r>
    </w:p>
    <w:p>
      <w:r>
        <w:rPr>
          <w:b w:val="0"/>
        </w:rPr>
        <w:t>该问题要求“10.81.1.1最近1小时接口最大发送速率TOP2”。记录中 e130 的实际结果包含 Eth-Trunk2 和 Eth-Trunk3 两个接口及对应数值。AI 据此判断本次响应已覆盖主要查询诉求，产品能力和正确性仍为未知。查询执行与数值正确是不同判断，后者仍需要外部核对。</w:t>
      </w:r>
    </w:p>
    <w:p>
      <w:r>
        <w:rPr>
          <w:b w:val="0"/>
        </w:rPr>
        <w:t>第三步，打开记录详情，看到项目、时间、原始文件、证据路径及评审原因。原文位于对话详情.json 的数组索引200，起始文本行4802。第四步，在匹配的本机来源服务中读取这个数组对象，再按 body 与 detail 的 JSON 字符串逐层解码，回到 answers[30] 对应结果。</w:t>
      </w:r>
    </w:p>
    <w:p>
      <w:pPr>
        <w:pStyle w:val="ReportCode"/>
        <w:keepNext/>
      </w:pPr>
      <w:r>
        <w:rPr>
          <w:b w:val="0"/>
        </w:rPr>
        <w:t>来源对象  raw:dialogue:200</w:t>
      </w:r>
    </w:p>
    <w:p>
      <w:pPr>
        <w:pStyle w:val="ReportCode"/>
        <w:keepNext/>
      </w:pPr>
      <w:r>
        <w:rPr>
          <w:b w:val="0"/>
        </w:rPr>
        <w:t>证据引用  dialogue:request:c564b28c-3c39-46d4-8f2f-d0c33f5b38c4:e130</w:t>
      </w:r>
    </w:p>
    <w:p>
      <w:pPr>
        <w:pStyle w:val="ReportCode"/>
        <w:keepNext/>
      </w:pPr>
      <w:r>
        <w:rPr>
          <w:b w:val="0"/>
        </w:rPr>
        <w:t>解析路径  body.detail.answers[30].data 经 JSON 解码后</w:t>
      </w:r>
    </w:p>
    <w:p>
      <w:pPr>
        <w:pStyle w:val="ReportCode"/>
        <w:keepNext w:val="0"/>
      </w:pPr>
      <w:r>
        <w:rPr>
          <w:b w:val="0"/>
        </w:rPr>
        <w:t xml:space="preserve">          answers.answer.answer.query_result.data.results</w:t>
      </w:r>
    </w:p>
    <w:p>
      <w:r>
        <w:rPr>
          <w:b w:val="0"/>
        </w:rPr>
        <w:t>证据中的 path 是解析后的逻辑路径，跨越 JSON 字符串边界时不能当作原文件的一条 JSON Pointer 直接访问。原始对象、解码步骤和节点原始索引共同完成定位。这个例子展示的是一个分子成员，不代表其余270条成员都已获得人工正确性确认。</w:t>
      </w:r>
    </w:p>
    <w:p>
      <w:pPr>
        <w:pStyle w:val="Heading2"/>
      </w:pPr>
      <w:r>
        <w:t>09 3 为什么要区分多种引用</w:t>
      </w:r>
    </w:p>
    <w:p>
      <w:r>
        <w:rPr>
          <w:b w:val="0"/>
        </w:rPr>
        <w:t>record.id 是分析记录键；raw:来源:索引指向原始数组位置；record.id 后的 #node:索引 指向回答节点，#check:索引 指向护栏检查项；record.id:e序号 指向本记录证据。节点可能按时间排序，但引用保留原 answers 索引，不能用界面排序后的位置替代。</w:t>
      </w:r>
    </w:p>
    <w:p>
      <w:pPr>
        <w:keepNext/>
      </w:pPr>
      <w:r>
        <w:rPr>
          <w:b w:val="0"/>
        </w:rPr>
        <w:t>source_rows 保留全部原始对象，包括被去重淘汰的输入。日志层保留标记与最终业务记录保留标记分开，避免把淘汰快照悄悄移出来源索引。文件中从0开始的数组索引与从1开始的文本行号也同时保留，便于脚本与人工核查。</w:t>
      </w:r>
    </w:p>
    <w:p>
      <w:pPr>
        <w:pStyle w:val="Caption"/>
        <w:spacing w:before="40"/>
      </w:pPr>
      <w:r>
        <w:rPr>
          <w:b w:val="0"/>
        </w:rPr>
        <w:t>依据 R3 lineage source_rows records  R5 review.lineage  R8 openTrace resolveRef openRecord</w:t>
      </w:r>
    </w:p>
    <w:p>
      <w:pPr>
        <w:pStyle w:val="Heading1"/>
      </w:pPr>
      <w:r>
        <w:t>10 系统结构与模块分工</w:t>
      </w:r>
    </w:p>
    <w:p>
      <w:r>
        <w:rPr>
          <w:b w:val="0"/>
        </w:rPr>
        <w:t>系统采用可复制的本地文件工作流。输入是用户提供的 JSON 及可选能力材料；中间产物是规范底表、AI 批次和评审；输出是合并报告与静态 HTML。当前没有独立数据库、账号系统或常驻模型网关，方便将同一 Skill 文件夹复制到服务器上的 AI 环境中复用。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2598821"/>
            <wp:docPr id="2" name="Picture 2" descr="图2 当前数据流与本机原文读取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8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 w:val="0"/>
        </w:rPr>
        <w:t>图2 当前数据流与本机原文读取关系</w:t>
      </w:r>
    </w:p>
    <w:p>
      <w:r>
        <w:rPr>
          <w:b w:val="0"/>
        </w:rPr>
        <w:t>能力规则和评测材料在批次准备及合并时另行绑定；图中的主输入是四类原始日志。原文服务只读取保存的原始对象，不反向修改统计。verify_lineage 作为独立核验过程检查已保存的底表及评审报告。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32"/>
        <w:gridCol w:w="3456"/>
        <w:gridCol w:w="4248"/>
      </w:tblGrid>
      <w:tr>
        <w:trPr>
          <w:cantSplit/>
          <w:tblHeader/>
        </w:trPr>
        <w:tc>
          <w:tcPr>
            <w:tcW w:type="dxa" w:w="223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233B53"/>
          </w:tcPr>
          <w:p>
            <w:pPr>
              <w:keepNext/>
              <w:spacing w:after="0" w:line="269" w:lineRule="auto"/>
            </w:pPr>
            <w:r>
              <w:rPr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233B53"/>
          </w:tcPr>
          <w:p>
            <w:pPr>
              <w:keepNext/>
              <w:spacing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职责</w:t>
            </w:r>
          </w:p>
        </w:tc>
        <w:tc>
          <w:tcPr>
            <w:tcW w:type="dxa" w:w="42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233B53"/>
          </w:tcPr>
          <w:p>
            <w:pPr>
              <w:keepNext/>
              <w:spacing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主要输入和输出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analyze.py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解析 去重 规范化 基础统计</w:t>
            </w:r>
          </w:p>
        </w:tc>
        <w:tc>
          <w:tcPr>
            <w:tcW w:type="dxa" w:w="42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原始 JSON → analysis.json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operations.py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核心指标血缘与月度使用</w:t>
            </w:r>
          </w:p>
        </w:tc>
        <w:tc>
          <w:tcPr>
            <w:tcW w:type="dxa" w:w="42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analysis对象 → lineage 与 usage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prepare_review.py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生成带证据的评审批次</w:t>
            </w:r>
          </w:p>
        </w:tc>
        <w:tc>
          <w:tcPr>
            <w:tcW w:type="dxa" w:w="42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底表与能力材料 → manifest和批次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review_common.py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共享契约与指纹</w:t>
            </w:r>
          </w:p>
        </w:tc>
        <w:tc>
          <w:tcPr>
            <w:tcW w:type="dxa" w:w="42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JSON读取 能力校验 规范摘要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merge_reviews.py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校验标签依据并汇总</w:t>
            </w:r>
          </w:p>
        </w:tc>
        <w:tc>
          <w:tcPr>
            <w:tcW w:type="dxa" w:w="42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底表与评审 → reviewed_analysis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render_dashboard.py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重验评审并渲染展示投影</w:t>
            </w:r>
          </w:p>
        </w:tc>
        <w:tc>
          <w:tcPr>
            <w:tcW w:type="dxa" w:w="42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底表或报告 → dashboard.html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serve_dashboard.py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本机页面及原文接口</w:t>
            </w:r>
          </w:p>
        </w:tc>
        <w:tc>
          <w:tcPr>
            <w:tcW w:type="dxa" w:w="42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报告 HTML 原始目录 → loopback服务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extract_source.py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按引用提取原始对象</w:t>
            </w:r>
          </w:p>
        </w:tc>
        <w:tc>
          <w:tcPr>
            <w:tcW w:type="dxa" w:w="42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底表与引用 → 选定对象JSON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9"/>
              </w:rPr>
              <w:t>verify_lineage.py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9"/>
              </w:rPr>
              <w:t>独立校验数学与来源</w:t>
            </w:r>
          </w:p>
        </w:tc>
        <w:tc>
          <w:tcPr>
            <w:tcW w:type="dxa" w:w="42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9"/>
              </w:rPr>
              <w:t>底表 报告 原文件 → audit.json</w:t>
            </w:r>
          </w:p>
        </w:tc>
      </w:tr>
    </w:tbl>
    <w:p>
      <w:pPr>
        <w:pStyle w:val="Caption"/>
      </w:pPr>
      <w:r>
        <w:rPr>
          <w:b w:val="0"/>
        </w:rPr>
      </w:r>
    </w:p>
    <w:p>
      <w:pPr>
        <w:keepNext/>
      </w:pPr>
      <w:r>
        <w:rPr>
          <w:b w:val="0"/>
        </w:rPr>
        <w:t>这些脚本之间使用显式文件契约，便于中断后检查已完成产物，也便于为不同批次分配不同 AI 实例。并行的前提是批次 ID 不重叠、指纹一致，并在汇总时统一评审口径；并行本身不能替代标签复核。</w:t>
      </w:r>
    </w:p>
    <w:p>
      <w:pPr>
        <w:pStyle w:val="Caption"/>
        <w:spacing w:before="40"/>
      </w:pPr>
      <w:r>
        <w:rPr>
          <w:b w:val="0"/>
        </w:rPr>
        <w:t>依据 R7 scripts  各模块函数与参数以当前源码为准</w:t>
      </w:r>
    </w:p>
    <w:p>
      <w:pPr>
        <w:pStyle w:val="Heading1"/>
      </w:pPr>
      <w:r>
        <w:t>11 原始日志解析与规范化</w:t>
      </w:r>
    </w:p>
    <w:p>
      <w:pPr>
        <w:pStyle w:val="Heading2"/>
      </w:pPr>
      <w:r>
        <w:t>11 1 分层解析避免丢失上下文</w:t>
      </w:r>
    </w:p>
    <w:p>
      <w:r>
        <w:rPr>
          <w:b w:val="0"/>
        </w:rPr>
        <w:t>对话详情的外层 body、body.detail 和节点 data 可能继续包含 JSON 字符串。解析器逐层解码并保留原始定位，把用户问题、回答节点、场景、耗时及响应事实转换为统一记录。遇到无法解析的结构时记录质量问题并保留证据，不通过猜测补齐业务结果。</w:t>
      </w:r>
    </w:p>
    <w:p>
      <w:r>
        <w:rPr>
          <w:b w:val="0"/>
        </w:rPr>
        <w:t>PIU 是当前日志中的结构化组件输出，可包含查询步骤、状态、实际结果、诊断结论与建议。系统抽取 response_facts 并为每个事实生成证据引用。嵌入其中的系统 Prompt、知识改写规则和命令文本都只是分析对象，不作为当前 AI 的操作指令执行。</w:t>
      </w:r>
    </w:p>
    <w:p>
      <w:r>
        <w:rPr>
          <w:b w:val="0"/>
        </w:rPr>
        <w:t>回答节点按 answerTime 形成阅读顺序，但不在第一个 END 处截断；异步结果可能在结束标志之后出现。错误与后续运行状态也保留时间线，避免用“最后一个状态”粗略覆盖此前真实发生的异常。</w:t>
      </w:r>
    </w:p>
    <w:p>
      <w:pPr>
        <w:pStyle w:val="Heading2"/>
      </w:pPr>
      <w:r>
        <w:t>11 2 来源内去重与业务快照选择</w:t>
      </w:r>
    </w:p>
    <w:p>
      <w:r>
        <w:rPr>
          <w:b w:val="0"/>
        </w:rPr>
        <w:t>反馈按完整对象的规范内容哈希去重，只合并完全相同的反馈事件。chatId 不是反馈事件唯一键，同一对话的不同时间评价或标记应保留。非反馈来源有 requestId 时先按该键去重，保留最大有效 updateTime；同刻用内容指纹作确定性取舍。这个取舍保证结果可重复，不代表哈希更大的记录在业务上更晚。</w:t>
      </w:r>
    </w:p>
    <w:p>
      <w:r>
        <w:rPr>
          <w:b w:val="0"/>
        </w:rPr>
        <w:t>缺少 requestId 的非反馈记录不作无依据的事件合并，发生生成 ID 冲突时用原始位置区分。日志层处理后，对话再按 detail.id 选择业务快照。缺少 detail.id 的记录仍保留，但不进入独立业务详情计数及确定关联分母。来源日志数量与最终业务详情数量在其他批次中可能不同。</w:t>
      </w:r>
    </w:p>
    <w:p>
      <w:r>
        <w:rPr>
          <w:b w:val="0"/>
        </w:rPr>
        <w:t>反馈关联仅使用有效 chatId=detail.id，保留反馈历史。若最新同刻反馈存在冲突，系统保留问题线索并避免选择一个确定评价。独立推理和护栏未具备可靠跨源关联键时继续单列，不能用文本相似度构造“完整链路”。</w:t>
      </w:r>
    </w:p>
    <w:p>
      <w:pPr>
        <w:pStyle w:val="Heading2"/>
      </w:pPr>
      <w:r>
        <w:t>11 3 推理回复格式和性能指标</w:t>
      </w:r>
    </w:p>
    <w:p>
      <w:r>
        <w:rPr>
          <w:b w:val="0"/>
        </w:rPr>
        <w:t>推理 responseData 分别处理普通 JSON、SSE 和护栏拒绝对象。SSE 在当前请求内按生成 ID 和 choice index 拼接片段，不跨不同请求合并。片段数不等于 token 数。当前实际互斥格式数量为4,512条 SSE、11,683条普通 JSON和6条拒绝对象，合计16,201。</w:t>
      </w:r>
    </w:p>
    <w:p>
      <w:pPr>
        <w:keepNext/>
      </w:pPr>
      <w:r>
        <w:rPr>
          <w:b w:val="0"/>
        </w:rPr>
        <w:t>请求模型与实际模型不一致只作为路由观察，不自动认定模型错误。耗时采用明确业务字段；对话 costTime 与外层上报耗时分开，不能用 updateTime 减 askTime 推导完整响应耗时。首 token 统计只纳入符合流式及正值要求的样本，零值和缺失需明确排除。</w:t>
      </w:r>
    </w:p>
    <w:p>
      <w:pPr>
        <w:pStyle w:val="Caption"/>
        <w:spacing w:before="40"/>
      </w:pPr>
      <w:r>
        <w:rPr>
          <w:b w:val="0"/>
        </w:rPr>
        <w:t>依据 R7 Analyzer.deduplicate normalize_dialogue extract_response_facts normalize_inference link_feedback</w:t>
      </w:r>
    </w:p>
    <w:p>
      <w:pPr>
        <w:pStyle w:val="Heading1"/>
      </w:pPr>
      <w:r>
        <w:t>12 AI 评审协议与质量控制</w:t>
      </w:r>
    </w:p>
    <w:p>
      <w:pPr>
        <w:pStyle w:val="Heading2"/>
      </w:pPr>
      <w:r>
        <w:t>12 1 compact 批次的作用</w:t>
      </w:r>
    </w:p>
    <w:p>
      <w:r>
        <w:rPr>
          <w:b w:val="0"/>
        </w:rPr>
        <w:t>原对话包含大量重复进度快照，直接截取开头容易让 AI 只看到任务开始。compact_record 对已解析的响应事实去重，优先保留问数澄清或拒答、错误、诊断结论与建议，再补充末端结果和关键状态。它保留证据 ID 和原始定位，减少重复，不生成业务标签。</w:t>
      </w:r>
    </w:p>
    <w:p>
      <w:r>
        <w:rPr>
          <w:b w:val="0"/>
        </w:rPr>
        <w:t>compact 仍是证据选择过程。文本可能截断，末端结果可能只剩字段定义或没有值，较早的关键事实也可能需要回查。AI 应区分“材料未包含结果”和“实际执行失败”。前者保留 uncertain 或读取原文，不能为了填满图表自动标成 unsupported。</w:t>
      </w:r>
    </w:p>
    <w:p>
      <w:pPr>
        <w:pStyle w:val="Heading2"/>
      </w:pPr>
      <w:r>
        <w:t>12 2 每条标签都要有本记录证据</w:t>
      </w:r>
    </w:p>
    <w:p>
      <w:r>
        <w:rPr>
          <w:b w:val="0"/>
        </w:rPr>
        <w:t>评审项包含 record_id、有效性、意图、产品能力、BadCase、正确性、归因、原因、证据及建议。V2 增加实际响应支持、响应证据、未支持原因、价值等级、价值理由和机会类型。新一轮未支持或部分支持记录还应提供 response_gap_type，无法归类时使用 unknown。</w:t>
      </w:r>
    </w:p>
    <w:p>
      <w:r>
        <w:rPr>
          <w:b w:val="0"/>
        </w:rPr>
        <w:t>确定的响应支持或未支持需要引用本记录实际响应证据。高或中价值标签必须有非空业务理由和后续建议。确定产品支持性必须有匹配能力规则；确定正确性或确认 BadCase 必须引用使用者提供、绑定当前记录的外部评测。脚本会拒绝缺依据的确认标签，但不能替 AI 证明语义判断正确。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3816"/>
        <w:gridCol w:w="4536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233B53"/>
          </w:tcPr>
          <w:p>
            <w:pPr>
              <w:keepNext/>
              <w:spacing w:after="0" w:line="269" w:lineRule="auto"/>
            </w:pPr>
            <w:r>
              <w:rPr>
                <w:b/>
                <w:color w:val="FFFFFF"/>
                <w:sz w:val="19"/>
              </w:rPr>
              <w:t>校验层</w:t>
            </w:r>
          </w:p>
        </w:tc>
        <w:tc>
          <w:tcPr>
            <w:tcW w:type="dxa" w:w="381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233B53"/>
          </w:tcPr>
          <w:p>
            <w:pPr>
              <w:keepNext/>
              <w:spacing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可发现的问题</w:t>
            </w:r>
          </w:p>
        </w:tc>
        <w:tc>
          <w:tcPr>
            <w:tcW w:type="dxa" w:w="453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233B53"/>
          </w:tcPr>
          <w:p>
            <w:pPr>
              <w:keepNext/>
              <w:spacing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仍需业务复核的内容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结构</w:t>
            </w:r>
          </w:p>
        </w:tc>
        <w:tc>
          <w:tcPr>
            <w:tcW w:type="dxa" w:w="381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缺字段 非法枚举 空价值理由</w:t>
            </w:r>
          </w:p>
        </w:tc>
        <w:tc>
          <w:tcPr>
            <w:tcW w:type="dxa" w:w="453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理由是否解释了真正用途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引用</w:t>
            </w:r>
          </w:p>
        </w:tc>
        <w:tc>
          <w:tcPr>
            <w:tcW w:type="dxa" w:w="381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不存在或跨记录证据</w:t>
            </w:r>
          </w:p>
        </w:tc>
        <w:tc>
          <w:tcPr>
            <w:tcW w:type="dxa" w:w="453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证据是否足以支持语义结论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能力与金标</w:t>
            </w:r>
          </w:p>
        </w:tc>
        <w:tc>
          <w:tcPr>
            <w:tcW w:type="dxa" w:w="381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规则缺失 评测不属于本记录</w:t>
            </w:r>
          </w:p>
        </w:tc>
        <w:tc>
          <w:tcPr>
            <w:tcW w:type="dxa" w:w="453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规则版本与业务范围是否适用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集合</w:t>
            </w:r>
          </w:p>
        </w:tc>
        <w:tc>
          <w:tcPr>
            <w:tcW w:type="dxa" w:w="381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重复ID 未覆盖却声明全量</w:t>
            </w:r>
          </w:p>
        </w:tc>
        <w:tc>
          <w:tcPr>
            <w:tcW w:type="dxa" w:w="453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样本是否代表真实业务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9"/>
              </w:rPr>
              <w:t>指标</w:t>
            </w:r>
          </w:p>
        </w:tc>
        <w:tc>
          <w:tcPr>
            <w:tcW w:type="dxa" w:w="381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9"/>
              </w:rPr>
              <w:t>数值 分子分母 成员不一致</w:t>
            </w:r>
          </w:p>
        </w:tc>
        <w:tc>
          <w:tcPr>
            <w:tcW w:type="dxa" w:w="453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9"/>
              </w:rPr>
              <w:t>AI标签是否正确</w:t>
            </w:r>
          </w:p>
        </w:tc>
      </w:tr>
    </w:tbl>
    <w:p>
      <w:pPr>
        <w:pStyle w:val="Caption"/>
      </w:pPr>
      <w:r>
        <w:rPr>
          <w:b w:val="0"/>
        </w:rPr>
      </w:r>
    </w:p>
    <w:p>
      <w:pPr>
        <w:pStyle w:val="Heading2"/>
      </w:pPr>
      <w:r>
        <w:t>12 3 兼容性和批次协同</w:t>
      </w:r>
    </w:p>
    <w:p>
      <w:r>
        <w:rPr>
          <w:b w:val="0"/>
        </w:rPr>
        <w:t>旧评审完全不含新增字段时允许兼容，但不从旧产品 support 推导实际 response_support，响应统计保持未知。一旦出现 V2 六字段中的任一个，必须提供完整六字段，避免部分升级看起来像已完成评审。</w:t>
      </w:r>
    </w:p>
    <w:p>
      <w:r>
        <w:rPr>
          <w:b w:val="0"/>
        </w:rPr>
        <w:t>本轮默认问题集划分为17批。批次可以并行阅读，但不能对同一 record_id 重复输出。合并前需要校准价值与 partial 的判断尺度：正常完成仍可有业务价值；相似查询缺少原对象约束时，不应只因执行过就判部分覆盖。已保存的评审文件与数据指纹一起构成分析依据。</w:t>
      </w:r>
    </w:p>
    <w:p>
      <w:pPr>
        <w:keepNext/>
      </w:pPr>
      <w:r>
        <w:rPr>
          <w:b w:val="0"/>
        </w:rPr>
        <w:t>scope=document_examples 用于旧文档实例；selected_records 用于选择范围；all_question_records 要求覆盖当前底表全部默认问题记录。--limit 是按当前顺序取前 N 条，不是随机抽样。若使用抽样结论，必须说明选择方式，不能把其比例外推为整体准确率。</w:t>
      </w:r>
    </w:p>
    <w:p>
      <w:pPr>
        <w:pStyle w:val="Caption"/>
        <w:spacing w:before="40"/>
      </w:pPr>
      <w:r>
        <w:rPr>
          <w:b w:val="0"/>
        </w:rPr>
        <w:t>依据 R7 prepare_review.compact_record  merge_reviews.check_item combine aggregate_metrics</w:t>
      </w:r>
    </w:p>
    <w:p>
      <w:pPr>
        <w:pStyle w:val="Heading1"/>
      </w:pPr>
      <w:r>
        <w:t>13 数据指纹与展示投影</w:t>
      </w:r>
    </w:p>
    <w:p>
      <w:pPr>
        <w:pStyle w:val="Heading2"/>
      </w:pPr>
      <w:r>
        <w:t>13 1 四种标识各自解决什么问题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3456"/>
        <w:gridCol w:w="4032"/>
      </w:tblGrid>
      <w:tr>
        <w:trPr>
          <w:cantSplit/>
          <w:tblHeader/>
        </w:trPr>
        <w:tc>
          <w:tcPr>
            <w:tcW w:type="dxa" w:w="24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233B53"/>
          </w:tcPr>
          <w:p>
            <w:pPr>
              <w:keepNext/>
              <w:spacing w:after="0" w:line="269" w:lineRule="auto"/>
            </w:pPr>
            <w:r>
              <w:rPr>
                <w:b/>
                <w:color w:val="FFFFFF"/>
                <w:sz w:val="19"/>
              </w:rPr>
              <w:t>标识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233B53"/>
          </w:tcPr>
          <w:p>
            <w:pPr>
              <w:keepNext/>
              <w:spacing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绑定内容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233B53"/>
          </w:tcPr>
          <w:p>
            <w:pPr>
              <w:keepNext/>
              <w:spacing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注意事项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原文件 SHA256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源文件全部字节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缩进或BOM变化也会改变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原始行内容哈希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解析对象的规范JSON内容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与文件字节哈希不同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analysis_fingerprint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整个规范底表对象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路径 生成时间 摘录或统计变化均可能改变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 w:val="0"/>
              <w:spacing w:after="0" w:line="269" w:lineRule="auto"/>
            </w:pPr>
            <w:r>
              <w:rPr>
                <w:sz w:val="19"/>
              </w:rPr>
              <w:t>capabilities_fingerprint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9"/>
              </w:rPr>
              <w:t>规范化能力与评测对象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9"/>
              </w:rPr>
              <w:t>规则或金标变化需重新绑定</w:t>
            </w:r>
          </w:p>
        </w:tc>
      </w:tr>
    </w:tbl>
    <w:p>
      <w:pPr>
        <w:pStyle w:val="Caption"/>
      </w:pPr>
      <w:r>
        <w:rPr>
          <w:b w:val="0"/>
        </w:rPr>
      </w:r>
    </w:p>
    <w:p>
      <w:r>
        <w:rPr>
          <w:b w:val="0"/>
        </w:rPr>
        <w:t>规范指纹通过排序键、固定 JSON 分隔形式和 UTF8 后计算 SHA256。它用于确认评审针对的是哪一版底表和哪一份依据。重新运行分析即使原始业务内容相同，也可能因生成时间或路径变化得到新指纹，所以不能把旧评审的指纹直接改成新值冒充重新评审。</w:t>
      </w:r>
    </w:p>
    <w:p>
      <w:r>
        <w:rPr>
          <w:b w:val="0"/>
        </w:rPr>
        <w:t>raw:来源:索引 是位置引用，不是哈希；record.id 也可能由 requestId 形成。文件字节哈希、单行内容哈希和整个 analysis 对象指纹应分别保存。哈希提供一致性检测，不是数字签名或作者认证，也不证明源数据和 AI 判断在业务上正确。</w:t>
      </w:r>
    </w:p>
    <w:p>
      <w:pPr>
        <w:pStyle w:val="Heading2"/>
      </w:pPr>
      <w:r>
        <w:t>13 2 canonical 与网页展示各有用途</w:t>
      </w:r>
    </w:p>
    <w:p>
      <w:r>
        <w:rPr>
          <w:b w:val="0"/>
        </w:rPr>
        <w:t>analysis.json 是本轮规范底表，reviewed_analysis.json 保存完整底表和已合并评审。渲染前重新验证评审绑定，并从条目重算 AI 指标，避免沿用被手工改过的汇总数值。</w:t>
      </w:r>
    </w:p>
    <w:p>
      <w:r>
        <w:rPr>
          <w:b w:val="0"/>
        </w:rPr>
        <w:t>HTML 使用展示投影控制体积：保留全部统计成员和被 AI 引用的证据，其他正文、节点或生成文本可以缩短；响应事实中重复的展示数据也可移除。原始底表不因渲染而改写。页面导出的是当前展示包，不能代替 canonical analysis 重新合并评审。</w:t>
      </w:r>
    </w:p>
    <w:p>
      <w:r>
        <w:rPr>
          <w:b w:val="0"/>
        </w:rPr>
        <w:t>大包采用 gzip 后以 base64 内嵌，现代浏览器通过 DecompressionStream 本地解压，无需 CDN 或模型 API。--uncompressed 可为旧浏览器生成更大的未压缩页面。浏览器仍需要解析展示包和建立索引，压缩降低传输及文件体积，不代表消除运行时内存成本。</w:t>
      </w:r>
    </w:p>
    <w:p>
      <w:pPr>
        <w:pStyle w:val="Heading2"/>
      </w:pPr>
      <w:r>
        <w:t>13 3 当前文件规模和适用边界</w:t>
      </w:r>
    </w:p>
    <w:p>
      <w:r>
        <w:rPr>
          <w:b w:val="0"/>
        </w:rPr>
        <w:t>本轮原始四文件共303,385,548字节，其中推理文件为271,103,221字节；规范底表约143.94 MB，完整评审报告约154.81 MB，当前 HTML 约25.08 MB。这里的 MB 按十进制换算，体积仅描述当前产物，不代表内存占用或并发容量。</w:t>
      </w:r>
    </w:p>
    <w:p>
      <w:pPr>
        <w:keepNext/>
      </w:pPr>
      <w:r>
        <w:rPr>
          <w:b w:val="0"/>
        </w:rPr>
        <w:t>当前解析、合并与原文读取均包含整份 JSON 载入过程，没有实现增量仓库、原始大文件随机索引或大规模多用户查询服务。需要扩展时，应先测量峰值内存、读取耗时和并发，再选择分片、JSONL、数据库或来源索引；本报告不预先给出未经测量的性能承诺。</w:t>
      </w:r>
    </w:p>
    <w:p>
      <w:pPr>
        <w:pStyle w:val="Caption"/>
        <w:spacing w:before="40"/>
      </w:pPr>
      <w:r>
        <w:rPr>
          <w:b w:val="0"/>
        </w:rPr>
        <w:t>依据 R7 review_common.fingerprint  render_dashboard.dashboard_bundle embedded_payload  本轮文件stat</w:t>
      </w:r>
    </w:p>
    <w:p>
      <w:pPr>
        <w:pStyle w:val="Heading1"/>
      </w:pPr>
      <w:r>
        <w:t>14 原文接口与访问边界</w:t>
      </w:r>
    </w:p>
    <w:p>
      <w:pPr>
        <w:pStyle w:val="Heading2"/>
      </w:pPr>
      <w:r>
        <w:t>14 1 从页面读取一个原始对象</w:t>
      </w:r>
    </w:p>
    <w:p>
      <w:r>
        <w:rPr>
          <w:b w:val="0"/>
        </w:rPr>
        <w:t>serve_dashboard.py 提供两个主要读取入口：根路径返回指定 HTML；/api/source 接收来源引用和底表指纹，返回被选中的原始数组对象、文件名、数组索引、文件 SHA256 及解码定位步骤。节点或检查引用最终定位到其所属原始对象，不执行日志里的命令。</w:t>
      </w:r>
    </w:p>
    <w:p>
      <w:pPr>
        <w:pStyle w:val="ReportCode"/>
        <w:keepNext w:val="0"/>
      </w:pPr>
      <w:r>
        <w:rPr>
          <w:b w:val="0"/>
        </w:rPr>
        <w:t>GET /api/source?ref=raw%3Adialogue%3A200&amp;fingerprint=本轮底表指纹</w:t>
      </w:r>
    </w:p>
    <w:p>
      <w:r>
        <w:rPr>
          <w:b w:val="0"/>
        </w:rPr>
        <w:t>请求必须匹配服务绑定的底表指纹，引用必须存在，文件名必须来自清单并位于 data-dir 内。来源目录可以在服务器上重新指定，只要文件名和原始文件字节仍与清单一致。页面显示的原始绝对路径保留历史定位，服务实际按 data-dir 与安全文件名读取。</w:t>
      </w:r>
    </w:p>
    <w:p>
      <w:r>
        <w:rPr>
          <w:b w:val="0"/>
        </w:rPr>
        <w:t>SourceStore 先检查文件修改时间和大小。首次加载或缓存失效时读取整个文件、核对完整文件 SHA256、解析数组并缓存，再返回一个对象。缓存有效时不会每次重算完整文件哈希，因此应保留受控原始快照，不能将这个缓存机制描述为每次读取都完成全文件取证。</w:t>
      </w:r>
    </w:p>
    <w:p>
      <w:pPr>
        <w:pStyle w:val="Heading2"/>
      </w:pPr>
      <w:r>
        <w:t>14 2 本机服务与离线模式</w:t>
      </w:r>
    </w:p>
    <w:p>
      <w:r>
        <w:rPr>
          <w:b w:val="0"/>
        </w:rPr>
        <w:t>服务绑定127.0.0.1，限制 Host 和 Origin，返回 no-store 与 nosniff 响应头，不设置通配 CORS。它是本机阅览服务，没有账号、权限分级或多租户授权系统。服务器使用时可通过 SSH 端口转发访问，不应据此假设已具备对公网开放的应用安全边界。</w:t>
      </w:r>
    </w:p>
    <w:p>
      <w:r>
        <w:rPr>
          <w:b w:val="0"/>
        </w:rPr>
        <w:t>离线打开 HTML 仍能看统计、证据和位置。完整原文按钮会解释本机服务或 CLI 读取要求；在匹配的本机 HTTP 页面里才直接请求来源接口。指纹不符、文件变更、引用不存在或路径不合规时，接口拒绝读取并提示核对数据，而不是用另一份文件静默替代。</w:t>
      </w:r>
    </w:p>
    <w:p>
      <w:pPr>
        <w:pStyle w:val="Heading2"/>
      </w:pPr>
      <w:r>
        <w:t>14 3 文本展示和导出</w:t>
      </w:r>
    </w:p>
    <w:p>
      <w:r>
        <w:rPr>
          <w:b w:val="0"/>
        </w:rPr>
        <w:t>模板把外部内容作为文本写入页面，避免把日志当作 HTML 执行。渲染时转义可能退出 JSON script 标签的字符；CSV 导出处理引号并对电子表格公式前缀加保护。这些措施减少内容被当成指令或公式执行的风险，但不替代部署环境的访问控制。</w:t>
      </w:r>
    </w:p>
    <w:p>
      <w:pPr>
        <w:keepNext/>
      </w:pPr>
      <w:r>
        <w:rPr>
          <w:b w:val="0"/>
        </w:rPr>
        <w:t>extract_source.py 适合不启动网页服务的对象提取。它根据给定底表计算指纹并检查源文件，输出原始对象及定位；它不额外持有一份独立信任的预期底表指纹。需要核对交付完整性时，应同时核对保存的产物 SHA256 与来源清单。</w:t>
      </w:r>
    </w:p>
    <w:p>
      <w:pPr>
        <w:pStyle w:val="Caption"/>
        <w:spacing w:before="40"/>
      </w:pPr>
      <w:r>
        <w:rPr>
          <w:b w:val="0"/>
        </w:rPr>
        <w:t>依据 R7 SourceStore.fetch Handler.do_GET extract_source.main  R8 loadOriginal sourceUrl csvCell</w:t>
      </w:r>
    </w:p>
    <w:p>
      <w:pPr>
        <w:pStyle w:val="Heading1"/>
      </w:pPr>
      <w:r>
        <w:t>15 运行与交付流程</w:t>
      </w:r>
    </w:p>
    <w:p>
      <w:pPr>
        <w:pStyle w:val="Heading2"/>
      </w:pPr>
      <w:r>
        <w:t>15 1 新一轮分析</w:t>
      </w:r>
    </w:p>
    <w:p>
      <w:r>
        <w:rPr>
          <w:b w:val="0"/>
        </w:rPr>
        <w:t>服务器需要 Python 3.9或以上。核心脚本使用标准库；AI 评审由能读取 Skill 和文件的助手执行。Node.js 仅用于可选界面测试。以下命令在 agent-data-flywheel 文件夹运行，输入目录和输出目录按实际位置设置，能力文件须在准备与合并时保持一致。</w:t>
      </w:r>
    </w:p>
    <w:p>
      <w:pPr>
        <w:pStyle w:val="ReportCode"/>
        <w:keepNext/>
      </w:pPr>
      <w:r>
        <w:rPr>
          <w:b w:val="0"/>
        </w:rPr>
        <w:t>data_dir=/srv/flywheel/data</w:t>
      </w:r>
    </w:p>
    <w:p>
      <w:pPr>
        <w:pStyle w:val="ReportCode"/>
        <w:keepNext/>
      </w:pPr>
      <w:r>
        <w:rPr>
          <w:b w:val="0"/>
        </w:rPr>
        <w:t>out_dir=/srv/flywheel/output</w:t>
      </w:r>
    </w:p>
    <w:p>
      <w:pPr>
        <w:pStyle w:val="ReportCode"/>
        <w:keepNext/>
      </w:pPr>
      <w:r>
        <w:rPr>
          <w:b w:val="0"/>
        </w:rPr>
        <w:t>python3 scripts/analyze.py --input-dir "$data_dir" --out "$out_dir"</w:t>
      </w:r>
    </w:p>
    <w:p>
      <w:pPr>
        <w:pStyle w:val="ReportCode"/>
        <w:keepNext/>
      </w:pPr>
      <w:r>
        <w:rPr>
          <w:b w:val="0"/>
        </w:rPr>
        <w:t>python3 scripts/prepare_review.py \</w:t>
      </w:r>
    </w:p>
    <w:p>
      <w:pPr>
        <w:pStyle w:val="ReportCode"/>
        <w:keepNext/>
      </w:pPr>
      <w:r>
        <w:rPr>
          <w:b w:val="0"/>
        </w:rPr>
        <w:t xml:space="preserve">  --analysis "$out_dir/analysis.json" \</w:t>
      </w:r>
    </w:p>
    <w:p>
      <w:pPr>
        <w:pStyle w:val="ReportCode"/>
        <w:keepNext/>
      </w:pPr>
      <w:r>
        <w:rPr>
          <w:b w:val="0"/>
        </w:rPr>
        <w:t xml:space="preserve">  --capabilities references/capabilities.empty.json \</w:t>
      </w:r>
    </w:p>
    <w:p>
      <w:pPr>
        <w:pStyle w:val="ReportCode"/>
        <w:keepNext w:val="0"/>
      </w:pPr>
      <w:r>
        <w:rPr>
          <w:b w:val="0"/>
        </w:rPr>
        <w:t xml:space="preserve">  --compact --batch-size 30 --out "$out_dir/review-batches"</w:t>
      </w:r>
    </w:p>
    <w:p>
      <w:r>
        <w:rPr>
          <w:b w:val="0"/>
        </w:rPr>
        <w:t>随后由 AI 读取 manifest、各批问题与证据，逐条写出 ai-reviews/review-*.json。这个步骤需要助手实际完成，不能用空评审或复制旧文件跳过。完成后核对选定 ID 集合，确认没有重叠或遗漏，再执行合并与渲染。</w:t>
      </w:r>
    </w:p>
    <w:p>
      <w:pPr>
        <w:pStyle w:val="ReportCode"/>
        <w:keepNext/>
      </w:pPr>
      <w:r>
        <w:rPr>
          <w:b w:val="0"/>
        </w:rPr>
        <w:t>python3 scripts/merge_reviews.py \</w:t>
      </w:r>
    </w:p>
    <w:p>
      <w:pPr>
        <w:pStyle w:val="ReportCode"/>
        <w:keepNext/>
      </w:pPr>
      <w:r>
        <w:rPr>
          <w:b w:val="0"/>
        </w:rPr>
        <w:t xml:space="preserve">  --analysis "$out_dir/analysis.json" \</w:t>
      </w:r>
    </w:p>
    <w:p>
      <w:pPr>
        <w:pStyle w:val="ReportCode"/>
        <w:keepNext/>
      </w:pPr>
      <w:r>
        <w:rPr>
          <w:b w:val="0"/>
        </w:rPr>
        <w:t xml:space="preserve">  --reviews "$out_dir"/ai-reviews/review-*.json \</w:t>
      </w:r>
    </w:p>
    <w:p>
      <w:pPr>
        <w:pStyle w:val="ReportCode"/>
        <w:keepNext/>
      </w:pPr>
      <w:r>
        <w:rPr>
          <w:b w:val="0"/>
        </w:rPr>
        <w:t xml:space="preserve">  --capabilities references/capabilities.empty.json \</w:t>
      </w:r>
    </w:p>
    <w:p>
      <w:pPr>
        <w:pStyle w:val="ReportCode"/>
        <w:keepNext/>
      </w:pPr>
      <w:r>
        <w:rPr>
          <w:b w:val="0"/>
        </w:rPr>
        <w:t xml:space="preserve">  --out "$out_dir/reviewed_analysis.json"</w:t>
      </w:r>
    </w:p>
    <w:p>
      <w:pPr>
        <w:pStyle w:val="ReportCode"/>
        <w:keepNext/>
      </w:pPr>
      <w:r>
        <w:rPr>
          <w:b w:val="0"/>
        </w:rPr>
        <w:t>python3 scripts/render_dashboard.py \</w:t>
      </w:r>
    </w:p>
    <w:p>
      <w:pPr>
        <w:pStyle w:val="ReportCode"/>
        <w:keepNext/>
      </w:pPr>
      <w:r>
        <w:rPr>
          <w:b w:val="0"/>
        </w:rPr>
        <w:t xml:space="preserve">  --report "$out_dir/reviewed_analysis.json" \</w:t>
      </w:r>
    </w:p>
    <w:p>
      <w:pPr>
        <w:pStyle w:val="ReportCode"/>
        <w:keepNext w:val="0"/>
      </w:pPr>
      <w:r>
        <w:rPr>
          <w:b w:val="0"/>
        </w:rPr>
        <w:t xml:space="preserve">  --out "$out_dir/dashboard.html"</w:t>
      </w:r>
    </w:p>
    <w:p>
      <w:r>
        <w:rPr>
          <w:b w:val="0"/>
        </w:rPr>
        <w:t>每轮输出应放在单独目录，避免上一轮评审文件被通配符再次合并。准备批次后尽量不重新生成底表；如原始数据、字段适配或依据发生变化，应明确建立新一轮分析与评审绑定。</w:t>
      </w:r>
    </w:p>
    <w:p>
      <w:pPr>
        <w:pStyle w:val="Heading2"/>
      </w:pPr>
      <w:r>
        <w:t>15 2 浏览原文与独立核验</w:t>
      </w:r>
    </w:p>
    <w:p>
      <w:pPr>
        <w:pStyle w:val="ReportCode"/>
        <w:keepNext/>
      </w:pPr>
      <w:r>
        <w:rPr>
          <w:b w:val="0"/>
        </w:rPr>
        <w:t>python3 scripts/serve_dashboard.py \</w:t>
      </w:r>
    </w:p>
    <w:p>
      <w:pPr>
        <w:pStyle w:val="ReportCode"/>
        <w:keepNext/>
      </w:pPr>
      <w:r>
        <w:rPr>
          <w:b w:val="0"/>
        </w:rPr>
        <w:t xml:space="preserve">  --report "$out_dir/reviewed_analysis.json" \</w:t>
      </w:r>
    </w:p>
    <w:p>
      <w:pPr>
        <w:pStyle w:val="ReportCode"/>
        <w:keepNext/>
      </w:pPr>
      <w:r>
        <w:rPr>
          <w:b w:val="0"/>
        </w:rPr>
        <w:t xml:space="preserve">  --html "$out_dir/dashboard.html" --data-dir "$data_dir" --port 8765</w:t>
      </w:r>
    </w:p>
    <w:p>
      <w:pPr>
        <w:pStyle w:val="ReportCode"/>
        <w:keepNext/>
      </w:pPr>
      <w:r>
        <w:rPr>
          <w:b w:val="0"/>
        </w:rPr>
        <w:t># 本机另开终端进行服务器转发</w:t>
      </w:r>
    </w:p>
    <w:p>
      <w:pPr>
        <w:pStyle w:val="ReportCode"/>
        <w:keepNext w:val="0"/>
      </w:pPr>
      <w:r>
        <w:rPr>
          <w:b w:val="0"/>
        </w:rPr>
        <w:t>ssh -N -L 8765:127.0.0.1:8765 用户名@服务器</w:t>
      </w:r>
    </w:p>
    <w:p>
      <w:r>
        <w:rPr>
          <w:b w:val="0"/>
        </w:rPr>
        <w:t>然后在本机浏览器访问 http://127.0.0.1:8765。直接双击 HTML 只使用嵌入内容。服务进程启动时读取指定 HTML，更新页面文件后需要重启服务；浏览器刷新后再查看新版本。</w:t>
      </w:r>
    </w:p>
    <w:p>
      <w:pPr>
        <w:pStyle w:val="ReportCode"/>
        <w:keepNext/>
      </w:pPr>
      <w:r>
        <w:rPr>
          <w:b w:val="0"/>
        </w:rPr>
        <w:t>python3 scripts/verify_lineage.py \</w:t>
      </w:r>
    </w:p>
    <w:p>
      <w:pPr>
        <w:pStyle w:val="ReportCode"/>
        <w:keepNext/>
      </w:pPr>
      <w:r>
        <w:rPr>
          <w:b w:val="0"/>
        </w:rPr>
        <w:t xml:space="preserve">  --analysis "$out_dir/analysis.json" \</w:t>
      </w:r>
    </w:p>
    <w:p>
      <w:pPr>
        <w:pStyle w:val="ReportCode"/>
        <w:keepNext/>
      </w:pPr>
      <w:r>
        <w:rPr>
          <w:b w:val="0"/>
        </w:rPr>
        <w:t xml:space="preserve">  --report "$out_dir/reviewed_analysis.json" \</w:t>
      </w:r>
    </w:p>
    <w:p>
      <w:pPr>
        <w:pStyle w:val="ReportCode"/>
        <w:keepNext/>
      </w:pPr>
      <w:r>
        <w:rPr>
          <w:b w:val="0"/>
        </w:rPr>
        <w:t xml:space="preserve">  --out "$out_dir/lineage-audit.json"</w:t>
      </w:r>
    </w:p>
    <w:p>
      <w:pPr>
        <w:pStyle w:val="ReportCode"/>
        <w:keepNext/>
      </w:pPr>
      <w:r>
        <w:rPr>
          <w:b w:val="0"/>
        </w:rPr>
        <w:t>python3 scripts/extract_source.py \</w:t>
      </w:r>
    </w:p>
    <w:p>
      <w:pPr>
        <w:pStyle w:val="ReportCode"/>
        <w:keepNext/>
      </w:pPr>
      <w:r>
        <w:rPr>
          <w:b w:val="0"/>
        </w:rPr>
        <w:t xml:space="preserve">  --analysis "$out_dir/analysis.json" --data-dir "$data_dir" \</w:t>
      </w:r>
    </w:p>
    <w:p>
      <w:pPr>
        <w:pStyle w:val="ReportCode"/>
        <w:keepNext w:val="0"/>
      </w:pPr>
      <w:r>
        <w:rPr>
          <w:b w:val="0"/>
        </w:rPr>
        <w:t xml:space="preserve">  --ref raw:dialogue:200 --out "$out_dir/source-dialogue-200.json"</w:t>
      </w:r>
    </w:p>
    <w:p>
      <w:r>
        <w:rPr>
          <w:b w:val="0"/>
        </w:rPr>
        <w:t>独立核验默认按底表中记录的来源路径检查原文件。若底表整体迁移而历史路径不可访问，可先确认原始快照位置，再重新分析或明确使用 --skip-source-files 仅检查已保存的内部引用；跳过源文件检查不能表述为原始文件已经通过核验。</w:t>
      </w:r>
    </w:p>
    <w:p>
      <w:pPr>
        <w:pStyle w:val="Heading2"/>
      </w:pPr>
      <w:r>
        <w:t>15 3 本次交付文件</w:t>
      </w:r>
    </w:p>
    <w:p>
      <w:pPr>
        <w:keepNext/>
      </w:pPr>
      <w:r>
        <w:rPr>
          <w:b w:val="0"/>
        </w:rPr>
        <w:t>当前交付保留 Skill 文件夹、完整分析底表、逐批及合并 AI 评审、静态看板、独立审计结果、使用教程和原始字段文档。真实原始 JSON 沿用外部数据目录，没有再次复制到通用 Skill 安装包。完整本地结果包保留运营摘要和标识符，本轮没有上传 GitHub。</w:t>
      </w:r>
    </w:p>
    <w:p>
      <w:pPr>
        <w:pStyle w:val="Caption"/>
        <w:spacing w:before="40"/>
      </w:pPr>
      <w:r>
        <w:rPr>
          <w:b w:val="0"/>
        </w:rPr>
        <w:t>依据 R2 README与启动看板.sh  R7 各脚本 --help  R9 交付校验.json</w:t>
      </w:r>
    </w:p>
    <w:p>
      <w:pPr>
        <w:pStyle w:val="Heading1"/>
      </w:pPr>
      <w:r>
        <w:t>16 验证方案与当前验收证据</w:t>
      </w:r>
    </w:p>
    <w:p>
      <w:pPr>
        <w:pStyle w:val="Heading2"/>
      </w:pPr>
      <w:r>
        <w:t>16 1 从数学一致性到业务正确性</w:t>
      </w:r>
    </w:p>
    <w:p>
      <w:r>
        <w:rPr>
          <w:b w:val="0"/>
        </w:rPr>
        <w:t>验收应分别覆盖脚本行为、统计引用、页面操作和 AI 语义。前两类适合自动化：例如重复 ID 被拒绝、比率分子属于分母、P95 秩正确、节点引用仍使用原始索引。页面操作则需要检查值可点击、分组成员正确、原文成功读取及异常提示。AI 语义还需要人工对照问题和响应，不能用结构校验代替。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3168"/>
        <w:gridCol w:w="5040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233B53"/>
          </w:tcPr>
          <w:p>
            <w:pPr>
              <w:keepNext/>
              <w:spacing w:after="0" w:line="269" w:lineRule="auto"/>
            </w:pPr>
            <w:r>
              <w:rPr>
                <w:b/>
                <w:color w:val="FFFFFF"/>
                <w:sz w:val="19"/>
              </w:rPr>
              <w:t>验收层</w:t>
            </w:r>
          </w:p>
        </w:tc>
        <w:tc>
          <w:tcPr>
            <w:tcW w:type="dxa" w:w="316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233B53"/>
          </w:tcPr>
          <w:p>
            <w:pPr>
              <w:keepNext/>
              <w:spacing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当前记录</w:t>
            </w:r>
          </w:p>
        </w:tc>
        <w:tc>
          <w:tcPr>
            <w:tcW w:type="dxa" w:w="504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233B53"/>
          </w:tcPr>
          <w:p>
            <w:pPr>
              <w:keepNext/>
              <w:spacing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可以说明什么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Python行为</w:t>
            </w:r>
          </w:p>
        </w:tc>
        <w:tc>
          <w:tcPr>
            <w:tcW w:type="dxa" w:w="316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71项测试通过</w:t>
            </w:r>
          </w:p>
        </w:tc>
        <w:tc>
          <w:tcPr>
            <w:tcW w:type="dxa" w:w="504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解析 汇总 契约及来源规则的回归检查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JavaScript逻辑</w:t>
            </w:r>
          </w:p>
        </w:tc>
        <w:tc>
          <w:tcPr>
            <w:tcW w:type="dxa" w:w="316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27项测试通过</w:t>
            </w:r>
          </w:p>
        </w:tc>
        <w:tc>
          <w:tcPr>
            <w:tcW w:type="dxa" w:w="504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数据绑定 空态 核心交互及解压往返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真实来源核验</w:t>
            </w:r>
          </w:p>
        </w:tc>
        <w:tc>
          <w:tcPr>
            <w:tcW w:type="dxa" w:w="316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4个文件 19,991个对象</w:t>
            </w:r>
          </w:p>
        </w:tc>
        <w:tc>
          <w:tcPr>
            <w:tcW w:type="dxa" w:w="504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文件字节 指纹 原始索引及行号一致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统计血缘核验</w:t>
            </w:r>
          </w:p>
        </w:tc>
        <w:tc>
          <w:tcPr>
            <w:tcW w:type="dxa" w:w="316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116项分析血缘 213项评审血缘</w:t>
            </w:r>
          </w:p>
        </w:tc>
        <w:tc>
          <w:tcPr>
            <w:tcW w:type="dxa" w:w="504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数学规则和成员引用可解析且一致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引用核对</w:t>
            </w:r>
          </w:p>
        </w:tc>
        <w:tc>
          <w:tcPr>
            <w:tcW w:type="dxa" w:w="316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602,257次引用出现</w:t>
            </w:r>
          </w:p>
        </w:tc>
        <w:tc>
          <w:tcPr>
            <w:tcW w:type="dxa" w:w="504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包括跨指标重复引用 不是独立问题量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 w:val="0"/>
              <w:spacing w:after="0" w:line="269" w:lineRule="auto"/>
            </w:pPr>
            <w:r>
              <w:rPr>
                <w:sz w:val="19"/>
              </w:rPr>
              <w:t>合成流程检查</w:t>
            </w:r>
          </w:p>
        </w:tc>
        <w:tc>
          <w:tcPr>
            <w:tcW w:type="dxa" w:w="316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9"/>
              </w:rPr>
              <w:t>完整流程及原文读取通过</w:t>
            </w:r>
          </w:p>
        </w:tc>
        <w:tc>
          <w:tcPr>
            <w:tcW w:type="dxa" w:w="504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9"/>
              </w:rPr>
              <w:t>正常回答 失败与仅END样本可区分</w:t>
            </w:r>
          </w:p>
        </w:tc>
      </w:tr>
    </w:tbl>
    <w:p>
      <w:pPr>
        <w:pStyle w:val="Caption"/>
      </w:pPr>
      <w:r>
        <w:rPr>
          <w:b w:val="0"/>
        </w:rPr>
      </w:r>
    </w:p>
    <w:p>
      <w:r>
        <w:rPr>
          <w:b w:val="0"/>
        </w:rPr>
        <w:t>以上为本轮已保存的验证记录，报告编写没有修改业务底表或重新评审全部语义标签。独立验证器与计算模块分离，按计数、比例、去重分组、质量问题项和测量分位数分别检查，避免用一个简单长度规则错误审核所有统计。</w:t>
      </w:r>
    </w:p>
    <w:p>
      <w:pPr>
        <w:pStyle w:val="Heading2"/>
      </w:pPr>
      <w:r>
        <w:t>16 2 需要保留的人工检查</w:t>
      </w:r>
    </w:p>
    <w:p>
      <w:r>
        <w:rPr>
          <w:b w:val="0"/>
        </w:rPr>
        <w:t>应定期复核明确支持、明确未支持、部分支持以及未知四类样本，重点检查对象、时间范围、单位和多意图覆盖。对价值标签需确认其描述问题用途，而不是是否有修复缺口。对确认错误与产品限制，应确认引用来自真实外部依据。</w:t>
      </w:r>
    </w:p>
    <w:p>
      <w:pPr>
        <w:keepNext/>
      </w:pPr>
      <w:r>
        <w:rPr>
          <w:b w:val="0"/>
        </w:rPr>
        <w:t>页面导入只能完成有限结构检查，未经合并脚本验证的自制 JSON 不应当作可信发布报告。抽屉基础键盘逻辑和响应式断点已实现，但完整浏览器矩阵、无障碍标准及多用户并发验收仍未完成。</w:t>
      </w:r>
    </w:p>
    <w:p>
      <w:pPr>
        <w:pStyle w:val="Caption"/>
        <w:spacing w:before="40"/>
      </w:pPr>
      <w:r>
        <w:rPr>
          <w:b w:val="0"/>
        </w:rPr>
        <w:t>依据 R6 lineage-audit.json  R9 交付校验.json  R7 tests  合成检查记录位于本地临时验证目录</w:t>
      </w:r>
    </w:p>
    <w:p>
      <w:pPr>
        <w:pStyle w:val="Heading1"/>
      </w:pPr>
      <w:r>
        <w:t>17 当前限制与治理重点</w:t>
      </w:r>
    </w:p>
    <w:p>
      <w:pPr>
        <w:pStyle w:val="Heading2"/>
      </w:pPr>
      <w:r>
        <w:t>17 1 数据与时间的限制</w:t>
      </w:r>
    </w:p>
    <w:p>
      <w:r>
        <w:rPr>
          <w:b w:val="0"/>
        </w:rPr>
        <w:t>本轮共有225项数据质量警告，其中220项为外层 updateTime 早于提问时间，5项为 SSE 没有观察到明确终止标志。解析错误计数为0，不等于业务失败为0。外壳时间矛盾说明不能用相减得到业务耗时；SSE 终止缺失说明可能截断，不能自动断言模型输出错误。</w:t>
      </w:r>
    </w:p>
    <w:p>
      <w:r>
        <w:rPr>
          <w:b w:val="0"/>
        </w:rPr>
        <w:t>只有部分对话有有效 costTime。对话 P95 使用138条有效非负测量，排除330条，最近秩为132，得到126,023毫秒。首 token P95 使用4,512条流式正值样本，最近秩为4,287，得到2,890毫秒；其他11,689条不进入此分母。性能解读必须与这些样本条件一起出现。</w:t>
      </w:r>
    </w:p>
    <w:p>
      <w:pPr>
        <w:pStyle w:val="Heading2"/>
      </w:pPr>
      <w:r>
        <w:t>17 2 语义与分类的限制</w:t>
      </w:r>
    </w:p>
    <w:p>
      <w:r>
        <w:rPr>
          <w:b w:val="0"/>
        </w:rPr>
        <w:t>当前支持性、价值和候选标签是 AI 评审结果，仍可能存在判断差异。主指标以 valid 对话为条件；若直接统计所有 unsupported 标签，会混入有效性非 valid 的记录并得到不同数字。报告和看板应使用脚本汇总的明确口径，而非从自由文本或标签总数另行拼分母。</w:t>
      </w:r>
    </w:p>
    <w:p>
      <w:r>
        <w:rPr>
          <w:b w:val="0"/>
        </w:rPr>
        <w:t>现有评审没有完整的模型版本、提示词版本和复核人台账，机会类型仍允许自由文本。后续应补充评审版本与分类词表，保留前后标签变化，以便解释同一问题在不同轮次的判断差异。</w:t>
      </w:r>
    </w:p>
    <w:p>
      <w:pPr>
        <w:pStyle w:val="Heading2"/>
      </w:pPr>
      <w:r>
        <w:t>17 3 工程与管理的限制</w:t>
      </w:r>
    </w:p>
    <w:p>
      <w:r>
        <w:rPr>
          <w:b w:val="0"/>
        </w:rPr>
        <w:t>静态文件和本机服务适合当前单次分析与内部阅览。源文件缓存、整包读取、长文本展示及大数组索引都需要容量测试，不能直接宣称已支持高并发或海量增量分析。若改为多人在线产品，还需要独立设计认证、项目级授权、审计记录与数据保留策略。</w:t>
      </w:r>
    </w:p>
    <w:p>
      <w:pPr>
        <w:keepNext/>
      </w:pPr>
      <w:r>
        <w:rPr>
          <w:b w:val="0"/>
        </w:rPr>
        <w:t>原文可追溯只意味着能够回到本轮使用的数据和证据。源文件的业务真实性、外部系统当时的状态、AI 标签正确性和修复后效果，仍需要相应的数据生产与复测机制保障。</w:t>
      </w:r>
    </w:p>
    <w:p>
      <w:pPr>
        <w:pStyle w:val="Caption"/>
        <w:spacing w:before="40"/>
      </w:pPr>
      <w:r>
        <w:rPr>
          <w:b w:val="0"/>
        </w:rPr>
        <w:t>依据 R3 quality_issues 与P95血缘  R5 review.items  R6 audit.limits  R7 SourceStore及前端实现</w:t>
      </w:r>
    </w:p>
    <w:p>
      <w:pPr>
        <w:pStyle w:val="Heading1"/>
      </w:pPr>
      <w:r>
        <w:t>18 后续闭环与演进方案</w:t>
      </w:r>
    </w:p>
    <w:p>
      <w:pPr>
        <w:pStyle w:val="Heading2"/>
      </w:pPr>
      <w:r>
        <w:t>18 1 先补人工确认和问题台账</w:t>
      </w:r>
    </w:p>
    <w:p>
      <w:r>
        <w:rPr>
          <w:b w:val="0"/>
        </w:rPr>
        <w:t>建议第一阶段为候选清单增加人工确认记录。每个案例关联 case_id、原 record_id、analysis_fingerprint、能力及评测依据指纹、评审版本、证据、确认结果、确认人、确认时间和适用产品版本。人工确认另行保存，不覆盖原 AI 标签。确认结果至少区分真实错误、能力边界、合理澄清、预期安全拒答、数据缺失及证据不足。该台账属于后续能力，当前界面尚未提供人工审批流程。</w:t>
      </w:r>
    </w:p>
    <w:p>
      <w:r>
        <w:rPr>
          <w:b w:val="0"/>
        </w:rPr>
        <w:t>案例去重应保留相似问题出现的频次和所有原始记录，不简单删除重复问题。相同文本可能因项目、时间、对象或产品版本不同而产生不同结果，聚类只能形成候选关联，最终合并规则应由业务确认。</w:t>
      </w:r>
    </w:p>
    <w:p>
      <w:pPr>
        <w:pStyle w:val="Heading2"/>
      </w:pPr>
      <w:r>
        <w:t>18 2 再接修复版本与复测</w:t>
      </w:r>
    </w:p>
    <w:p>
      <w:r>
        <w:rPr>
          <w:b w:val="0"/>
        </w:rPr>
        <w:t>确认问题后记录处理措施、负责人、修复版本或配置版本，以及关联回归集。复测需要保存输入、预期结果、实际输出、运行环境、版本、时间和人工或规则评定结果。原有分析保留为基线，新一轮评审建立自己的指纹，避免在同一底表上覆盖历史。</w:t>
      </w:r>
    </w:p>
    <w:p>
      <w:r>
        <w:rPr>
          <w:b w:val="0"/>
        </w:rPr>
        <w:t>例如，原问题的完整子设备路径被重写成父设备查询，修复方案可以针对约束保留逻辑建立回归。复测应确认原始路径、对象范围和时间条件都被保留，而不是只检查查询接口返回200或流程出现END。即使本次有两个结果，也应核对它们是否属于原请求范围。</w:t>
      </w:r>
    </w:p>
    <w:p>
      <w:pPr>
        <w:pStyle w:val="Heading2"/>
      </w:pPr>
      <w:r>
        <w:t>18 3 最后建立同口径对照</w:t>
      </w:r>
    </w:p>
    <w:p>
      <w:r>
        <w:rPr>
          <w:b w:val="0"/>
        </w:rPr>
        <w:t>发布后应分别观察固定回归集和新流入业务。固定回归集用于比较同一需求在不同版本的表现；新流入业务用于发现新需求和新失败模式。两者样本来源不同，应分开展示，避免把项目构成变化写成修复带来的提升。</w:t>
      </w:r>
    </w:p>
    <w:p>
      <w:r>
        <w:rPr>
          <w:b w:val="0"/>
        </w:rPr>
        <w:t>未来可以增加“有效复测任务通过率”和“已确认案例闭环率”。前者以完成有效复测的任务为分母，后者以本期纳入治理的已确认案例为分母，并明确截止时间、未完成状态和排除规则。当前缺少这些任务和生命周期数据，不显示修复率或OTA提升数字。</w:t>
      </w:r>
    </w:p>
    <w:p>
      <w:pPr>
        <w:pStyle w:val="Heading2"/>
      </w:pPr>
      <w:r>
        <w:t>18 4 逐步扩展分析能力</w:t>
      </w:r>
    </w:p>
    <w:p>
      <w:r>
        <w:rPr>
          <w:b w:val="0"/>
        </w:rPr>
        <w:t>业务层优先补能力矩阵、正确性金标与统一标签；数据层再补稳定用户ID、可靠跨源调用链和RAG检索证据；工程层依据测量结果引入增量存储、来源索引和多用户访问。只有补齐检索query、召回文档、得分、引用和评测，才能进一步讨论RAG召回或引用效果。</w:t>
      </w:r>
    </w:p>
    <w:p>
      <w:r>
        <w:rPr>
          <w:b w:val="0"/>
        </w:rPr>
        <w:t>这一演进顺序使每个新增指标都先有来源和分母，再进入看板。当前版本可以作为第一轮证据基线，后续每次改进继续沿用“指标到成员、成员到证据、证据到原文”的追溯路径。</w:t>
      </w:r>
    </w:p>
    <w:p>
      <w:pPr>
        <w:pStyle w:val="Heading1"/>
      </w:pPr>
      <w:r>
        <w:t>附录一 核心概念速查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08"/>
        <w:gridCol w:w="7128"/>
      </w:tblGrid>
      <w:tr>
        <w:trPr>
          <w:cantSplit/>
          <w:tblHeader/>
        </w:trPr>
        <w:tc>
          <w:tcPr>
            <w:tcW w:type="dxa" w:w="28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233B53"/>
          </w:tcPr>
          <w:p>
            <w:pPr>
              <w:keepNext/>
              <w:spacing w:after="0" w:line="269" w:lineRule="auto"/>
            </w:pPr>
            <w:r>
              <w:rPr>
                <w:b/>
                <w:color w:val="FFFFFF"/>
                <w:sz w:val="19"/>
              </w:rPr>
              <w:t>概念</w:t>
            </w:r>
          </w:p>
        </w:tc>
        <w:tc>
          <w:tcPr>
            <w:tcW w:type="dxa" w:w="71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233B53"/>
          </w:tcPr>
          <w:p>
            <w:pPr>
              <w:keepNext/>
              <w:spacing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本报告中的含义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Skill</w:t>
            </w:r>
          </w:p>
        </w:tc>
        <w:tc>
          <w:tcPr>
            <w:tcW w:type="dxa" w:w="71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供AI助手遵循的任务说明 脚本 模板和参考材料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规范底表 canonical analysis</w:t>
            </w:r>
          </w:p>
        </w:tc>
        <w:tc>
          <w:tcPr>
            <w:tcW w:type="dxa" w:w="71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本轮analysis.json 原始解析与统计的保存基线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评审批次</w:t>
            </w:r>
          </w:p>
        </w:tc>
        <w:tc>
          <w:tcPr>
            <w:tcW w:type="dxa" w:w="71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携带问题 响应证据与指纹的待评记录集合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有效问题</w:t>
            </w:r>
          </w:p>
        </w:tc>
        <w:tc>
          <w:tcPr>
            <w:tcW w:type="dxa" w:w="71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业务目的可辨识的需求 与产品能力和正确性分开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实际响应支持</w:t>
            </w:r>
          </w:p>
        </w:tc>
        <w:tc>
          <w:tcPr>
            <w:tcW w:type="dxa" w:w="71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本次响应覆盖主要诉求 不证明数值正确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产品能力支持</w:t>
            </w:r>
          </w:p>
        </w:tc>
        <w:tc>
          <w:tcPr>
            <w:tcW w:type="dxa" w:w="71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由使用者提供的版本与能力规则约束的判断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金标</w:t>
            </w:r>
          </w:p>
        </w:tc>
        <w:tc>
          <w:tcPr>
            <w:tcW w:type="dxa" w:w="71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外部人工标签或标准答案 需要绑定当前记录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BadCase候选</w:t>
            </w:r>
          </w:p>
        </w:tc>
        <w:tc>
          <w:tcPr>
            <w:tcW w:type="dxa" w:w="71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有待核验的问题线索 不等于已确认错误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业务价值</w:t>
            </w:r>
          </w:p>
        </w:tc>
        <w:tc>
          <w:tcPr>
            <w:tcW w:type="dxa" w:w="71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问题本身对运维工作的用途 不等于修复优先级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lineage 与 trace_id</w:t>
            </w:r>
          </w:p>
        </w:tc>
        <w:tc>
          <w:tcPr>
            <w:tcW w:type="dxa" w:w="71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9"/>
              </w:rPr>
              <w:t>统计口径及精确成员的索引和绑定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PIU</w:t>
            </w:r>
          </w:p>
        </w:tc>
        <w:tc>
          <w:tcPr>
            <w:tcW w:type="dxa" w:w="71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当前日志中的结构化组件输出 可含步骤和结果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SSE</w:t>
            </w:r>
          </w:p>
        </w:tc>
        <w:tc>
          <w:tcPr>
            <w:tcW w:type="dxa" w:w="71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流式返回事件格式 应在单个请求内部拼接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P95</w:t>
            </w:r>
          </w:p>
        </w:tc>
        <w:tc>
          <w:tcPr>
            <w:tcW w:type="dxa" w:w="71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9" w:lineRule="auto"/>
            </w:pPr>
            <w:r>
              <w:rPr>
                <w:sz w:val="19"/>
              </w:rPr>
              <w:t>将有效测量排序 按最近秩选择95%位置的值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 w:val="0"/>
              <w:spacing w:after="0" w:line="269" w:lineRule="auto"/>
            </w:pPr>
            <w:r>
              <w:rPr>
                <w:sz w:val="19"/>
              </w:rPr>
              <w:t>展示投影</w:t>
            </w:r>
          </w:p>
        </w:tc>
        <w:tc>
          <w:tcPr>
            <w:tcW w:type="dxa" w:w="71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1F5F8"/>
          </w:tcPr>
          <w:p>
            <w:pPr>
              <w:keepNext w:val="0"/>
              <w:spacing w:after="0" w:line="269" w:lineRule="auto"/>
            </w:pPr>
            <w:r>
              <w:rPr>
                <w:sz w:val="19"/>
              </w:rPr>
              <w:t>供网页查看的精简包 不用于替代底表重新合并</w:t>
            </w:r>
          </w:p>
        </w:tc>
      </w:tr>
    </w:tbl>
    <w:p>
      <w:pPr>
        <w:pStyle w:val="Caption"/>
      </w:pPr>
      <w:r>
        <w:rPr>
          <w:b w:val="0"/>
        </w:rPr>
      </w:r>
    </w:p>
    <w:p>
      <w:pPr>
        <w:pStyle w:val="Heading1"/>
      </w:pPr>
      <w:r>
        <w:t>附录二 文件契约与定位示例</w:t>
      </w:r>
    </w:p>
    <w:p>
      <w:r>
        <w:rPr>
          <w:b w:val="0"/>
        </w:rPr>
        <w:t>analysis.json 的核心部分为 provenance、sources、records、metrics、distributions、source_rows、lineage、usage 和 quality_issues。reviewed_analysis.json 在保存 analysis 的同时增加 review，包含逐条 items、指标、来源分组、月度、覆盖和依据指纹。当前 schema_version 保持1.0，V2是 Skill 与新增评审字段的版本表达。</w:t>
      </w:r>
    </w:p>
    <w:p>
      <w:pPr>
        <w:pStyle w:val="ReportCode"/>
        <w:keepNext/>
      </w:pPr>
      <w:r>
        <w:rPr>
          <w:b w:val="0"/>
        </w:rPr>
        <w:t>analysis.metrics[key].trace_id</w:t>
      </w:r>
    </w:p>
    <w:p>
      <w:pPr>
        <w:pStyle w:val="ReportCode"/>
        <w:keepNext/>
      </w:pPr>
      <w:r>
        <w:rPr>
          <w:b w:val="0"/>
        </w:rPr>
        <w:t xml:space="preserve">  → analysis.lineage[trace_id]</w:t>
      </w:r>
    </w:p>
    <w:p>
      <w:pPr>
        <w:pStyle w:val="ReportCode"/>
        <w:keepNext/>
      </w:pPr>
      <w:r>
        <w:rPr>
          <w:b w:val="0"/>
        </w:rPr>
        <w:t>review.primary_metrics[key].trace_id</w:t>
      </w:r>
    </w:p>
    <w:p>
      <w:pPr>
        <w:pStyle w:val="ReportCode"/>
        <w:keepNext/>
      </w:pPr>
      <w:r>
        <w:rPr>
          <w:b w:val="0"/>
        </w:rPr>
        <w:t xml:space="preserve">  → review.lineage[trace_id]</w:t>
      </w:r>
    </w:p>
    <w:p>
      <w:pPr>
        <w:pStyle w:val="ReportCode"/>
        <w:keepNext/>
      </w:pPr>
      <w:r>
        <w:rPr>
          <w:b w:val="0"/>
        </w:rPr>
        <w:t>trace 中的 record.id 或 raw:source:index</w:t>
      </w:r>
    </w:p>
    <w:p>
      <w:pPr>
        <w:pStyle w:val="ReportCode"/>
        <w:keepNext/>
      </w:pPr>
      <w:r>
        <w:rPr>
          <w:b w:val="0"/>
        </w:rPr>
        <w:t xml:space="preserve">  → records 或 source_rows</w:t>
      </w:r>
    </w:p>
    <w:p>
      <w:pPr>
        <w:pStyle w:val="ReportCode"/>
        <w:keepNext/>
      </w:pPr>
      <w:r>
        <w:rPr>
          <w:b w:val="0"/>
        </w:rPr>
        <w:t>record.evidence 与 raw_locator</w:t>
      </w:r>
    </w:p>
    <w:p>
      <w:pPr>
        <w:pStyle w:val="ReportCode"/>
        <w:keepNext w:val="0"/>
      </w:pPr>
      <w:r>
        <w:rPr>
          <w:b w:val="0"/>
        </w:rPr>
        <w:t xml:space="preserve">  → 原始文件 数组索引 行号及解码步骤</w:t>
      </w:r>
    </w:p>
    <w:p>
      <w:r>
        <w:rPr>
          <w:b w:val="0"/>
        </w:rPr>
        <w:t>源对象索引示例为 raw:dialogue:200，表示对话原数组的零基索引200，即第201个对象，不是文本第200行。反馈或对话记录中的e序号只在当前记录内有效。若数据重新规范化，证据序号或记录形态发生变化，必须以新批次重新评审，不能把旧引用简单复制到新数据。</w:t>
      </w:r>
    </w:p>
    <w:p>
      <w:r>
        <w:rPr>
          <w:b w:val="0"/>
        </w:rPr>
        <w:t>正式评审文件结构以 references/analysis-contract.md 为准。每份文件包含 schema_version、scope、analysis_fingerprint、capabilities_fingerprint 和 items。可复核的语义原因与证据是必需内容，不能只保存一组标签或一个最终百分比。</w:t>
      </w:r>
    </w:p>
    <w:p>
      <w:pPr>
        <w:pStyle w:val="Heading1"/>
      </w:pPr>
      <w:r>
        <w:t>附录三 资料依据与复核入口</w:t>
      </w:r>
    </w:p>
    <w:p>
      <w:r>
        <w:rPr>
          <w:b w:val="0"/>
        </w:rPr>
        <w:t>下列路径均相对于项目根目录“数据飞轮设计”。统计以已保存的真实数据版底表及报告为准；接口和模块行为以当前源码为准。本报告编制于2026年10月16日，原分析基线生成于2026年10月15日。</w:t>
      </w:r>
    </w:p>
    <w:p>
      <w:pPr>
        <w:keepNext/>
      </w:pPr>
      <w:r>
        <w:rPr>
          <w:b/>
        </w:rPr>
        <w:t>R0  四类原始JSON及完整文件字节</w:t>
      </w:r>
    </w:p>
    <w:p>
      <w:pPr>
        <w:pStyle w:val="ReportCode"/>
        <w:keepNext w:val="0"/>
      </w:pPr>
      <w:r>
        <w:rPr>
          <w:b w:val="0"/>
        </w:rPr>
        <w:t>真实数据/下载文件/数据飞轮/</w:t>
      </w:r>
    </w:p>
    <w:p>
      <w:pPr>
        <w:keepNext/>
      </w:pPr>
      <w:r>
        <w:rPr>
          <w:b/>
        </w:rPr>
        <w:t>R1  AI任务入口与执行顺序</w:t>
      </w:r>
    </w:p>
    <w:p>
      <w:pPr>
        <w:pStyle w:val="ReportCode"/>
        <w:keepNext w:val="0"/>
      </w:pPr>
      <w:r>
        <w:rPr>
          <w:b w:val="0"/>
        </w:rPr>
        <w:t>真实数据版/agent-data-flywheel/SKILL.md</w:t>
      </w:r>
    </w:p>
    <w:p>
      <w:pPr>
        <w:keepNext/>
      </w:pPr>
      <w:r>
        <w:rPr>
          <w:b/>
        </w:rPr>
        <w:t>R2  运行命令 口径与来源服务教程</w:t>
      </w:r>
    </w:p>
    <w:p>
      <w:pPr>
        <w:pStyle w:val="ReportCode"/>
        <w:keepNext w:val="0"/>
      </w:pPr>
      <w:r>
        <w:rPr>
          <w:b w:val="0"/>
        </w:rPr>
        <w:t>真实数据版/agent-data-flywheel/README.md</w:t>
      </w:r>
    </w:p>
    <w:p>
      <w:pPr>
        <w:keepNext/>
      </w:pPr>
      <w:r>
        <w:rPr>
          <w:b/>
        </w:rPr>
        <w:t>R3  规范化记录 使用统计与基础血缘</w:t>
      </w:r>
    </w:p>
    <w:p>
      <w:pPr>
        <w:pStyle w:val="ReportCode"/>
        <w:keepNext w:val="0"/>
      </w:pPr>
      <w:r>
        <w:rPr>
          <w:b w:val="0"/>
        </w:rPr>
        <w:t>真实数据版/分析结果/analysis.json</w:t>
      </w:r>
    </w:p>
    <w:p>
      <w:pPr>
        <w:keepNext/>
      </w:pPr>
      <w:r>
        <w:rPr>
          <w:b/>
        </w:rPr>
        <w:t>R4  509条默认问题记录的合并AI评审</w:t>
      </w:r>
    </w:p>
    <w:p>
      <w:pPr>
        <w:pStyle w:val="ReportCode"/>
        <w:keepNext w:val="0"/>
      </w:pPr>
      <w:r>
        <w:rPr>
          <w:b w:val="0"/>
        </w:rPr>
        <w:t>真实数据版/分析结果/ai_reviews.json</w:t>
      </w:r>
    </w:p>
    <w:p>
      <w:pPr>
        <w:keepNext/>
      </w:pPr>
      <w:r>
        <w:rPr>
          <w:b/>
        </w:rPr>
        <w:t>R5  完整底表 评审主指标及全部评审血缘</w:t>
      </w:r>
    </w:p>
    <w:p>
      <w:pPr>
        <w:pStyle w:val="ReportCode"/>
        <w:keepNext w:val="0"/>
      </w:pPr>
      <w:r>
        <w:rPr>
          <w:b w:val="0"/>
        </w:rPr>
        <w:t>真实数据版/分析结果/reviewed_analysis.json</w:t>
      </w:r>
    </w:p>
    <w:p>
      <w:pPr>
        <w:keepNext/>
      </w:pPr>
      <w:r>
        <w:rPr>
          <w:b/>
        </w:rPr>
        <w:t>R6  独立数学 引用和原文件定位核验</w:t>
      </w:r>
    </w:p>
    <w:p>
      <w:pPr>
        <w:pStyle w:val="ReportCode"/>
        <w:keepNext w:val="0"/>
      </w:pPr>
      <w:r>
        <w:rPr>
          <w:b w:val="0"/>
        </w:rPr>
        <w:t>真实数据版/分析结果/lineage-audit.json</w:t>
      </w:r>
    </w:p>
    <w:p>
      <w:pPr>
        <w:keepNext/>
      </w:pPr>
      <w:r>
        <w:rPr>
          <w:b/>
        </w:rPr>
        <w:t>R7  各脚本当前实现及references中的契约</w:t>
      </w:r>
    </w:p>
    <w:p>
      <w:pPr>
        <w:pStyle w:val="ReportCode"/>
        <w:keepNext w:val="0"/>
      </w:pPr>
      <w:r>
        <w:rPr>
          <w:b w:val="0"/>
        </w:rPr>
        <w:t>真实数据版/agent-data-flywheel/scripts/</w:t>
      </w:r>
    </w:p>
    <w:p>
      <w:pPr>
        <w:keepNext/>
      </w:pPr>
      <w:r>
        <w:rPr>
          <w:b/>
        </w:rPr>
        <w:t>R8  七页看板模板与交互实现</w:t>
      </w:r>
    </w:p>
    <w:p>
      <w:pPr>
        <w:pStyle w:val="ReportCode"/>
        <w:keepNext w:val="0"/>
      </w:pPr>
      <w:r>
        <w:rPr>
          <w:b w:val="0"/>
        </w:rPr>
        <w:t>真实数据版/agent-data-flywheel/assets/dashboard.html</w:t>
      </w:r>
    </w:p>
    <w:p>
      <w:pPr>
        <w:keepNext/>
      </w:pPr>
      <w:r>
        <w:rPr>
          <w:b/>
        </w:rPr>
        <w:t>R9  交付指纹和已保存自动验证记录</w:t>
      </w:r>
    </w:p>
    <w:p>
      <w:pPr>
        <w:pStyle w:val="ReportCode"/>
        <w:keepNext w:val="0"/>
      </w:pPr>
      <w:r>
        <w:rPr>
          <w:b w:val="0"/>
        </w:rPr>
        <w:t>真实数据版/交付校验.json</w:t>
      </w:r>
    </w:p>
    <w:p>
      <w:pPr>
        <w:keepNext/>
      </w:pPr>
      <w:r>
        <w:rPr>
          <w:b/>
        </w:rPr>
        <w:t>R10  字段说明 评审标准与完整JSON契约</w:t>
      </w:r>
    </w:p>
    <w:p>
      <w:pPr>
        <w:pStyle w:val="ReportCode"/>
        <w:keepNext w:val="0"/>
      </w:pPr>
      <w:r>
        <w:rPr>
          <w:b w:val="0"/>
        </w:rPr>
        <w:t>真实数据版/agent-data-flywheel/references/</w:t>
      </w:r>
    </w:p>
    <w:p>
      <w:r>
        <w:rPr>
          <w:b w:val="0"/>
        </w:rPr>
        <w:t>主要数学与记录来源可在看板中直接验证：主支持率 trace 为 review:source:dialogue:response_support_rate；项目和会话分别为 usage:active_projects 与 usage:active_sessions；对话耗时与首token分别为 metric:dialogue_cost_p95_ms 和 metric:first_token_p95_ms。</w:t>
      </w:r>
    </w:p>
    <w:p>
      <w:r>
        <w:rPr>
          <w:b w:val="0"/>
        </w:rPr>
        <w:t>原始字段文档与旧示例保留在 Skill 中，适合作为字段背景材料；其统计或示例不替代本轮真实底表。报告未引入外部行业基准，也未把未知值补成0或100%。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08" w:left="1152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2026年10月16日   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智能体数据飞轮详细设计报告   真实数据版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3" w:lineRule="auto" w:after="120"/>
    </w:pPr>
    <w:rPr>
      <w:rFonts w:ascii="Arial Unicode MS" w:hAnsi="Arial Unicode MS" w:eastAsia="Arial Unicode MS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Arial Unicode MS" w:hAnsi="Arial Unicode MS" w:eastAsia="Arial Unicode MS"/>
      <w:b w:val="0"/>
      <w:i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Arial Unicode MS" w:hAnsi="Arial Unicode MS" w:eastAsia="Arial Unicode MS"/>
      <w:b w:val="0"/>
      <w:i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cstheme="majorBidi" w:ascii="Arial Unicode MS" w:hAnsi="Arial Unicode MS" w:eastAsia="Arial Unicode MS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60"/>
      <w:outlineLvl w:val="1"/>
    </w:pPr>
    <w:rPr>
      <w:rFonts w:cstheme="majorBidi" w:ascii="Arial Unicode MS" w:hAnsi="Arial Unicode MS" w:eastAsia="Arial Unicode MS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160"/>
      <w:outlineLvl w:val="2"/>
    </w:pPr>
    <w:rPr>
      <w:rFonts w:cstheme="majorBidi" w:ascii="Arial Unicode MS" w:hAnsi="Arial Unicode MS" w:eastAsia="Arial Unicode MS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cstheme="majorBidi" w:ascii="Arial Unicode MS" w:hAnsi="Arial Unicode MS" w:eastAsia="Arial Unicode MS"/>
      <w:b/>
      <w:i w:val="0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cstheme="majorBidi" w:ascii="Arial Unicode MS" w:hAnsi="Arial Unicode MS" w:eastAsia="Arial Unicode MS"/>
      <w:b w:val="0"/>
      <w:i w:val="0"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  <w:b w:val="0"/>
      <w:i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Arial Unicode MS" w:hAnsi="Arial Unicode MS" w:eastAsia="Arial Unicode MS"/>
      <w:b w:val="0"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Code">
    <w:name w:val="Report Code"/>
    <w:pPr>
      <w:widowControl/>
      <w:spacing w:line="254" w:lineRule="auto" w:after="60"/>
      <w:ind w:left="144" w:right="58"/>
    </w:pPr>
    <w:rPr>
      <w:rFonts w:ascii="Menlo" w:hAnsi="Menlo" w:eastAsia="Arial Unicode MS"/>
      <w:b w:val="0"/>
      <w:i w:val="0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智能体数据飞轮详细设计报告</dc:title>
  <dc:subject>真实数据版 Skill 业务口径 AI评审 全指标溯源与部署设计</dc:subject>
  <dc:creator/>
  <cp:keywords>数据飞轮 Skill 指标血缘 AI评审 项目月度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