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 Table Templates</w:t>
      </w:r>
    </w:p>
    <w:bookmarkStart w:id="25" w:name="table-templates"/>
    <w:p>
      <w:pPr>
        <w:pStyle w:val="Heading1"/>
      </w:pPr>
      <w:r>
        <w:t xml:space="preserve">Table templates</w:t>
      </w:r>
    </w:p>
    <w:p>
      <w:pPr>
        <w:pStyle w:val="FirstParagraph"/>
      </w:pPr>
      <w:r>
        <w:rPr>
          <w:b/>
          <w:bCs/>
        </w:rPr>
        <w:t xml:space="preserve">Always use the APA publication manual and check your tables against it.</w:t>
      </w:r>
    </w:p>
    <w:p>
      <w:pPr>
        <w:pStyle w:val="BodyText"/>
      </w:pPr>
      <w:r>
        <w:t xml:space="preserve">American Psychological Association. (2020).</w:t>
      </w:r>
      <w:r>
        <w:t xml:space="preserve"> </w:t>
      </w:r>
      <w:r>
        <w:rPr>
          <w:i/>
          <w:iCs/>
        </w:rPr>
        <w:t xml:space="preserve">Publication manual of the American Psychological Association</w:t>
      </w:r>
      <w:r>
        <w:t xml:space="preserve"> </w:t>
      </w:r>
      <w:r>
        <w:t xml:space="preserve">(7th ed.). Washington, DC: American Psychological Association.</w:t>
      </w:r>
    </w:p>
    <w:bookmarkStart w:id="20" w:name="a-few-reminders-about-tables"/>
    <w:p>
      <w:pPr>
        <w:pStyle w:val="Heading2"/>
      </w:pPr>
      <w:r>
        <w:t xml:space="preserve">A few reminders about tables</w:t>
      </w:r>
    </w:p>
    <w:p>
      <w:pPr>
        <w:pStyle w:val="FirstParagraph"/>
      </w:pPr>
      <w:r>
        <w:rPr>
          <w:b/>
          <w:bCs/>
        </w:rPr>
        <w:t xml:space="preserve">Abbreviations:</w:t>
      </w:r>
    </w:p>
    <w:p>
      <w:pPr>
        <w:pStyle w:val="ListParagraph"/>
        <w:numPr>
          <w:ilvl w:val="0"/>
          <w:numId w:val="100"/>
        </w:numPr>
        <w:spacing w:before="0" w:after="120" w:line="288" w:lineRule="auto"/>
        <w:widowControl/>
      </w:pPr>
      <w:r>
        <w:t xml:space="preserve">Explain table abbreviations in the table caption or note section except for stats related abbreviations such as</w:t>
      </w:r>
      <w:r>
        <w:t xml:space="preserve"> </w:t>
      </w:r>
      <w:r>
        <w:t xml:space="preserve">“n”</w:t>
      </w:r>
      <w:r>
        <w:t xml:space="preserve">,</w:t>
      </w:r>
      <w:r>
        <w:t xml:space="preserve"> </w:t>
      </w:r>
      <w:r>
        <w:t xml:space="preserve">“p”</w:t>
      </w:r>
      <w:r>
        <w:t xml:space="preserve">,</w:t>
      </w:r>
      <w:r>
        <w:t xml:space="preserve"> </w:t>
      </w:r>
      <w:r>
        <w:t xml:space="preserve">“SE”</w:t>
      </w:r>
      <w:r>
        <w:t xml:space="preserve">,</w:t>
      </w:r>
      <w:r>
        <w:t xml:space="preserve"> </w:t>
      </w:r>
      <w:r>
        <w:t xml:space="preserve">“SD”</w:t>
      </w:r>
      <w:r>
        <w:t xml:space="preserve">,</w:t>
      </w:r>
      <w:r>
        <w:t xml:space="preserve"> </w:t>
      </w:r>
      <w:r>
        <w:t xml:space="preserve">“OR”</w:t>
      </w:r>
      <w:r>
        <w:t xml:space="preserve">,</w:t>
      </w:r>
      <w:r>
        <w:t xml:space="preserve"> </w:t>
      </w:r>
      <w:r>
        <w:t xml:space="preserve">“CI”</w:t>
      </w:r>
      <w:r>
        <w:t xml:space="preserve">, and</w:t>
      </w:r>
      <w:r>
        <w:t xml:space="preserve"> </w:t>
      </w:r>
      <w:r>
        <w:t xml:space="preserve">“M”</w:t>
      </w:r>
      <w:r>
        <w:t xml:space="preserve">.</w:t>
      </w:r>
    </w:p>
    <w:p>
      <w:pPr>
        <w:pStyle w:val="FirstParagraph"/>
      </w:pPr>
      <w:r>
        <w:rPr>
          <w:b/>
          <w:bCs/>
        </w:rPr>
        <w:t xml:space="preserve">Column headers:</w:t>
      </w:r>
    </w:p>
    <w:p>
      <w:pPr>
        <w:pStyle w:val="ListParagraph"/>
        <w:numPr>
          <w:ilvl w:val="0"/>
          <w:numId w:val="101"/>
        </w:numPr>
        <w:spacing w:before="0" w:after="120" w:line="288" w:lineRule="auto"/>
        <w:widowControl/>
      </w:pPr>
      <w:r>
        <w:t xml:space="preserve">Make sure to give each table column a header.</w:t>
      </w:r>
    </w:p>
    <w:p>
      <w:pPr>
        <w:pStyle w:val="ListParagraph"/>
        <w:numPr>
          <w:ilvl w:val="0"/>
          <w:numId w:val="101"/>
        </w:numPr>
        <w:spacing w:before="0" w:after="120" w:line="288" w:lineRule="auto"/>
        <w:widowControl/>
      </w:pPr>
      <w:r>
        <w:t xml:space="preserve">Put column headers such as N, M, SD, df, and p in italics.</w:t>
      </w:r>
    </w:p>
    <w:p>
      <w:pPr>
        <w:pStyle w:val="ListParagraph"/>
        <w:numPr>
          <w:ilvl w:val="0"/>
          <w:numId w:val="101"/>
        </w:numPr>
        <w:spacing w:before="0" w:after="120" w:line="288" w:lineRule="auto"/>
        <w:widowControl/>
      </w:pPr>
      <w:r>
        <w:t xml:space="preserve">Do not use a column header called</w:t>
      </w:r>
      <w:r>
        <w:t xml:space="preserve"> </w:t>
      </w:r>
      <w:r>
        <w:t xml:space="preserve">“Sig.”</w:t>
      </w:r>
      <w:r>
        <w:t xml:space="preserve"> </w:t>
      </w:r>
      <w:r>
        <w:t xml:space="preserve">or</w:t>
      </w:r>
      <w:r>
        <w:t xml:space="preserve"> </w:t>
      </w:r>
      <w:r>
        <w:t xml:space="preserve">“Significance”</w:t>
      </w:r>
      <w:r>
        <w:t xml:space="preserve">, rather use</w:t>
      </w:r>
      <w:r>
        <w:t xml:space="preserve"> </w:t>
      </w:r>
      <w:r>
        <w:t xml:space="preserve">“p”</w:t>
      </w:r>
      <w:r>
        <w:t xml:space="preserve"> </w:t>
      </w:r>
      <w:r>
        <w:t xml:space="preserve">in italics as the column header.</w:t>
      </w:r>
    </w:p>
    <w:p>
      <w:pPr>
        <w:pStyle w:val="ListParagraph"/>
        <w:numPr>
          <w:ilvl w:val="0"/>
          <w:numId w:val="101"/>
        </w:numPr>
        <w:spacing w:before="0" w:after="120" w:line="288" w:lineRule="auto"/>
        <w:widowControl/>
      </w:pPr>
      <w:r>
        <w:t xml:space="preserve">When you report CI you need to label the columns</w:t>
      </w:r>
      <w:r>
        <w:t xml:space="preserve"> </w:t>
      </w:r>
      <w:r>
        <w:t xml:space="preserve">“Lower limit”</w:t>
      </w:r>
      <w:r>
        <w:t xml:space="preserve"> </w:t>
      </w:r>
      <w:r>
        <w:t xml:space="preserve">and</w:t>
      </w:r>
      <w:r>
        <w:t xml:space="preserve"> </w:t>
      </w:r>
      <w:r>
        <w:t xml:space="preserve">“Upper Limit”</w:t>
      </w:r>
      <w:r>
        <w:t xml:space="preserve"> </w:t>
      </w:r>
      <w:r>
        <w:t xml:space="preserve">or</w:t>
      </w:r>
      <w:r>
        <w:t xml:space="preserve"> </w:t>
      </w:r>
      <w:r>
        <w:t xml:space="preserve">“LL”</w:t>
      </w:r>
      <w:r>
        <w:t xml:space="preserve"> </w:t>
      </w:r>
      <w:r>
        <w:t xml:space="preserve">and</w:t>
      </w:r>
      <w:r>
        <w:t xml:space="preserve"> </w:t>
      </w:r>
      <w:r>
        <w:t xml:space="preserve">“UL”</w:t>
      </w:r>
      <w:r>
        <w:t xml:space="preserve"> </w:t>
      </w:r>
      <w:r>
        <w:t xml:space="preserve">and then explain the abbreviation in the table note section, note the APA manual 7</w:t>
      </w:r>
      <w:r>
        <w:rPr>
          <w:vertAlign w:val="superscript"/>
        </w:rPr>
        <w:t xml:space="preserve">th</w:t>
      </w:r>
      <w:r>
        <w:t xml:space="preserve"> </w:t>
      </w:r>
      <w:r>
        <w:t xml:space="preserve">ed. For example, tables 7.16 and 7.17 (pp. 219-220) on ideas for reporting CI.</w:t>
      </w:r>
    </w:p>
    <w:p>
      <w:pPr>
        <w:pStyle w:val="FirstParagraph"/>
      </w:pPr>
      <w:r>
        <w:rPr>
          <w:b/>
          <w:bCs/>
        </w:rPr>
        <w:t xml:space="preserve">Other:</w:t>
      </w:r>
    </w:p>
    <w:p>
      <w:pPr>
        <w:pStyle w:val="ListParagraph"/>
        <w:numPr>
          <w:ilvl w:val="0"/>
          <w:numId w:val="102"/>
        </w:numPr>
        <w:spacing w:before="0" w:after="120" w:line="288" w:lineRule="auto"/>
        <w:widowControl/>
      </w:pPr>
      <w:r>
        <w:t xml:space="preserve">Avoid using scale/questionnaire names in tables. In general, leave scale names out of all sections except the measurement section. Report the concept(s) you are measuring (e.g., stress, anxiety). The exception to this rule is if you are specifically talking about the scale(s) in question (e.g., DASS) rather than the concepts it measures.</w:t>
      </w:r>
    </w:p>
    <w:p>
      <w:pPr>
        <w:pStyle w:val="ListParagraph"/>
        <w:numPr>
          <w:ilvl w:val="0"/>
          <w:numId w:val="102"/>
        </w:numPr>
        <w:spacing w:before="0" w:after="120" w:line="288" w:lineRule="auto"/>
        <w:widowControl/>
      </w:pPr>
      <w:r>
        <w:t xml:space="preserve">In general, remove all vertical lines.</w:t>
      </w:r>
    </w:p>
    <w:p>
      <w:pPr>
        <w:pStyle w:val="ListParagraph"/>
        <w:numPr>
          <w:ilvl w:val="0"/>
          <w:numId w:val="102"/>
        </w:numPr>
        <w:spacing w:before="0" w:after="120" w:line="288" w:lineRule="auto"/>
        <w:widowControl/>
      </w:pPr>
      <w:r>
        <w:t xml:space="preserve">In general, remove all horizontal lines except the first two and the last. There are some exceptions as per the tables shown here below.</w:t>
      </w:r>
    </w:p>
    <w:p>
      <w:pPr>
        <w:pStyle w:val="ListParagraph"/>
        <w:numPr>
          <w:ilvl w:val="0"/>
          <w:numId w:val="102"/>
        </w:numPr>
        <w:spacing w:before="0" w:after="120" w:line="288" w:lineRule="auto"/>
        <w:widowControl/>
      </w:pPr>
      <w:r>
        <w:t xml:space="preserve">No need to report</w:t>
      </w:r>
      <w:r>
        <w:t xml:space="preserve"> </w:t>
      </w:r>
      <w:r>
        <w:t xml:space="preserve">“* p &lt; .05. ** p &lt; .01. ***p &lt; .001.”</w:t>
      </w:r>
      <w:r>
        <w:t xml:space="preserve"> </w:t>
      </w:r>
      <w:r>
        <w:t xml:space="preserve">or any asterisks in a table that already reports exact p values in a p value column.</w:t>
      </w:r>
    </w:p>
    <w:p>
      <w:pPr>
        <w:pStyle w:val="ListParagraph"/>
        <w:numPr>
          <w:ilvl w:val="0"/>
          <w:numId w:val="102"/>
        </w:numPr>
        <w:spacing w:before="0" w:after="120" w:line="288" w:lineRule="auto"/>
        <w:widowControl/>
      </w:pPr>
      <w:r>
        <w:t xml:space="preserve">Note that p values cannot be zero thus replace</w:t>
      </w:r>
      <w:r>
        <w:t xml:space="preserve"> </w:t>
      </w:r>
      <w:r>
        <w:t xml:space="preserve">“.000”</w:t>
      </w:r>
      <w:r>
        <w:t xml:space="preserve"> </w:t>
      </w:r>
      <w:r>
        <w:t xml:space="preserve">with</w:t>
      </w:r>
      <w:r>
        <w:t xml:space="preserve"> </w:t>
      </w:r>
      <w:r>
        <w:t xml:space="preserve">“&lt;.001”</w:t>
      </w:r>
      <w:r>
        <w:t xml:space="preserve">.</w:t>
      </w:r>
    </w:p>
    <w:bookmarkEnd w:id="20"/>
    <w:bookmarkStart w:id="21" w:name="sample-descriptives-table"/>
    <w:p>
      <w:pPr>
        <w:pStyle w:val="Heading2"/>
      </w:pPr>
      <w:r>
        <w:t xml:space="preserve">Sample Descriptives Table</w:t>
      </w:r>
    </w:p>
    <w:p>
      <w:pPr>
        <w:pStyle w:val="FirstParagraph"/>
      </w:pPr>
      <w:r>
        <w:rPr>
          <w:b/>
          <w:bCs/>
        </w:rPr>
        <w:t xml:space="preserve">Table XX</w:t>
      </w:r>
    </w:p>
    <w:p>
      <w:pPr>
        <w:pStyle w:val="BodyText"/>
      </w:pPr>
      <w:r>
        <w:rPr>
          <w:i/>
          <w:iCs/>
        </w:rPr>
        <w:t xml:space="preserve">Sample Demographics</w:t>
      </w:r>
    </w:p>
    <w:tbl>
      <w:tblPr>
        <w:tblStyle w:val="Table"/>
        <w:tblW w:type="pct" w:w="5000"/>
        <w:tblLayout w:type="fixed"/>
        <w:tblLook w:firstRow="1" w:lastRow="0" w:firstColumn="0" w:lastColumn="0" w:noHBand="0" w:noVBand="0" w:val="0020"/>
      </w:tblPr>
      <w:tblGrid>
        <w:gridCol w:w="1606"/>
        <w:gridCol w:w="1377"/>
        <w:gridCol w:w="1721"/>
        <w:gridCol w:w="1606"/>
        <w:gridCol w:w="1606"/>
      </w:tblGrid>
      <w:tr>
        <w:trPr>
          <w:tblHeader w:val="on"/>
        </w:trPr>
        <w:tc>
          <w:tcPr/>
          <w:p>
            <w:pPr>
              <w:pStyle w:val="Compact"/>
              <w:jc w:val="left"/>
            </w:pPr>
            <w:r>
              <w:t xml:space="preserve">Column Label</w:t>
            </w:r>
          </w:p>
        </w:tc>
        <w:tc>
          <w:tcPr/>
          <w:p>
            <w:pPr>
              <w:pStyle w:val="Compact"/>
              <w:jc w:val="center"/>
            </w:pPr>
            <w:r>
              <w:rPr>
                <w:i/>
                <w:iCs/>
              </w:rPr>
              <w:t xml:space="preserve">M</w:t>
            </w:r>
            <w:r>
              <w:t xml:space="preserve"> </w:t>
            </w:r>
            <w:r>
              <w:t xml:space="preserve">(</w:t>
            </w:r>
            <w:r>
              <w:rPr>
                <w:i/>
                <w:iCs/>
              </w:rPr>
              <w:t xml:space="preserve">SD</w:t>
            </w:r>
            <w:r>
              <w:t xml:space="preserve">)</w:t>
            </w:r>
          </w:p>
        </w:tc>
        <w:tc>
          <w:tcPr/>
          <w:p>
            <w:pPr>
              <w:pStyle w:val="Compact"/>
              <w:jc w:val="center"/>
            </w:pPr>
            <w:r>
              <w:rPr>
                <w:i/>
                <w:iCs/>
              </w:rPr>
              <w:t xml:space="preserve">n</w:t>
            </w:r>
            <w:r>
              <w:t xml:space="preserve"> </w:t>
            </w:r>
            <w:r>
              <w:t xml:space="preserve">(% total)</w:t>
            </w:r>
          </w:p>
        </w:tc>
        <w:tc>
          <w:tcPr/>
          <w:p>
            <w:pPr>
              <w:pStyle w:val="Compact"/>
              <w:jc w:val="center"/>
            </w:pPr>
            <w:r>
              <w:t xml:space="preserve">3</w:t>
            </w:r>
            <w:r>
              <w:rPr>
                <w:vertAlign w:val="superscript"/>
              </w:rPr>
              <w:t xml:space="preserve">rd</w:t>
            </w:r>
            <w:r>
              <w:t xml:space="preserve"> </w:t>
            </w:r>
            <w:r>
              <w:t xml:space="preserve">Column</w:t>
            </w:r>
          </w:p>
        </w:tc>
        <w:tc>
          <w:tcPr/>
          <w:p>
            <w:pPr>
              <w:pStyle w:val="Compact"/>
              <w:jc w:val="center"/>
            </w:pPr>
            <w:r>
              <w:t xml:space="preserve">4</w:t>
            </w:r>
            <w:r>
              <w:rPr>
                <w:vertAlign w:val="superscript"/>
              </w:rPr>
              <w:t xml:space="preserve">th</w:t>
            </w:r>
            <w:r>
              <w:t xml:space="preserve"> </w:t>
            </w:r>
            <w:r>
              <w:t xml:space="preserve">Column</w:t>
            </w:r>
          </w:p>
        </w:tc>
      </w:tr>
      <w:tr>
        <w:tc>
          <w:tcPr/>
          <w:p>
            <w:pPr>
              <w:pStyle w:val="Compact"/>
              <w:jc w:val="left"/>
            </w:pPr>
            <w:r>
              <w:t xml:space="preserve">Var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2</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3</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4</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5</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rPr>
          <w:i/>
          <w:iCs/>
        </w:rPr>
        <w:t xml:space="preserve">Note.</w:t>
      </w:r>
      <w:r>
        <w:t xml:space="preserve"> </w:t>
      </w:r>
      <w:r>
        <w:t xml:space="preserve">See APA manual beginning on p. 210 for additional examples.</w:t>
      </w:r>
    </w:p>
    <w:bookmarkEnd w:id="21"/>
    <w:bookmarkStart w:id="22" w:name="sample-correlation-table"/>
    <w:p>
      <w:pPr>
        <w:pStyle w:val="Heading2"/>
      </w:pPr>
      <w:r>
        <w:t xml:space="preserve">Sample Correlation Table</w:t>
      </w:r>
    </w:p>
    <w:p>
      <w:pPr>
        <w:pStyle w:val="FirstParagraph"/>
      </w:pPr>
      <w:r>
        <w:rPr>
          <w:b/>
          <w:bCs/>
        </w:rPr>
        <w:t xml:space="preserve">Table XX</w:t>
      </w:r>
    </w:p>
    <w:p>
      <w:pPr>
        <w:pStyle w:val="BodyText"/>
      </w:pPr>
      <w:r>
        <w:rPr>
          <w:i/>
          <w:iCs/>
        </w:rPr>
        <w:t xml:space="preserve">Descriptive Statistics and Correlations for Study Variables</w:t>
      </w:r>
    </w:p>
    <w:p>
      <w:pPr>
        <w:pStyle w:val="TableCaption"/>
      </w:pPr>
      <w:r>
        <w:t xml:space="preserve">Correlations and descriptive statistics</w:t>
      </w:r>
    </w:p>
    <w:tbl>
      <w:tblPr>
        <w:tblStyle w:val="Table"/>
        <w:tblW w:type="pct" w:w="5000"/>
        <w:tblLayout w:type="fixed"/>
        <w:tblLook w:firstRow="1" w:lastRow="0" w:firstColumn="0" w:lastColumn="0" w:noHBand="0" w:noVBand="0" w:val="0020"/>
        <w:tblCaption w:val="Correlations and descriptive statistics"/>
      </w:tblPr>
      <w:tblGrid>
        <w:gridCol w:w="1980"/>
        <w:gridCol w:w="554"/>
        <w:gridCol w:w="633"/>
        <w:gridCol w:w="633"/>
        <w:gridCol w:w="871"/>
        <w:gridCol w:w="871"/>
        <w:gridCol w:w="792"/>
        <w:gridCol w:w="792"/>
        <w:gridCol w:w="792"/>
      </w:tblGrid>
      <w:tr>
        <w:trPr>
          <w:tblHeader w:val="on"/>
        </w:trPr>
        <w:tc>
          <w:tcPr/>
          <w:p>
            <w:pPr>
              <w:pStyle w:val="Compact"/>
              <w:jc w:val="left"/>
            </w:pPr>
            <w:r>
              <w:t xml:space="preserve">Variable</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1. Race/Ethnicity</w:t>
            </w:r>
            <w:r>
              <w:rPr>
                <w:vertAlign w:val="superscript"/>
              </w:rPr>
              <w:t xml:space="preserve">a</w:t>
            </w:r>
          </w:p>
        </w:tc>
        <w:tc>
          <w:tcPr/>
          <w:p>
            <w:pPr>
              <w:pStyle w:val="Compact"/>
              <w:jc w:val="center"/>
            </w:pPr>
            <w:r>
              <w:t xml:space="preserve">367</w:t>
            </w:r>
          </w:p>
        </w:tc>
        <w:tc>
          <w:tcPr/>
          <w:p>
            <w:pPr>
              <w:pStyle w:val="Compact"/>
              <w:jc w:val="center"/>
            </w:pPr>
            <w:r>
              <w:t xml:space="preserve">0.43</w:t>
            </w:r>
          </w:p>
        </w:tc>
        <w:tc>
          <w:tcPr/>
          <w:p>
            <w:pPr>
              <w:pStyle w:val="Compact"/>
              <w:jc w:val="center"/>
            </w:pPr>
            <w:r>
              <w:t xml:space="preserve">0.49</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Aggression</w:t>
            </w:r>
          </w:p>
        </w:tc>
        <w:tc>
          <w:tcPr/>
          <w:p>
            <w:pPr>
              <w:pStyle w:val="Compact"/>
              <w:jc w:val="center"/>
            </w:pPr>
            <w:r>
              <w:t xml:space="preserve">368</w:t>
            </w:r>
          </w:p>
        </w:tc>
        <w:tc>
          <w:tcPr/>
          <w:p>
            <w:pPr>
              <w:pStyle w:val="Compact"/>
              <w:jc w:val="center"/>
            </w:pPr>
            <w:r>
              <w:t xml:space="preserve">3.14</w:t>
            </w:r>
          </w:p>
        </w:tc>
        <w:tc>
          <w:tcPr/>
          <w:p>
            <w:pPr>
              <w:pStyle w:val="Compact"/>
              <w:jc w:val="center"/>
            </w:pPr>
            <w:r>
              <w:t xml:space="preserve">0.62</w:t>
            </w:r>
          </w:p>
        </w:tc>
        <w:tc>
          <w:tcPr/>
          <w:p>
            <w:pPr>
              <w:pStyle w:val="Compact"/>
              <w:jc w:val="center"/>
            </w:pPr>
            <w:r>
              <w:t xml:space="preserve">−.08</w:t>
            </w:r>
            <w:r>
              <w:rPr>
                <w:vertAlign w:val="superscript"/>
              </w:rP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3. LPS Scale</w:t>
            </w:r>
          </w:p>
        </w:tc>
        <w:tc>
          <w:tcPr/>
          <w:p>
            <w:pPr>
              <w:pStyle w:val="Compact"/>
              <w:jc w:val="center"/>
            </w:pPr>
            <w:r>
              <w:t xml:space="preserve">368</w:t>
            </w:r>
          </w:p>
        </w:tc>
        <w:tc>
          <w:tcPr/>
          <w:p>
            <w:pPr>
              <w:pStyle w:val="Compact"/>
              <w:jc w:val="center"/>
            </w:pPr>
            <w:r>
              <w:t xml:space="preserve">1.01</w:t>
            </w:r>
          </w:p>
        </w:tc>
        <w:tc>
          <w:tcPr/>
          <w:p>
            <w:pPr>
              <w:pStyle w:val="Compact"/>
              <w:jc w:val="center"/>
            </w:pPr>
            <w:r>
              <w:t xml:space="preserve">0.27</w:t>
            </w:r>
          </w:p>
        </w:tc>
        <w:tc>
          <w:tcPr/>
          <w:p>
            <w:pPr>
              <w:pStyle w:val="Compact"/>
              <w:jc w:val="center"/>
            </w:pPr>
            <w:r>
              <w:t xml:space="preserve">.45</w:t>
            </w:r>
            <w:r>
              <w:rPr>
                <w:vertAlign w:val="superscript"/>
              </w:rPr>
              <w:t xml:space="preserve">**</w:t>
            </w:r>
          </w:p>
        </w:tc>
        <w:tc>
          <w:tcPr/>
          <w:p>
            <w:pPr>
              <w:pStyle w:val="Compact"/>
              <w:jc w:val="center"/>
            </w:pPr>
            <w:r>
              <w:t xml:space="preserve">−.01</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4. Subscale</w:t>
            </w:r>
          </w:p>
        </w:tc>
        <w:tc>
          <w:tcPr/>
          <w:p>
            <w:pPr>
              <w:pStyle w:val="Compact"/>
              <w:jc w:val="center"/>
            </w:pPr>
            <w:r>
              <w:t xml:space="preserve">368</w:t>
            </w:r>
          </w:p>
        </w:tc>
        <w:tc>
          <w:tcPr/>
          <w:p>
            <w:pPr>
              <w:pStyle w:val="Compact"/>
              <w:jc w:val="center"/>
            </w:pPr>
            <w:r>
              <w:t xml:space="preserve">0.33</w:t>
            </w:r>
          </w:p>
        </w:tc>
        <w:tc>
          <w:tcPr/>
          <w:p>
            <w:pPr>
              <w:pStyle w:val="Compact"/>
              <w:jc w:val="center"/>
            </w:pPr>
            <w:r>
              <w:t xml:space="preserve">0.47</w:t>
            </w:r>
          </w:p>
        </w:tc>
        <w:tc>
          <w:tcPr/>
          <w:p>
            <w:pPr>
              <w:pStyle w:val="Compact"/>
              <w:jc w:val="center"/>
            </w:pPr>
            <w:r>
              <w:t xml:space="preserve">.08</w:t>
            </w:r>
            <w:r>
              <w:rPr>
                <w:vertAlign w:val="superscript"/>
              </w:rPr>
              <w:t xml:space="preserve">**</w:t>
            </w:r>
          </w:p>
        </w:tc>
        <w:tc>
          <w:tcPr/>
          <w:p>
            <w:pPr>
              <w:pStyle w:val="Compact"/>
              <w:jc w:val="center"/>
            </w:pPr>
            <w:r>
              <w:t xml:space="preserve">−.07</w:t>
            </w:r>
            <w:r>
              <w:rPr>
                <w:vertAlign w:val="superscript"/>
              </w:rPr>
              <w:t xml:space="preserve">**</w:t>
            </w:r>
          </w:p>
        </w:tc>
        <w:tc>
          <w:tcPr/>
          <w:p>
            <w:pPr>
              <w:pStyle w:val="Compact"/>
              <w:jc w:val="center"/>
            </w:pPr>
            <w:r>
              <w:t xml:space="preserve">.04</w:t>
            </w:r>
            <w:r>
              <w:rPr>
                <w:vertAlign w:val="superscript"/>
              </w:rPr>
              <w:t xml:space="preserve">*</w:t>
            </w:r>
          </w:p>
        </w:tc>
        <w:tc>
          <w:tcPr/>
          <w:p>
            <w:pPr>
              <w:pStyle w:val="Compact"/>
              <w:jc w:val="center"/>
            </w:pPr>
            <w:r>
              <w:t xml:space="preserve">—</w:t>
            </w:r>
          </w:p>
        </w:tc>
        <w:tc>
          <w:tcPr/>
          <w:p>
            <w:pPr>
              <w:pStyle w:val="Compact"/>
            </w:pPr>
          </w:p>
        </w:tc>
      </w:tr>
      <w:tr>
        <w:tc>
          <w:tcPr/>
          <w:p>
            <w:pPr>
              <w:pStyle w:val="Compact"/>
              <w:jc w:val="left"/>
            </w:pPr>
            <w:r>
              <w:t xml:space="preserve">5. Hometown</w:t>
            </w:r>
          </w:p>
        </w:tc>
        <w:tc>
          <w:tcPr/>
          <w:p>
            <w:pPr>
              <w:pStyle w:val="Compact"/>
              <w:jc w:val="center"/>
            </w:pPr>
            <w:r>
              <w:t xml:space="preserve">365</w:t>
            </w:r>
          </w:p>
        </w:tc>
        <w:tc>
          <w:tcPr/>
          <w:p>
            <w:pPr>
              <w:pStyle w:val="Compact"/>
              <w:jc w:val="center"/>
            </w:pPr>
            <w:r>
              <w:t xml:space="preserve">6.45</w:t>
            </w:r>
          </w:p>
        </w:tc>
        <w:tc>
          <w:tcPr/>
          <w:p>
            <w:pPr>
              <w:pStyle w:val="Compact"/>
              <w:jc w:val="center"/>
            </w:pPr>
            <w:r>
              <w:t xml:space="preserve">6.62</w:t>
            </w:r>
          </w:p>
        </w:tc>
        <w:tc>
          <w:tcPr/>
          <w:p>
            <w:pPr>
              <w:pStyle w:val="Compact"/>
              <w:jc w:val="center"/>
            </w:pPr>
            <w:r>
              <w:t xml:space="preserve">−.29</w:t>
            </w:r>
            <w:r>
              <w:rPr>
                <w:vertAlign w:val="superscript"/>
              </w:rPr>
              <w:t xml:space="preserve">**</w:t>
            </w:r>
          </w:p>
        </w:tc>
        <w:tc>
          <w:tcPr/>
          <w:p>
            <w:pPr>
              <w:pStyle w:val="Compact"/>
              <w:jc w:val="center"/>
            </w:pPr>
            <w:r>
              <w:t xml:space="preserve">.09</w:t>
            </w:r>
            <w:r>
              <w:rPr>
                <w:vertAlign w:val="superscript"/>
              </w:rPr>
              <w:t xml:space="preserve">**</w:t>
            </w:r>
          </w:p>
        </w:tc>
        <w:tc>
          <w:tcPr/>
          <w:p>
            <w:pPr>
              <w:pStyle w:val="Compact"/>
              <w:jc w:val="center"/>
            </w:pPr>
            <w:r>
              <w:t xml:space="preserve">.01</w:t>
            </w:r>
          </w:p>
        </w:tc>
        <w:tc>
          <w:tcPr/>
          <w:p>
            <w:pPr>
              <w:pStyle w:val="Compact"/>
              <w:jc w:val="center"/>
            </w:pPr>
            <w:r>
              <w:t xml:space="preserve">.09</w:t>
            </w:r>
            <w:r>
              <w:rPr>
                <w:vertAlign w:val="superscript"/>
              </w:rPr>
              <w:t xml:space="preserve">**</w:t>
            </w:r>
          </w:p>
        </w:tc>
        <w:tc>
          <w:tcPr/>
          <w:p>
            <w:pPr>
              <w:pStyle w:val="Compact"/>
              <w:jc w:val="center"/>
            </w:pPr>
            <w:r>
              <w:t xml:space="preserve">—</w:t>
            </w:r>
          </w:p>
        </w:tc>
      </w:tr>
    </w:tbl>
    <w:p>
      <w:pPr>
        <w:pStyle w:val="BodyText"/>
        <w:spacing w:before="360"/>
      </w:pPr>
      <w:r>
        <w:rPr>
          <w:vertAlign w:val="superscript"/>
        </w:rPr>
        <w:t xml:space="preserve">a</w:t>
      </w:r>
      <w:r>
        <w:t xml:space="preserve"> </w:t>
      </w:r>
      <w:r>
        <w:t xml:space="preserve">0 = non-white and 1 = white.</w:t>
      </w:r>
    </w:p>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p>
    <w:p>
      <w:r>
        <w:br w:type="page"/>
      </w:r>
    </w:p>
    <w:bookmarkEnd w:id="22"/>
    <w:bookmarkStart w:id="23" w:name="sample-chi-square-crosstabs-table"/>
    <w:p>
      <w:pPr>
        <w:pStyle w:val="Heading2"/>
      </w:pPr>
      <w:r>
        <w:t xml:space="preserve">Sample Chi-Square (Crosstabs) Table</w:t>
      </w:r>
    </w:p>
    <w:p>
      <w:pPr>
        <w:pStyle w:val="FirstParagraph"/>
      </w:pPr>
      <w:r>
        <w:rPr>
          <w:b/>
          <w:bCs/>
        </w:rPr>
        <w:t xml:space="preserve">Table XX</w:t>
      </w:r>
    </w:p>
    <w:p>
      <w:pPr>
        <w:pStyle w:val="BodyText"/>
      </w:pPr>
      <w:r>
        <w:rPr>
          <w:i/>
          <w:iCs/>
        </w:rPr>
        <w:t xml:space="preserve">Chi-Square Sample Template</w:t>
      </w:r>
    </w:p>
    <w:p>
      <w:pPr>
        <w:pStyle w:val="TableCaption"/>
      </w:pPr>
      <w:r>
        <w:t xml:space="preserve">Counts and percentages by condition</w:t>
      </w:r>
    </w:p>
    <w:tbl>
      <w:tblPr>
        <w:tblStyle w:val="Table"/>
        <w:tblW w:type="pct" w:w="5000"/>
        <w:tblLayout w:type="fixed"/>
        <w:tblLook w:firstRow="1" w:lastRow="0" w:firstColumn="0" w:lastColumn="0" w:noHBand="0" w:noVBand="0" w:val="0020"/>
        <w:tblCaption w:val="Counts and percentages by condition"/>
      </w:tblPr>
      <w:tblGrid>
        <w:gridCol w:w="1108"/>
        <w:gridCol w:w="1029"/>
        <w:gridCol w:w="871"/>
        <w:gridCol w:w="1029"/>
        <w:gridCol w:w="871"/>
        <w:gridCol w:w="1029"/>
        <w:gridCol w:w="871"/>
        <w:gridCol w:w="1108"/>
      </w:tblGrid>
      <w:tr>
        <w:trPr>
          <w:tblHeader w:val="on"/>
        </w:trPr>
        <w:tc>
          <w:tcPr/>
          <w:p>
            <w:pPr>
              <w:pStyle w:val="Compact"/>
              <w:jc w:val="left"/>
            </w:pPr>
            <w:r>
              <w:t xml:space="preserve">VAR A</w:t>
            </w:r>
          </w:p>
        </w:tc>
        <w:tc>
          <w:tcPr/>
          <w:p>
            <w:pPr>
              <w:pStyle w:val="Compact"/>
              <w:jc w:val="center"/>
            </w:pPr>
            <w:r>
              <w:t xml:space="preserve">Cond. 1</w:t>
            </w:r>
            <w:r>
              <w:t xml:space="preserve"> </w:t>
            </w:r>
            <w:r>
              <w:rPr>
                <w:i/>
                <w:iCs/>
              </w:rPr>
              <w:t xml:space="preserve">n</w:t>
            </w:r>
          </w:p>
        </w:tc>
        <w:tc>
          <w:tcPr/>
          <w:p>
            <w:pPr>
              <w:pStyle w:val="Compact"/>
              <w:jc w:val="center"/>
            </w:pPr>
            <w:r>
              <w:t xml:space="preserve">Cond. 1 %</w:t>
            </w:r>
          </w:p>
        </w:tc>
        <w:tc>
          <w:tcPr/>
          <w:p>
            <w:pPr>
              <w:pStyle w:val="Compact"/>
              <w:jc w:val="center"/>
            </w:pPr>
            <w:r>
              <w:t xml:space="preserve">Cond. 2</w:t>
            </w:r>
            <w:r>
              <w:t xml:space="preserve"> </w:t>
            </w:r>
            <w:r>
              <w:rPr>
                <w:i/>
                <w:iCs/>
              </w:rPr>
              <w:t xml:space="preserve">n</w:t>
            </w:r>
          </w:p>
        </w:tc>
        <w:tc>
          <w:tcPr/>
          <w:p>
            <w:pPr>
              <w:pStyle w:val="Compact"/>
              <w:jc w:val="center"/>
            </w:pPr>
            <w:r>
              <w:t xml:space="preserve">Cond. 2 %</w:t>
            </w:r>
          </w:p>
        </w:tc>
        <w:tc>
          <w:tcPr/>
          <w:p>
            <w:pPr>
              <w:pStyle w:val="Compact"/>
              <w:jc w:val="center"/>
            </w:pPr>
            <w:r>
              <w:t xml:space="preserve">Cond. 3</w:t>
            </w:r>
            <w:r>
              <w:t xml:space="preserve"> </w:t>
            </w:r>
            <w:r>
              <w:rPr>
                <w:i/>
                <w:iCs/>
              </w:rPr>
              <w:t xml:space="preserve">n</w:t>
            </w:r>
          </w:p>
        </w:tc>
        <w:tc>
          <w:tcPr/>
          <w:p>
            <w:pPr>
              <w:pStyle w:val="Compact"/>
              <w:jc w:val="center"/>
            </w:pPr>
            <w:r>
              <w:t xml:space="preserve">Cond. 3 %</w:t>
            </w:r>
          </w:p>
        </w:tc>
        <w:tc>
          <w:tcPr/>
          <w:p>
            <w:pPr>
              <w:pStyle w:val="Compact"/>
              <w:jc w:val="center"/>
            </w:pPr>
            <w:r>
              <w:t xml:space="preserve">Total</w:t>
            </w:r>
          </w:p>
        </w:tc>
      </w:tr>
      <w:tr>
        <w:tc>
          <w:tcPr/>
          <w:p>
            <w:pPr>
              <w:pStyle w:val="Compact"/>
              <w:jc w:val="left"/>
            </w:pPr>
            <w:r>
              <w:t xml:space="preserve">Level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Level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spacing w:before="360"/>
      </w:pPr>
      <w:r>
        <w:rPr>
          <w:i/>
          <w:iCs/>
        </w:rPr>
        <w:t xml:space="preserve">Note.</w:t>
      </w:r>
      <w:r>
        <w:t xml:space="preserve"> </w:t>
      </w:r>
      <w:r>
        <w:t xml:space="preserve">Cond. = condition. See APA manual p. 214 for table examples.</w:t>
      </w:r>
    </w:p>
    <w:bookmarkEnd w:id="23"/>
    <w:bookmarkStart w:id="24" w:name="sample-analysis-of-variance-anova-table"/>
    <w:p>
      <w:pPr>
        <w:pStyle w:val="Heading2"/>
      </w:pPr>
      <w:r>
        <w:t xml:space="preserve">Sample Analysis of Variance (ANOVA) Table</w:t>
      </w:r>
    </w:p>
    <w:p>
      <w:pPr>
        <w:pStyle w:val="FirstParagraph"/>
      </w:pPr>
      <w:r>
        <w:rPr>
          <w:b/>
          <w:bCs/>
        </w:rPr>
        <w:t xml:space="preserve">Table XX</w:t>
      </w:r>
    </w:p>
    <w:p>
      <w:pPr>
        <w:pStyle w:val="BodyText"/>
      </w:pPr>
      <w:r>
        <w:rPr>
          <w:i/>
          <w:iCs/>
        </w:rPr>
        <w:t xml:space="preserve">Descriptive Statistics for [insert name of DV] by [insert name of IV]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Name of IV</w:t>
            </w:r>
          </w:p>
        </w:tc>
        <w:tc>
          <w:tcPr/>
          <w:p>
            <w:pPr>
              <w:pStyle w:val="Compact"/>
              <w:jc w:val="center"/>
            </w:pPr>
            <w:r>
              <w:t xml:space="preserve">Name of DV</w:t>
            </w:r>
            <w:r>
              <w:t xml:space="preserve"> </w:t>
            </w:r>
            <w:r>
              <w:rPr>
                <w:i/>
                <w:iCs/>
              </w:rPr>
              <w:t xml:space="preserve">M</w:t>
            </w:r>
          </w:p>
        </w:tc>
        <w:tc>
          <w:tcPr/>
          <w:p>
            <w:pPr>
              <w:pStyle w:val="Compact"/>
              <w:jc w:val="center"/>
            </w:pPr>
            <w:r>
              <w:t xml:space="preserve">Name of DV</w:t>
            </w:r>
            <w:r>
              <w:t xml:space="preserve"> </w:t>
            </w:r>
            <w:r>
              <w:rPr>
                <w:i/>
                <w:iCs/>
              </w:rPr>
              <w:t xml:space="preserve">SD</w:t>
            </w:r>
          </w:p>
        </w:tc>
      </w:tr>
      <w:tr>
        <w:tc>
          <w:tcPr/>
          <w:p>
            <w:pPr>
              <w:pStyle w:val="Compact"/>
              <w:jc w:val="left"/>
            </w:pPr>
            <w:r>
              <w:t xml:space="preserve">Level 1</w:t>
            </w:r>
          </w:p>
        </w:tc>
        <w:tc>
          <w:tcPr/>
          <w:p>
            <w:pPr>
              <w:pStyle w:val="Compact"/>
              <w:jc w:val="center"/>
            </w:pPr>
            <w:r>
              <w:t xml:space="preserve">x.xx</w:t>
            </w:r>
          </w:p>
        </w:tc>
        <w:tc>
          <w:tcPr/>
          <w:p>
            <w:pPr>
              <w:pStyle w:val="Compact"/>
              <w:jc w:val="center"/>
            </w:pPr>
            <w:r>
              <w:t xml:space="preserve">x.xx</w:t>
            </w:r>
          </w:p>
        </w:tc>
      </w:tr>
      <w:tr>
        <w:tc>
          <w:tcPr/>
          <w:p>
            <w:pPr>
              <w:pStyle w:val="Compact"/>
              <w:jc w:val="left"/>
            </w:pPr>
            <w:r>
              <w:t xml:space="preserve">Level 2</w:t>
            </w:r>
          </w:p>
        </w:tc>
        <w:tc>
          <w:tcPr/>
          <w:p>
            <w:pPr>
              <w:pStyle w:val="Compact"/>
              <w:jc w:val="center"/>
            </w:pPr>
            <w:r>
              <w:t xml:space="preserve">x.xx</w:t>
            </w:r>
          </w:p>
        </w:tc>
        <w:tc>
          <w:tcPr/>
          <w:p>
            <w:pPr>
              <w:pStyle w:val="Compact"/>
              <w:jc w:val="center"/>
            </w:pPr>
            <w:r>
              <w:t xml:space="preserve">x.xx</w:t>
            </w:r>
          </w:p>
        </w:tc>
      </w:tr>
    </w:tbl>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r>
        <w:t xml:space="preserve"> </w:t>
      </w:r>
      <w:r>
        <w:rPr>
          <w:vertAlign w:val="superscript"/>
        </w:rPr>
        <w:t xml:space="preserve">***</w:t>
      </w:r>
      <w:r>
        <w:rPr>
          <w:i/>
          <w:iCs/>
        </w:rPr>
        <w:t xml:space="preserve">p</w:t>
      </w:r>
      <w:r>
        <w:t xml:space="preserve"> </w:t>
      </w:r>
      <w:r>
        <w:t xml:space="preserve">&lt; .001.</w:t>
      </w:r>
    </w:p>
    <w:bookmarkEnd w:id="24"/>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Table Templates</dc:title>
  <dc:creator/>
  <dc:language>en-US</dc:language>
  <cp:keywords/>
  <dcterms:created xsi:type="dcterms:W3CDTF">2026-09-10T19:08:50Z</dcterms:created>
  <dcterms:modified xsi:type="dcterms:W3CDTF">2026-09-10T19:08:50Z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revealjs-plugins">
    <vt:lpwstr/>
  </property>
  <property fmtid="{D5CDD505-2E9C-101B-9397-08002B2CF9AE}" pid="8" name="toc-title">
    <vt:lpwstr>Table of contents</vt:lpwstr>
  </property>
</Properties>
</file>