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Design Concepts and Validity</w:t>
      </w:r>
    </w:p>
    <w:bookmarkStart w:id="20" w:name="research-hypotheses"/>
    <w:p>
      <w:pPr>
        <w:pStyle w:val="Heading2"/>
      </w:pPr>
      <w:r>
        <w:t xml:space="preserve">Research Hypotheses</w:t>
      </w:r>
    </w:p>
    <w:p>
      <w:pPr>
        <w:pStyle w:val="FirstParagraph"/>
      </w:pPr>
      <w:r>
        <w:t xml:space="preserve">(and evidence required to support each)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2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 Type</w:t>
            </w:r>
          </w:p>
        </w:tc>
        <w:tc>
          <w:tcPr/>
          <w:p>
            <w:pPr>
              <w:pStyle w:val="Compact"/>
            </w:pPr>
            <w:r>
              <w:t xml:space="preserve">Evidence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Attributive</w:t>
            </w:r>
          </w:p>
        </w:tc>
        <w:tc>
          <w:tcPr/>
          <w:p>
            <w:pPr>
              <w:pStyle w:val="Compact"/>
            </w:pPr>
            <w:r>
              <w:t xml:space="preserve">• A way to measure the behavior</w:t>
            </w:r>
            <w:r>
              <w:t xml:space="preserve">• How to discriminate it from related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Associative</w:t>
            </w:r>
          </w:p>
        </w:tc>
        <w:tc>
          <w:tcPr/>
          <w:p>
            <w:pPr>
              <w:pStyle w:val="Compact"/>
            </w:pPr>
            <w:r>
              <w:t xml:space="preserve">• Reliable statistical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Causal</w:t>
            </w:r>
          </w:p>
        </w:tc>
        <w:tc>
          <w:tcPr/>
          <w:p>
            <w:pPr>
              <w:pStyle w:val="Compact"/>
            </w:pPr>
            <w:r>
              <w:t xml:space="preserve">• Temporal precedence (cause before effect)</w:t>
            </w:r>
            <w:r>
              <w:t xml:space="preserve">• Reliable statistical relationship</w:t>
            </w:r>
            <w:r>
              <w:t xml:space="preserve">• No confounds/alternative causal explanations</w:t>
            </w:r>
          </w:p>
        </w:tc>
      </w:tr>
    </w:tbl>
    <w:bookmarkEnd w:id="20"/>
    <w:bookmarkStart w:id="21" w:name="research-design"/>
    <w:p>
      <w:pPr>
        <w:pStyle w:val="Heading2"/>
      </w:pPr>
      <w:r>
        <w:t xml:space="preserve">Research Design</w:t>
      </w:r>
    </w:p>
    <w:p>
      <w:pPr>
        <w:pStyle w:val="FirstParagraph"/>
      </w:pPr>
      <w:r>
        <w:rPr>
          <w:b/>
          <w:bCs/>
        </w:rPr>
        <w:t xml:space="preserve">Which participants do what when?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Between Groups</w:t>
            </w:r>
          </w:p>
        </w:tc>
        <w:tc>
          <w:tcPr/>
          <w:p>
            <w:pPr>
              <w:pStyle w:val="Compact"/>
            </w:pPr>
            <w:r>
              <w:t xml:space="preserve">Within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Experimental</w:t>
            </w:r>
          </w:p>
        </w:tc>
        <w:tc>
          <w:tcPr/>
          <w:p>
            <w:pPr>
              <w:pStyle w:val="Compact"/>
            </w:pPr>
            <w:r>
              <w:t xml:space="preserve">BG True Exp.</w:t>
            </w:r>
          </w:p>
        </w:tc>
        <w:tc>
          <w:tcPr/>
          <w:p>
            <w:pPr>
              <w:pStyle w:val="Compact"/>
            </w:pPr>
            <w:r>
              <w:t xml:space="preserve">WG True Exp.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Non-Experimental</w:t>
            </w:r>
          </w:p>
        </w:tc>
        <w:tc>
          <w:tcPr/>
          <w:p>
            <w:pPr>
              <w:pStyle w:val="Compact"/>
            </w:pPr>
            <w:r>
              <w:t xml:space="preserve">BG Non Exp.</w:t>
            </w:r>
          </w:p>
        </w:tc>
        <w:tc>
          <w:tcPr/>
          <w:p>
            <w:pPr>
              <w:pStyle w:val="Compact"/>
            </w:pPr>
            <w:r>
              <w:t xml:space="preserve">WG Non Exp.</w:t>
            </w:r>
          </w:p>
        </w:tc>
      </w:tr>
    </w:tbl>
    <w:p>
      <w:pPr>
        <w:pStyle w:val="BodyText"/>
      </w:pPr>
      <w:r>
        <w:rPr>
          <w:b/>
          <w:bCs/>
        </w:rPr>
        <w:t xml:space="preserve">Dimensions:</w:t>
      </w:r>
      <w:r>
        <w:t xml:space="preserve"> </w:t>
      </w:r>
      <w:r>
        <w:t xml:space="preserve">Causal Interpretability (True Exp. vs. Non Exp.)</w:t>
      </w:r>
    </w:p>
    <w:bookmarkEnd w:id="21"/>
    <w:bookmarkStart w:id="22" w:name="participant-sampling-decisions"/>
    <w:p>
      <w:pPr>
        <w:pStyle w:val="Heading2"/>
      </w:pPr>
      <w:r>
        <w:t xml:space="preserve">Participant Sampling Decisions</w:t>
      </w:r>
    </w:p>
    <w:p>
      <w:pPr>
        <w:pStyle w:val="FirstParagraph"/>
      </w:pPr>
      <w:r>
        <w:t xml:space="preserve">(and choices)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population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purposive</w:t>
      </w:r>
      <w:r>
        <w:t xml:space="preserve"> </w:t>
      </w:r>
      <w:r>
        <w:t xml:space="preserve">sampling frame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Researcher selected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invited/self-selected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stratified</w:t>
      </w:r>
    </w:p>
    <w:bookmarkEnd w:id="22"/>
    <w:bookmarkStart w:id="23" w:name="stages-of-participant-sampling"/>
    <w:p>
      <w:pPr>
        <w:pStyle w:val="Heading2"/>
      </w:pPr>
      <w:r>
        <w:t xml:space="preserve">Stages of Participant Sampling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Population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Sampling Frame</w:t>
      </w:r>
      <w:r>
        <w:t xml:space="preserve"> </w:t>
      </w:r>
      <w:r>
        <w:t xml:space="preserve">(complete pop or purposive)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Selected Sample</w:t>
      </w:r>
      <w:r>
        <w:t xml:space="preserve"> </w:t>
      </w:r>
      <w:r>
        <w:t xml:space="preserve">(researcher selected or self-selected &amp; simple or stratified)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Sample</w:t>
      </w:r>
      <w:r>
        <w:t xml:space="preserve"> </w:t>
      </w:r>
      <w:r>
        <w:t xml:space="preserve">(volunteerism &amp; attrition)</w:t>
      </w:r>
    </w:p>
    <w:bookmarkEnd w:id="23"/>
    <w:bookmarkStart w:id="24" w:name="types-of-participant-assignment"/>
    <w:p>
      <w:pPr>
        <w:pStyle w:val="Heading2"/>
      </w:pPr>
      <w:r>
        <w:t xml:space="preserve">Types of Participant Assignment</w:t>
      </w:r>
    </w:p>
    <w:p>
      <w:pPr>
        <w:pStyle w:val="Compact"/>
        <w:numPr>
          <w:ilvl w:val="0"/>
          <w:numId w:val="1003"/>
        </w:numPr>
      </w:pPr>
      <w:r>
        <w:t xml:space="preserve">RA of individuals by the researcher</w:t>
      </w:r>
    </w:p>
    <w:p>
      <w:pPr>
        <w:pStyle w:val="Compact"/>
        <w:numPr>
          <w:ilvl w:val="0"/>
          <w:numId w:val="1003"/>
        </w:numPr>
      </w:pPr>
      <w:r>
        <w:t xml:space="preserve">RA of intact groups</w:t>
      </w:r>
    </w:p>
    <w:p>
      <w:pPr>
        <w:pStyle w:val="Compact"/>
        <w:numPr>
          <w:ilvl w:val="0"/>
          <w:numId w:val="1003"/>
        </w:numPr>
      </w:pPr>
      <w:r>
        <w:t xml:space="preserve">Arbitrary</w:t>
      </w:r>
    </w:p>
    <w:p>
      <w:pPr>
        <w:pStyle w:val="Compact"/>
        <w:numPr>
          <w:ilvl w:val="0"/>
          <w:numId w:val="1003"/>
        </w:numPr>
      </w:pPr>
      <w:r>
        <w:t xml:space="preserve">Administrative</w:t>
      </w:r>
    </w:p>
    <w:p>
      <w:pPr>
        <w:pStyle w:val="Compact"/>
        <w:numPr>
          <w:ilvl w:val="0"/>
          <w:numId w:val="1003"/>
        </w:numPr>
      </w:pPr>
      <w:r>
        <w:t xml:space="preserve">Self-assignment</w:t>
      </w:r>
    </w:p>
    <w:p>
      <w:pPr>
        <w:pStyle w:val="Compact"/>
        <w:numPr>
          <w:ilvl w:val="0"/>
          <w:numId w:val="1003"/>
        </w:numPr>
      </w:pPr>
      <w:r>
        <w:t xml:space="preserve">Non-assignment (</w:t>
      </w:r>
      <w:r>
        <w:t xml:space="preserve">“measured IV”</w:t>
      </w:r>
      <w:r>
        <w:t xml:space="preserve">)</w:t>
      </w:r>
    </w:p>
    <w:bookmarkEnd w:id="24"/>
    <w:bookmarkStart w:id="25" w:name="kinds-of-measuresbehaviors"/>
    <w:p>
      <w:pPr>
        <w:pStyle w:val="Heading2"/>
      </w:pPr>
      <w:r>
        <w:t xml:space="preserve">Kinds of Measures/Behaviors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Measured/Subject</w:t>
            </w:r>
          </w:p>
        </w:tc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Manipulated/Procedural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  <w:tc>
          <w:tcPr/>
          <w:p>
            <w:pPr>
              <w:pStyle w:val="Compact"/>
            </w:pPr>
            <w:r>
              <w:t xml:space="preserve">Cell 4</w:t>
            </w:r>
          </w:p>
        </w:tc>
      </w:tr>
    </w:tbl>
    <w:bookmarkEnd w:id="25"/>
    <w:bookmarkStart w:id="26" w:name="role-of-each-measurebehavior"/>
    <w:p>
      <w:pPr>
        <w:pStyle w:val="Heading2"/>
      </w:pPr>
      <w:r>
        <w:t xml:space="preserve">Role of each Measure/Behavior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Causal/Independent variable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Effect/Dependent variable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</w:t>
      </w:r>
    </w:p>
    <w:p>
      <w:pPr>
        <w:pStyle w:val="Compact"/>
        <w:numPr>
          <w:ilvl w:val="1"/>
          <w:numId w:val="1005"/>
        </w:numPr>
      </w:pPr>
      <w:r>
        <w:t xml:space="preserve">variable</w:t>
      </w:r>
    </w:p>
    <w:p>
      <w:pPr>
        <w:pStyle w:val="Compact"/>
        <w:numPr>
          <w:ilvl w:val="1"/>
          <w:numId w:val="1005"/>
        </w:numPr>
      </w:pPr>
      <w:r>
        <w:t xml:space="preserve">constant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Confounding variable</w:t>
      </w:r>
    </w:p>
    <w:bookmarkEnd w:id="26"/>
    <w:bookmarkStart w:id="27" w:name="types-of-research-validity"/>
    <w:p>
      <w:pPr>
        <w:pStyle w:val="Heading2"/>
      </w:pPr>
      <w:r>
        <w:t xml:space="preserve">Types of Research Validity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External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Statistical Conclusion</w:t>
      </w:r>
    </w:p>
    <w:bookmarkEnd w:id="27"/>
    <w:bookmarkStart w:id="28" w:name="internal-validity"/>
    <w:p>
      <w:pPr>
        <w:pStyle w:val="Heading2"/>
      </w:pPr>
      <w:r>
        <w:t xml:space="preserve">Internal Validity</w:t>
      </w:r>
    </w:p>
    <w:p>
      <w:pPr>
        <w:pStyle w:val="FirstParagraph"/>
      </w:pPr>
      <w:r>
        <w:t xml:space="preserve">(components and type of variables involved)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 Equivalence</w:t>
      </w:r>
      <w:r>
        <w:t xml:space="preserve"> </w:t>
      </w:r>
      <w:r>
        <w:t xml:space="preserve">(measured/subject vars)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Ongoing Equivalence</w:t>
      </w:r>
      <w:r>
        <w:t xml:space="preserve"> </w:t>
      </w:r>
      <w:r>
        <w:t xml:space="preserve">(manipulated/procedural vars)</w:t>
      </w:r>
    </w:p>
    <w:bookmarkEnd w:id="28"/>
    <w:bookmarkStart w:id="29" w:name="external-validity"/>
    <w:p>
      <w:pPr>
        <w:pStyle w:val="Heading2"/>
      </w:pPr>
      <w:r>
        <w:t xml:space="preserve">External Validity</w:t>
      </w:r>
    </w:p>
    <w:p>
      <w:pPr>
        <w:pStyle w:val="FirstParagraph"/>
      </w:pPr>
      <w:r>
        <w:t xml:space="preserve">(components and type of variables involved)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Population</w:t>
      </w:r>
      <w:r>
        <w:t xml:space="preserve"> </w:t>
      </w:r>
      <w:r>
        <w:t xml:space="preserve">(measured/subject)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Setting</w:t>
      </w:r>
      <w:r>
        <w:t xml:space="preserve"> </w:t>
      </w:r>
      <w:r>
        <w:t xml:space="preserve">(manipulated/procedural vars)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Task/Stimulus</w:t>
      </w:r>
      <w:r>
        <w:t xml:space="preserve"> </w:t>
      </w:r>
      <w:r>
        <w:t xml:space="preserve">(manipulated/procedural vars)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Societal/Temporal</w:t>
      </w:r>
    </w:p>
    <w:bookmarkEnd w:id="29"/>
    <w:bookmarkStart w:id="30" w:name="data-collection"/>
    <w:p>
      <w:pPr>
        <w:pStyle w:val="Heading2"/>
      </w:pPr>
      <w:r>
        <w:t xml:space="preserve">Data Collection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Collection</w:t>
      </w:r>
      <w:r>
        <w:t xml:space="preserve"> </w:t>
      </w:r>
      <w:r>
        <w:t xml:space="preserve">– observation, self-report or trace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Setting</w:t>
      </w:r>
      <w:r>
        <w:t xml:space="preserve"> </w:t>
      </w:r>
      <w:r>
        <w:t xml:space="preserve">– laboratory, structured setting, or field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source</w:t>
      </w:r>
      <w:r>
        <w:t xml:space="preserve"> </w:t>
      </w:r>
      <w:r>
        <w:t xml:space="preserve">– primary or archival</w:t>
      </w:r>
    </w:p>
    <w:p>
      <w:r>
        <w:pict>
          <v:rect style="width:0;height:1.5pt" o:hralign="center" o:hrstd="t" o:hr="t"/>
        </w:pict>
      </w:r>
    </w:p>
    <w:bookmarkEnd w:id="30"/>
    <w:bookmarkStart w:id="44" w:name="research-validity-framework"/>
    <w:p>
      <w:pPr>
        <w:pStyle w:val="Heading1"/>
      </w:pPr>
      <w:r>
        <w:t xml:space="preserve">Research Validity Framework</w:t>
      </w:r>
    </w:p>
    <w:bookmarkStart w:id="31" w:name="causal-relationship-iv-causes-dv"/>
    <w:p>
      <w:pPr>
        <w:pStyle w:val="Heading2"/>
      </w:pPr>
      <w:r>
        <w:t xml:space="preserve">Causal Relationship: IV causes DV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Requirements: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Temporal Precedence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Reliable statistical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No alternative hypotheses/confounds</w:t>
            </w:r>
          </w:p>
        </w:tc>
      </w:tr>
    </w:tbl>
    <w:bookmarkEnd w:id="31"/>
    <w:bookmarkStart w:id="32" w:name="measurement-validity"/>
    <w:p>
      <w:pPr>
        <w:pStyle w:val="Heading2"/>
      </w:pPr>
      <w:r>
        <w:t xml:space="preserve">Measurement Validity</w:t>
      </w:r>
    </w:p>
    <w:p>
      <w:pPr>
        <w:pStyle w:val="Compact"/>
        <w:numPr>
          <w:ilvl w:val="0"/>
          <w:numId w:val="1010"/>
        </w:numPr>
      </w:pPr>
      <w:r>
        <w:t xml:space="preserve">Measurement error → bad data → worthless results</w:t>
      </w:r>
    </w:p>
    <w:p>
      <w:pPr>
        <w:pStyle w:val="FirstParagraph"/>
      </w:pPr>
      <w:r>
        <w:rPr>
          <w:b/>
          <w:bCs/>
        </w:rPr>
        <w:t xml:space="preserve">Key Questions:</w:t>
      </w:r>
    </w:p>
    <w:p>
      <w:pPr>
        <w:pStyle w:val="Compact"/>
        <w:numPr>
          <w:ilvl w:val="0"/>
          <w:numId w:val="1011"/>
        </w:numPr>
      </w:pPr>
      <w:r>
        <w:t xml:space="preserve">Is the IV properly manipulated?</w:t>
      </w:r>
    </w:p>
    <w:p>
      <w:pPr>
        <w:pStyle w:val="Compact"/>
        <w:numPr>
          <w:ilvl w:val="0"/>
          <w:numId w:val="1011"/>
        </w:numPr>
      </w:pPr>
      <w:r>
        <w:t xml:space="preserve">Is the DV properly measured?</w:t>
      </w:r>
    </w:p>
    <w:p>
      <w:pPr>
        <w:pStyle w:val="Compact"/>
        <w:numPr>
          <w:ilvl w:val="0"/>
          <w:numId w:val="1011"/>
        </w:numPr>
      </w:pPr>
      <w:r>
        <w:t xml:space="preserve">Are the values we have for every measure/behavior correct?</w:t>
      </w:r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2"/>
        </w:numPr>
      </w:pPr>
      <w:r>
        <w:t xml:space="preserve">Observational, Self-report or Trace?</w:t>
      </w:r>
    </w:p>
    <w:p>
      <w:pPr>
        <w:pStyle w:val="Compact"/>
        <w:numPr>
          <w:ilvl w:val="0"/>
          <w:numId w:val="1012"/>
        </w:numPr>
      </w:pPr>
      <w:r>
        <w:t xml:space="preserve">Primary or Archival data?</w:t>
      </w:r>
    </w:p>
    <w:bookmarkEnd w:id="32"/>
    <w:bookmarkStart w:id="33" w:name="every-characteristicbehaviorprocedure"/>
    <w:p>
      <w:pPr>
        <w:pStyle w:val="Heading2"/>
      </w:pPr>
      <w:r>
        <w:t xml:space="preserve">Every Characteristic/Behavior/Procedure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Manipulated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33"/>
    <w:bookmarkStart w:id="34" w:name="X82b12e787c31ebd8ffae97be7fa1e67b4595a12"/>
    <w:p>
      <w:pPr>
        <w:pStyle w:val="Heading2"/>
      </w:pPr>
      <w:r>
        <w:t xml:space="preserve">Characteristic/Behavior Types &amp; Their</w:t>
      </w:r>
      <w:r>
        <w:t xml:space="preserve"> </w:t>
      </w:r>
      <w:r>
        <w:t xml:space="preserve">“Roles”</w:t>
      </w:r>
      <w:r>
        <w:t xml:space="preserve"> </w:t>
      </w:r>
      <w:r>
        <w:t xml:space="preserve">in a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Cell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Variable (IV)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Variable (DV)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Constant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Variable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Confounding Variable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34"/>
    <w:bookmarkStart w:id="35" w:name="statistical-conclusion-validity"/>
    <w:p>
      <w:pPr>
        <w:pStyle w:val="Heading2"/>
      </w:pPr>
      <w:r>
        <w:t xml:space="preserve">Statistical Conclusion Validity</w:t>
      </w:r>
    </w:p>
    <w:p>
      <w:pPr>
        <w:pStyle w:val="Compact"/>
        <w:numPr>
          <w:ilvl w:val="0"/>
          <w:numId w:val="1013"/>
        </w:numPr>
      </w:pPr>
      <w:r>
        <w:t xml:space="preserve">IV &amp; DV can’t be causally related without statistical significance</w:t>
      </w:r>
    </w:p>
    <w:p>
      <w:pPr>
        <w:pStyle w:val="Compact"/>
        <w:numPr>
          <w:ilvl w:val="0"/>
          <w:numId w:val="1013"/>
        </w:numPr>
      </w:pPr>
      <w:r>
        <w:t xml:space="preserve">Statistical significance tests required</w:t>
      </w:r>
    </w:p>
    <w:bookmarkEnd w:id="35"/>
    <w:bookmarkStart w:id="36" w:name="programmatic-research"/>
    <w:p>
      <w:pPr>
        <w:pStyle w:val="Heading2"/>
      </w:pPr>
      <w:r>
        <w:t xml:space="preserve">Programmatic Research</w:t>
      </w:r>
    </w:p>
    <w:p>
      <w:pPr>
        <w:pStyle w:val="FirstParagraph"/>
      </w:pPr>
      <w:r>
        <w:rPr>
          <w:b/>
          <w:bCs/>
        </w:rPr>
        <w:t xml:space="preserve">Choices we make influence Internal and External Validity: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representation vs. 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representation vs. 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Task-Stimulus</w:t>
            </w:r>
          </w:p>
        </w:tc>
        <w:tc>
          <w:tcPr/>
          <w:p>
            <w:pPr>
              <w:pStyle w:val="Compact"/>
            </w:pPr>
            <w:r>
              <w:t xml:space="preserve">representation vs. control</w:t>
            </w:r>
          </w:p>
        </w:tc>
      </w:tr>
    </w:tbl>
    <w:bookmarkEnd w:id="36"/>
    <w:bookmarkStart w:id="38" w:name="internal-validity-1"/>
    <w:p>
      <w:pPr>
        <w:pStyle w:val="Heading2"/>
      </w:pPr>
      <w:r>
        <w:t xml:space="preserve">Internal Validity</w:t>
      </w:r>
    </w:p>
    <w:bookmarkStart w:id="37" w:name="true-experimental-vs.-non-experimental"/>
    <w:p>
      <w:pPr>
        <w:pStyle w:val="Heading3"/>
      </w:pPr>
      <w:r>
        <w:t xml:space="preserve">True Experimental vs. Non-experimental</w:t>
      </w:r>
    </w:p>
    <w:p>
      <w:pPr>
        <w:pStyle w:val="FirstParagraph"/>
      </w:pPr>
      <w:r>
        <w:rPr>
          <w:b/>
          <w:bCs/>
        </w:rPr>
        <w:t xml:space="preserve">Initial Equivalence – Participants:</w:t>
      </w:r>
    </w:p>
    <w:p>
      <w:pPr>
        <w:pStyle w:val="Compact"/>
        <w:numPr>
          <w:ilvl w:val="0"/>
          <w:numId w:val="1014"/>
        </w:numPr>
      </w:pPr>
      <w:r>
        <w:t xml:space="preserve">RA of individual participants before manipulation of the IV</w:t>
      </w:r>
    </w:p>
    <w:p>
      <w:pPr>
        <w:pStyle w:val="Compact"/>
        <w:numPr>
          <w:ilvl w:val="0"/>
          <w:numId w:val="1014"/>
        </w:numPr>
      </w:pPr>
      <w:r>
        <w:t xml:space="preserve">Without proper RA all subject variables are potential confounds</w:t>
      </w:r>
    </w:p>
    <w:p>
      <w:pPr>
        <w:pStyle w:val="Compact"/>
        <w:numPr>
          <w:ilvl w:val="0"/>
          <w:numId w:val="1014"/>
        </w:numPr>
      </w:pPr>
      <w:r>
        <w:t xml:space="preserve">Subject constants can’t be confounds</w:t>
      </w:r>
    </w:p>
    <w:p>
      <w:pPr>
        <w:pStyle w:val="Compact"/>
        <w:numPr>
          <w:ilvl w:val="0"/>
          <w:numId w:val="1014"/>
        </w:numPr>
      </w:pPr>
      <w:r>
        <w:t xml:space="preserve">Subject variables that are controlled are control variables</w:t>
      </w:r>
    </w:p>
    <w:p>
      <w:pPr>
        <w:pStyle w:val="Compact"/>
        <w:numPr>
          <w:ilvl w:val="0"/>
          <w:numId w:val="1014"/>
        </w:numPr>
      </w:pPr>
      <w:r>
        <w:t xml:space="preserve">Subject variables that are not controlled are confounding variables (matching doesn’t always work)</w:t>
      </w:r>
    </w:p>
    <w:p>
      <w:pPr>
        <w:pStyle w:val="FirstParagraph"/>
      </w:pPr>
      <w:r>
        <w:rPr>
          <w:b/>
          <w:bCs/>
        </w:rPr>
        <w:t xml:space="preserve">Ongoing Equivalence – Procedures:</w:t>
      </w:r>
    </w:p>
    <w:p>
      <w:pPr>
        <w:pStyle w:val="Compact"/>
        <w:numPr>
          <w:ilvl w:val="0"/>
          <w:numId w:val="1015"/>
        </w:numPr>
      </w:pPr>
      <w:r>
        <w:t xml:space="preserve">Only the IV is different across conditions</w:t>
      </w:r>
    </w:p>
    <w:p>
      <w:pPr>
        <w:pStyle w:val="Compact"/>
        <w:numPr>
          <w:ilvl w:val="0"/>
          <w:numId w:val="1015"/>
        </w:numPr>
      </w:pPr>
      <w:r>
        <w:t xml:space="preserve">Procedural constants can’t be confounds</w:t>
      </w:r>
    </w:p>
    <w:p>
      <w:pPr>
        <w:pStyle w:val="Compact"/>
        <w:numPr>
          <w:ilvl w:val="0"/>
          <w:numId w:val="1015"/>
        </w:numPr>
      </w:pPr>
      <w:r>
        <w:t xml:space="preserve">Procedural variables that are the same across conditions are control variables</w:t>
      </w:r>
    </w:p>
    <w:p>
      <w:pPr>
        <w:pStyle w:val="Compact"/>
        <w:numPr>
          <w:ilvl w:val="0"/>
          <w:numId w:val="1015"/>
        </w:numPr>
      </w:pPr>
      <w:r>
        <w:t xml:space="preserve">Procedural variables that differ across conditions are confounding variables</w:t>
      </w:r>
    </w:p>
    <w:p>
      <w:pPr>
        <w:pStyle w:val="Compact"/>
        <w:numPr>
          <w:ilvl w:val="0"/>
          <w:numId w:val="1015"/>
        </w:numPr>
      </w:pPr>
      <w:r>
        <w:t xml:space="preserve">Ongoing equivalence is threatened by treatment implementation</w:t>
      </w:r>
    </w:p>
    <w:p>
      <w:pPr>
        <w:pStyle w:val="Compact"/>
        <w:numPr>
          <w:ilvl w:val="0"/>
          <w:numId w:val="1015"/>
        </w:numPr>
      </w:pPr>
      <w:r>
        <w:t xml:space="preserve">Ongoing equivalence is threatened by differences in procedures</w:t>
      </w:r>
    </w:p>
    <w:bookmarkEnd w:id="37"/>
    <w:bookmarkEnd w:id="38"/>
    <w:bookmarkStart w:id="43" w:name="external-validity-1"/>
    <w:p>
      <w:pPr>
        <w:pStyle w:val="Heading2"/>
      </w:pPr>
      <w:r>
        <w:t xml:space="preserve">External Validity</w:t>
      </w:r>
    </w:p>
    <w:bookmarkStart w:id="39" w:name="population-participant-sampling"/>
    <w:p>
      <w:pPr>
        <w:pStyle w:val="Heading3"/>
      </w:pPr>
      <w:r>
        <w:t xml:space="preserve">Population – Participant Sampling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population</w:t>
            </w:r>
          </w:p>
        </w:tc>
        <w:tc>
          <w:tcPr/>
          <w:p>
            <w:pPr>
              <w:pStyle w:val="Compact"/>
            </w:pPr>
            <w:r>
              <w:t xml:space="preserve">Who are you trying to generalize to?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Sampling Frame</w:t>
            </w:r>
          </w:p>
        </w:tc>
        <w:tc>
          <w:tcPr/>
          <w:p>
            <w:pPr>
              <w:pStyle w:val="Compact"/>
            </w:pPr>
            <w:r>
              <w:t xml:space="preserve">Complete or Purposive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Selected Sample</w:t>
            </w:r>
          </w:p>
        </w:tc>
        <w:tc>
          <w:tcPr/>
          <w:p>
            <w:pPr>
              <w:pStyle w:val="Compact"/>
            </w:pPr>
            <w:r>
              <w:t xml:space="preserve">Researcher-selected or Self-selected</w:t>
            </w:r>
            <w:r>
              <w:t xml:space="preserve">Simple or Stratified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Sample</w:t>
            </w:r>
          </w:p>
        </w:tc>
        <w:tc>
          <w:tcPr/>
          <w:p>
            <w:pPr>
              <w:pStyle w:val="Compact"/>
            </w:pPr>
            <w:r>
              <w:t xml:space="preserve">Attrition effects</w:t>
            </w:r>
          </w:p>
        </w:tc>
      </w:tr>
    </w:tbl>
    <w:bookmarkEnd w:id="39"/>
    <w:bookmarkStart w:id="40" w:name="setting"/>
    <w:p>
      <w:pPr>
        <w:pStyle w:val="Heading3"/>
      </w:pPr>
      <w:r>
        <w:t xml:space="preserve">Setting</w:t>
      </w:r>
    </w:p>
    <w:p>
      <w:pPr>
        <w:pStyle w:val="Compact"/>
        <w:numPr>
          <w:ilvl w:val="0"/>
          <w:numId w:val="1016"/>
        </w:numPr>
      </w:pPr>
      <w:r>
        <w:t xml:space="preserve">Laboratory, Structured or Field?</w:t>
      </w:r>
    </w:p>
    <w:bookmarkEnd w:id="40"/>
    <w:bookmarkStart w:id="41" w:name="taskstimulus"/>
    <w:p>
      <w:pPr>
        <w:pStyle w:val="Heading3"/>
      </w:pPr>
      <w:r>
        <w:t xml:space="preserve">Task/Stimulus</w:t>
      </w:r>
    </w:p>
    <w:p>
      <w:pPr>
        <w:pStyle w:val="Compact"/>
        <w:numPr>
          <w:ilvl w:val="0"/>
          <w:numId w:val="1017"/>
        </w:numPr>
      </w:pPr>
      <w:r>
        <w:t xml:space="preserve">Familiar/Representative or Unfamiliar/Control?</w:t>
      </w:r>
    </w:p>
    <w:bookmarkEnd w:id="41"/>
    <w:bookmarkStart w:id="42" w:name="societaltemporal"/>
    <w:p>
      <w:pPr>
        <w:pStyle w:val="Heading3"/>
      </w:pPr>
      <w:r>
        <w:t xml:space="preserve">Societal/Temporal</w:t>
      </w:r>
    </w:p>
    <w:p>
      <w:pPr>
        <w:pStyle w:val="Compact"/>
        <w:numPr>
          <w:ilvl w:val="0"/>
          <w:numId w:val="1018"/>
        </w:numPr>
      </w:pPr>
      <w:r>
        <w:t xml:space="preserve">Relationships among variables change over time in a society</w:t>
      </w:r>
    </w:p>
    <w:bookmarkEnd w:id="42"/>
    <w:bookmarkEnd w:id="43"/>
    <w:bookmarkEnd w:id="44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Design Concepts and Validity</dc:title>
  <dc:creator/>
  <dc:language>en-US</dc:language>
  <cp:keywords/>
  <dcterms:created xsi:type="dcterms:W3CDTF">2026-08-14T16:01:18Z</dcterms:created>
  <dcterms:modified xsi:type="dcterms:W3CDTF">2026-08-14T16:01:18Z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