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5276"/>
          <w:sz w:val="48"/>
          <w:szCs w:val="48"/>
        </w:rPr>
        <w:t xml:space="preserve">Rigol RSA5065N</w:t>
      </w:r>
    </w:p>
    <w:p>
      <w:pPr>
        <w:spacing w:after="100"/>
        <w:jc w:val="center"/>
      </w:pPr>
      <w:r>
        <w:rPr>
          <w:rFonts w:ascii="Arial" w:cs="Arial" w:eastAsia="Arial" w:hAnsi="Arial"/>
          <w:b/>
          <w:bCs/>
          <w:color w:val="2E75B6"/>
          <w:sz w:val="36"/>
          <w:szCs w:val="36"/>
        </w:rPr>
        <w:t xml:space="preserve">VNA S11 Calibration Cheat Sheet</w:t>
      </w:r>
    </w:p>
    <w:p>
      <w:pPr>
        <w:spacing w:after="100"/>
        <w:jc w:val="center"/>
      </w:pPr>
      <w:r>
        <w:rPr>
          <w:rFonts w:ascii="Arial" w:cs="Arial" w:eastAsia="Arial" w:hAnsi="Arial"/>
          <w:color w:val="666666"/>
          <w:sz w:val="22"/>
          <w:szCs w:val="22"/>
        </w:rPr>
        <w:t xml:space="preserve">Using CK106A Calibration Kit (N-Type, DC to 6.5 GHz)</w:t>
      </w:r>
    </w:p>
    <w:p>
      <w:pPr>
        <w:spacing w:after="400"/>
        <w:jc w:val="center"/>
      </w:pPr>
      <w:r>
        <w:rPr>
          <w:rFonts w:ascii="Arial" w:cs="Arial" w:eastAsia="Arial" w:hAnsi="Arial"/>
          <w:color w:val="999999"/>
          <w:sz w:val="18"/>
          <w:szCs w:val="18"/>
        </w:rPr>
        <w:t xml:space="preserve">Document Version: 1.0  |  Date: February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0000" w:sz="2"/>
              <w:left w:val="single" w:color="CC0000" w:sz="2"/>
              <w:bottom w:val="single" w:color="CC0000" w:sz="2"/>
              <w:right w:val="single" w:color="CC0000" w:sz="2"/>
            </w:tcBorders>
            <w:shd w:fill="FFF3F3" w:val="clear"/>
            <w:tcMar>
              <w:top w:type="dxa" w:w="120"/>
              <w:left w:type="dxa" w:w="200"/>
              <w:bottom w:type="dxa" w:w="120"/>
              <w:right w:type="dxa" w:w="200"/>
            </w:tcMar>
          </w:tcPr>
          <w:p>
            <w:pPr>
              <w:spacing w:after="80"/>
            </w:pPr>
            <w:r>
              <w:rPr>
                <w:b/>
                <w:bCs/>
                <w:color w:val="CC0000"/>
                <w:sz w:val="24"/>
                <w:szCs w:val="24"/>
              </w:rPr>
              <w:t xml:space="preserve">⚠  CRITICAL WARNING: Offset Length Trap</w:t>
            </w:r>
          </w:p>
          <w:p>
            <w:r>
              <w:rPr>
                <w:color w:val="CC0000"/>
                <w:sz w:val="20"/>
                <w:szCs w:val="20"/>
              </w:rPr>
              <w:t xml:space="preserve">Selecting the CK106A kit from the Cal Kits menu does NOT automatically populate the correct offset parameters for each standard. You MUST manually verify that the Offset Length for Open, Short, and Load are each set to 0.0000 mm. Failure to check this will result in incorrect calibration and misleading measurements.</w:t>
            </w:r>
          </w:p>
        </w:tc>
      </w:tr>
    </w:tbl>
    <w:p>
      <w:pPr>
        <w:spacing w:before="200"/>
      </w:pPr>
    </w:p>
    <w:p>
      <w:pPr>
        <w:pStyle w:val="Heading1"/>
      </w:pPr>
      <w:r>
        <w:t xml:space="preserve">1. Prerequisites</w:t>
      </w:r>
    </w:p>
    <w:p>
      <w:pPr>
        <w:pStyle w:val="ListParagraph"/>
        <w:numPr>
          <w:ilvl w:val="0"/>
          <w:numId w:val="2"/>
        </w:numPr>
        <w:spacing w:after="60"/>
      </w:pPr>
      <w:r>
        <w:t xml:space="preserve">CK106A calibration kit to hand (Open, Short, Load, Through standards)</w:t>
      </w:r>
    </w:p>
    <w:p>
      <w:pPr>
        <w:pStyle w:val="ListParagraph"/>
        <w:numPr>
          <w:ilvl w:val="0"/>
          <w:numId w:val="2"/>
        </w:numPr>
        <w:spacing w:after="60"/>
      </w:pPr>
      <w:r>
        <w:t xml:space="preserve">Standards and Port 1 connector clean and undamaged</w:t>
      </w:r>
    </w:p>
    <w:p>
      <w:pPr>
        <w:pStyle w:val="ListParagraph"/>
        <w:numPr>
          <w:ilvl w:val="0"/>
          <w:numId w:val="2"/>
        </w:numPr>
        <w:spacing w:after="60"/>
      </w:pPr>
      <w:r>
        <w:t xml:space="preserve">Instrument warmed up (minimum 30 minutes recommended)</w:t>
      </w:r>
    </w:p>
    <w:p>
      <w:pPr>
        <w:pStyle w:val="ListParagraph"/>
        <w:numPr>
          <w:ilvl w:val="0"/>
          <w:numId w:val="2"/>
        </w:numPr>
        <w:spacing w:after="60"/>
      </w:pPr>
      <w:r>
        <w:t xml:space="preserve">Know your target frequency range before starting</w:t>
      </w:r>
    </w:p>
    <w:p>
      <w:pPr>
        <w:pStyle w:val="Heading1"/>
      </w:pPr>
      <w:r>
        <w:t xml:space="preserve">2. Enter VNA Mode and Set Frequency Range</w:t>
      </w:r>
    </w:p>
    <w:p>
      <w:pPr>
        <w:pStyle w:val="ListParagraph"/>
        <w:numPr>
          <w:ilvl w:val="0"/>
          <w:numId w:val="3"/>
        </w:numPr>
        <w:spacing w:after="60"/>
      </w:pPr>
      <w:r>
        <w:rPr>
          <w:b/>
          <w:bCs/>
        </w:rPr>
        <w:t xml:space="preserve">Press Mode</w:t>
      </w:r>
      <w:r>
        <w:t xml:space="preserve"> and select </w:t>
      </w:r>
      <w:r>
        <w:rPr>
          <w:b/>
          <w:bCs/>
        </w:rPr>
        <w:t xml:space="preserve">VNA</w:t>
      </w:r>
    </w:p>
    <w:p>
      <w:pPr>
        <w:pStyle w:val="ListParagraph"/>
        <w:numPr>
          <w:ilvl w:val="0"/>
          <w:numId w:val="3"/>
        </w:numPr>
        <w:spacing w:after="60"/>
      </w:pPr>
      <w:r>
        <w:t xml:space="preserve">Verify the Tracking Generator (TG) is </w:t>
      </w:r>
      <w:r>
        <w:rPr>
          <w:b/>
          <w:bCs/>
        </w:rPr>
        <w:t xml:space="preserve">enabled</w:t>
      </w:r>
      <w:r>
        <w:t xml:space="preserve"> — it must be on for calibration. TG enables by default in VNA mode.</w:t>
      </w:r>
    </w:p>
    <w:p>
      <w:pPr>
        <w:pStyle w:val="ListParagraph"/>
        <w:numPr>
          <w:ilvl w:val="0"/>
          <w:numId w:val="3"/>
        </w:numPr>
        <w:spacing w:after="60"/>
      </w:pPr>
      <w:r>
        <w:t xml:space="preserve">Press </w:t>
      </w:r>
      <w:r>
        <w:rPr>
          <w:b/>
          <w:bCs/>
        </w:rPr>
        <w:t xml:space="preserve">FREQ</w:t>
      </w:r>
      <w:r>
        <w:t xml:space="preserve"> and set your </w:t>
      </w:r>
      <w:r>
        <w:rPr>
          <w:b/>
          <w:bCs/>
        </w:rPr>
        <w:t xml:space="preserve">Start Frequency</w:t>
      </w:r>
      <w:r>
        <w:t xml:space="preserve"> and </w:t>
      </w:r>
      <w:r>
        <w:rPr>
          <w:b/>
          <w:bCs/>
        </w:rPr>
        <w:t xml:space="preserve">Stop Frequency</w:t>
      </w:r>
      <w:r>
        <w:t xml:space="preserve"> for the band you want to measure.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32" w:sz="2"/>
              <w:left w:val="single" w:color="2E7D32" w:sz="2"/>
              <w:bottom w:val="single" w:color="2E7D32" w:sz="2"/>
              <w:right w:val="single" w:color="2E7D32" w:sz="2"/>
            </w:tcBorders>
            <w:shd w:fill="F1F8E9" w:val="clear"/>
            <w:tcMar>
              <w:top w:type="dxa" w:w="100"/>
              <w:left w:type="dxa" w:w="200"/>
              <w:bottom w:type="dxa" w:w="100"/>
              <w:right w:type="dxa" w:w="200"/>
            </w:tcMar>
          </w:tcPr>
          <w:p>
            <w:r>
              <w:rPr>
                <w:color w:val="2E7D32"/>
                <w:sz w:val="20"/>
                <w:szCs w:val="20"/>
              </w:rPr>
              <w:t xml:space="preserve">💡 TIP: Set the frequency range BEFORE calibrating. The calibration is only valid for the frequency range configured at the time of calibration. If you change the range afterwards, you must recalibrate.</w:t>
            </w:r>
          </w:p>
        </w:tc>
      </w:tr>
    </w:tbl>
    <w:p>
      <w:pPr>
        <w:spacing w:before="100"/>
      </w:pPr>
    </w:p>
    <w:p>
      <w:pPr>
        <w:pStyle w:val="ListParagraph"/>
        <w:numPr>
          <w:ilvl w:val="0"/>
          <w:numId w:val="3"/>
        </w:numPr>
        <w:spacing w:after="60"/>
      </w:pPr>
      <w:r>
        <w:t xml:space="preserve">Press </w:t>
      </w:r>
      <w:r>
        <w:rPr>
          <w:b/>
          <w:bCs/>
        </w:rPr>
        <w:t xml:space="preserve">Meas</w:t>
      </w:r>
      <w:r>
        <w:t xml:space="preserve"> and select </w:t>
      </w:r>
      <w:r>
        <w:rPr>
          <w:b/>
          <w:bCs/>
        </w:rPr>
        <w:t xml:space="preserve">S11</w:t>
      </w:r>
    </w:p>
    <w:p>
      <w:pPr>
        <w:pStyle w:val="Heading1"/>
      </w:pPr>
      <w:r>
        <w:t xml:space="preserve">3. S11 Measure Setup — Port Extension</w:t>
      </w:r>
    </w:p>
    <w:p>
      <w:pPr>
        <w:pStyle w:val="ListParagraph"/>
        <w:numPr>
          <w:ilvl w:val="0"/>
          <w:numId w:val="3"/>
        </w:numPr>
        <w:spacing w:after="60"/>
      </w:pPr>
      <w:r>
        <w:t xml:space="preserve">Go to </w:t>
      </w:r>
      <w:r>
        <w:rPr>
          <w:b/>
          <w:bCs/>
        </w:rPr>
        <w:t xml:space="preserve">Meas &gt; S11 Meas Setup &gt; Port Extension</w:t>
      </w:r>
    </w:p>
    <w:p>
      <w:pPr>
        <w:pStyle w:val="ListParagraph"/>
        <w:numPr>
          <w:ilvl w:val="0"/>
          <w:numId w:val="3"/>
        </w:numPr>
        <w:spacing w:after="60"/>
      </w:pPr>
      <w:r>
        <w:t xml:space="preserve">Set Port Extension to </w:t>
      </w:r>
      <w:r>
        <w:rPr>
          <w:b/>
          <w:bCs/>
        </w:rPr>
        <w:t xml:space="preserve">OFF</w:t>
      </w:r>
      <w:r>
        <w:t xml:space="preserve"> (for local port calibration)</w:t>
      </w:r>
    </w:p>
    <w:p>
      <w:pPr>
        <w:pStyle w:val="Heading1"/>
      </w:pPr>
      <w:r>
        <w:t xml:space="preserve">4. Select Calibration Kit and Verify Offsets</w:t>
      </w:r>
    </w:p>
    <w:p>
      <w:pPr>
        <w:pStyle w:val="ListParagraph"/>
        <w:numPr>
          <w:ilvl w:val="0"/>
          <w:numId w:val="3"/>
        </w:numPr>
        <w:spacing w:after="60"/>
      </w:pPr>
      <w:r>
        <w:t xml:space="preserve">Navigate to </w:t>
      </w:r>
      <w:r>
        <w:rPr>
          <w:b/>
          <w:bCs/>
        </w:rPr>
        <w:t xml:space="preserve">Meas &gt; Align &gt; Cal Kits &gt; Selected Kit</w:t>
      </w:r>
    </w:p>
    <w:p>
      <w:pPr>
        <w:pStyle w:val="ListParagraph"/>
        <w:numPr>
          <w:ilvl w:val="0"/>
          <w:numId w:val="3"/>
        </w:numPr>
        <w:spacing w:after="60"/>
      </w:pPr>
      <w:r>
        <w:t xml:space="preserve">Select </w:t>
      </w:r>
      <w:r>
        <w:rPr>
          <w:b/>
          <w:bCs/>
        </w:rPr>
        <w:t xml:space="preserve">CK106A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0000" w:sz="2"/>
              <w:left w:val="single" w:color="CC0000" w:sz="2"/>
              <w:bottom w:val="single" w:color="CC0000" w:sz="2"/>
              <w:right w:val="single" w:color="CC0000" w:sz="2"/>
            </w:tcBorders>
            <w:shd w:fill="FFF3F3" w:val="clear"/>
            <w:tcMar>
              <w:top w:type="dxa" w:w="120"/>
              <w:left w:type="dxa" w:w="200"/>
              <w:bottom w:type="dxa" w:w="120"/>
              <w:right w:type="dxa" w:w="200"/>
            </w:tcMar>
          </w:tcPr>
          <w:p>
            <w:pPr>
              <w:spacing w:after="80"/>
            </w:pPr>
            <w:r>
              <w:rPr>
                <w:b/>
                <w:bCs/>
                <w:color w:val="CC0000"/>
                <w:sz w:val="22"/>
                <w:szCs w:val="22"/>
              </w:rPr>
              <w:t xml:space="preserve">⚠  CRITICAL: Manually Verify Each Standard's Offset</w:t>
            </w:r>
          </w:p>
          <w:p>
            <w:pPr>
              <w:spacing w:after="60"/>
            </w:pPr>
            <w:r>
              <w:rPr>
                <w:color w:val="CC0000"/>
                <w:sz w:val="20"/>
                <w:szCs w:val="20"/>
              </w:rPr>
              <w:t xml:space="preserve">Selecting the CK106A kit may NOT auto-populate the offsets. You must check each one individually:</w:t>
            </w:r>
          </w:p>
        </w:tc>
      </w:tr>
    </w:tbl>
    <w:p>
      <w:pPr>
        <w:spacing w:before="100"/>
      </w:pPr>
    </w:p>
    <w:p>
      <w:pPr>
        <w:pStyle w:val="ListParagraph"/>
        <w:numPr>
          <w:ilvl w:val="0"/>
          <w:numId w:val="3"/>
        </w:numPr>
        <w:spacing w:after="60"/>
      </w:pPr>
      <w:r>
        <w:t xml:space="preserve">In </w:t>
      </w:r>
      <w:r>
        <w:rPr>
          <w:b/>
          <w:bCs/>
        </w:rPr>
        <w:t xml:space="preserve">Cal Kits</w:t>
      </w:r>
      <w:r>
        <w:t xml:space="preserve">, go to </w:t>
      </w:r>
      <w:r>
        <w:rPr>
          <w:b/>
          <w:bCs/>
        </w:rPr>
        <w:t xml:space="preserve">Parts Type</w:t>
      </w:r>
      <w:r>
        <w:t xml:space="preserve"> and select </w:t>
      </w:r>
      <w:r>
        <w:rPr>
          <w:b/>
          <w:bCs/>
        </w:rPr>
        <w:t xml:space="preserve">Open</w:t>
      </w:r>
      <w:r>
        <w:t xml:space="preserve"> — verify Offset Length = </w:t>
      </w:r>
      <w:r>
        <w:rPr>
          <w:b/>
          <w:bCs/>
        </w:rPr>
        <w:t xml:space="preserve">0.0000 mm</w:t>
      </w:r>
    </w:p>
    <w:p>
      <w:pPr>
        <w:pStyle w:val="ListParagraph"/>
        <w:numPr>
          <w:ilvl w:val="0"/>
          <w:numId w:val="3"/>
        </w:numPr>
        <w:spacing w:after="60"/>
      </w:pPr>
      <w:r>
        <w:t xml:space="preserve">Change Parts Type to </w:t>
      </w:r>
      <w:r>
        <w:rPr>
          <w:b/>
          <w:bCs/>
        </w:rPr>
        <w:t xml:space="preserve">Short</w:t>
      </w:r>
      <w:r>
        <w:t xml:space="preserve"> — verify Offset Length = </w:t>
      </w:r>
      <w:r>
        <w:rPr>
          <w:b/>
          <w:bCs/>
        </w:rPr>
        <w:t xml:space="preserve">0.0000 mm</w:t>
      </w:r>
    </w:p>
    <w:p>
      <w:pPr>
        <w:pStyle w:val="ListParagraph"/>
        <w:numPr>
          <w:ilvl w:val="0"/>
          <w:numId w:val="3"/>
        </w:numPr>
        <w:spacing w:after="60"/>
      </w:pPr>
      <w:r>
        <w:t xml:space="preserve">Change Parts Type to </w:t>
      </w:r>
      <w:r>
        <w:rPr>
          <w:b/>
          <w:bCs/>
        </w:rPr>
        <w:t xml:space="preserve">Load</w:t>
      </w:r>
      <w:r>
        <w:t xml:space="preserve"> — verify Offset Length = </w:t>
      </w:r>
      <w:r>
        <w:rPr>
          <w:b/>
          <w:bCs/>
        </w:rPr>
        <w:t xml:space="preserve">0.0000 mm</w:t>
      </w:r>
    </w:p>
    <w:p>
      <w:pPr>
        <w:spacing w:before="200" w:after="100"/>
      </w:pPr>
      <w:r>
        <w:rPr>
          <w:b/>
          <w:bCs/>
          <w:sz w:val="22"/>
          <w:szCs w:val="22"/>
        </w:rPr>
        <w:t xml:space="preserve">CK106A Correct Offset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c>
          <w:tcPr>
            <w:tcW w:type="dxa" w:w="3213"/>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jc w:val="center"/>
            </w:pPr>
            <w:r>
              <w:rPr>
                <w:b/>
                <w:bCs/>
                <w:color w:val="FFFFFF"/>
                <w:sz w:val="20"/>
                <w:szCs w:val="20"/>
              </w:rPr>
              <w:t xml:space="preserve">Standard</w:t>
            </w:r>
          </w:p>
        </w:tc>
        <w:tc>
          <w:tcPr>
            <w:tcW w:type="dxa" w:w="3213"/>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jc w:val="center"/>
            </w:pPr>
            <w:r>
              <w:rPr>
                <w:b/>
                <w:bCs/>
                <w:color w:val="FFFFFF"/>
                <w:sz w:val="20"/>
                <w:szCs w:val="20"/>
              </w:rPr>
              <w:t xml:space="preserve">Parts Type</w:t>
            </w:r>
          </w:p>
        </w:tc>
        <w:tc>
          <w:tcPr>
            <w:tcW w:type="dxa" w:w="3213"/>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jc w:val="center"/>
            </w:pPr>
            <w:r>
              <w:rPr>
                <w:b/>
                <w:bCs/>
                <w:color w:val="FFFFFF"/>
                <w:sz w:val="20"/>
                <w:szCs w:val="20"/>
              </w:rPr>
              <w:t xml:space="preserve">Offset Length</w:t>
            </w:r>
          </w:p>
        </w:tc>
      </w:tr>
      <w:tr>
        <w:tc>
          <w:tcPr>
            <w:tcW w:type="dxa" w:w="3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20"/>
                <w:szCs w:val="20"/>
              </w:rPr>
              <w:t xml:space="preserve">Open</w:t>
            </w:r>
          </w:p>
        </w:tc>
        <w:tc>
          <w:tcPr>
            <w:tcW w:type="dxa" w:w="3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20"/>
                <w:szCs w:val="20"/>
              </w:rPr>
              <w:t xml:space="preserve">Open</w:t>
            </w:r>
          </w:p>
        </w:tc>
        <w:tc>
          <w:tcPr>
            <w:tcW w:type="dxa" w:w="321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20"/>
                <w:szCs w:val="20"/>
              </w:rPr>
              <w:t xml:space="preserve">0.0000 mm</w:t>
            </w:r>
          </w:p>
        </w:tc>
      </w:tr>
      <w:tr>
        <w:tc>
          <w:tcPr>
            <w:tcW w:type="dxa" w:w="3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20"/>
                <w:szCs w:val="20"/>
              </w:rPr>
              <w:t xml:space="preserve">Short</w:t>
            </w:r>
          </w:p>
        </w:tc>
        <w:tc>
          <w:tcPr>
            <w:tcW w:type="dxa" w:w="3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20"/>
                <w:szCs w:val="20"/>
              </w:rPr>
              <w:t xml:space="preserve">Short</w:t>
            </w:r>
          </w:p>
        </w:tc>
        <w:tc>
          <w:tcPr>
            <w:tcW w:type="dxa" w:w="321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20"/>
                <w:szCs w:val="20"/>
              </w:rPr>
              <w:t xml:space="preserve">0.0000 mm</w:t>
            </w:r>
          </w:p>
        </w:tc>
      </w:tr>
      <w:tr>
        <w:tc>
          <w:tcPr>
            <w:tcW w:type="dxa" w:w="3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20"/>
                <w:szCs w:val="20"/>
              </w:rPr>
              <w:t xml:space="preserve">Load</w:t>
            </w:r>
          </w:p>
        </w:tc>
        <w:tc>
          <w:tcPr>
            <w:tcW w:type="dxa" w:w="3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20"/>
                <w:szCs w:val="20"/>
              </w:rPr>
              <w:t xml:space="preserve">Load</w:t>
            </w:r>
          </w:p>
        </w:tc>
        <w:tc>
          <w:tcPr>
            <w:tcW w:type="dxa" w:w="321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20"/>
                <w:szCs w:val="20"/>
              </w:rPr>
              <w:t xml:space="preserve">0.0000 mm</w:t>
            </w:r>
          </w:p>
        </w:tc>
      </w:tr>
    </w:tbl>
    <w:p>
      <w:pPr>
        <w:pStyle w:val="Heading1"/>
      </w:pPr>
      <w:r>
        <w:t xml:space="preserve">5. Set Amplitude Scale</w:t>
      </w:r>
    </w:p>
    <w:p>
      <w:pPr>
        <w:pStyle w:val="ListParagraph"/>
        <w:numPr>
          <w:ilvl w:val="0"/>
          <w:numId w:val="3"/>
        </w:numPr>
        <w:spacing w:after="60"/>
      </w:pPr>
      <w:r>
        <w:t xml:space="preserve">Connect the </w:t>
      </w:r>
      <w:r>
        <w:rPr>
          <w:b/>
          <w:bCs/>
        </w:rPr>
        <w:t xml:space="preserve">Short</w:t>
      </w:r>
      <w:r>
        <w:t xml:space="preserve"> standard to Port 1</w:t>
      </w:r>
    </w:p>
    <w:p>
      <w:pPr>
        <w:pStyle w:val="ListParagraph"/>
        <w:numPr>
          <w:ilvl w:val="0"/>
          <w:numId w:val="3"/>
        </w:numPr>
        <w:spacing w:after="60"/>
      </w:pPr>
      <w:r>
        <w:t xml:space="preserve">Press </w:t>
      </w:r>
      <w:r>
        <w:rPr>
          <w:b/>
          <w:bCs/>
        </w:rPr>
        <w:t xml:space="preserve">AMPT</w:t>
      </w:r>
      <w:r>
        <w:t xml:space="preserve"> (Amplitude) and select </w:t>
      </w:r>
      <w:r>
        <w:rPr>
          <w:b/>
          <w:bCs/>
        </w:rPr>
        <w:t xml:space="preserve">All Auto</w:t>
      </w:r>
      <w:r>
        <w:t xml:space="preserve"> to let the instrument set an appropriate scale based on the Short response</w:t>
      </w:r>
    </w:p>
    <w:p>
      <w:pPr>
        <w:pStyle w:val="Heading1"/>
      </w:pPr>
      <w:r>
        <w:t xml:space="preserve">6. Run the OSL Calibration</w:t>
      </w:r>
    </w:p>
    <w:p>
      <w:pPr>
        <w:spacing w:after="100"/>
      </w:pPr>
      <w:r>
        <w:rPr>
          <w:sz w:val="22"/>
          <w:szCs w:val="22"/>
        </w:rPr>
        <w:t xml:space="preserve">Navigate to Meas &gt; Align. Connect each standard in turn:</w:t>
      </w:r>
    </w:p>
    <w:p>
      <w:pPr>
        <w:pStyle w:val="ListParagraph"/>
        <w:numPr>
          <w:ilvl w:val="0"/>
          <w:numId w:val="3"/>
        </w:numPr>
        <w:spacing w:after="60"/>
      </w:pPr>
      <w:r>
        <w:t xml:space="preserve">Connect the </w:t>
      </w:r>
      <w:r>
        <w:rPr>
          <w:b/>
          <w:bCs/>
        </w:rPr>
        <w:t xml:space="preserve">OPEN</w:t>
      </w:r>
      <w:r>
        <w:t xml:space="preserve"> standard to Port 1 → Press </w:t>
      </w:r>
      <w:r>
        <w:rPr>
          <w:b/>
          <w:bCs/>
        </w:rPr>
        <w:t xml:space="preserve">Open</w:t>
      </w:r>
      <w:r>
        <w:t xml:space="preserve"> → Wait for sweep to complete</w:t>
      </w:r>
    </w:p>
    <w:p>
      <w:pPr>
        <w:pStyle w:val="ListParagraph"/>
        <w:numPr>
          <w:ilvl w:val="0"/>
          <w:numId w:val="3"/>
        </w:numPr>
        <w:spacing w:after="60"/>
      </w:pPr>
      <w:r>
        <w:t xml:space="preserve">Connect the </w:t>
      </w:r>
      <w:r>
        <w:rPr>
          <w:b/>
          <w:bCs/>
        </w:rPr>
        <w:t xml:space="preserve">SHORT</w:t>
      </w:r>
      <w:r>
        <w:t xml:space="preserve"> standard to Port 1 → Press </w:t>
      </w:r>
      <w:r>
        <w:rPr>
          <w:b/>
          <w:bCs/>
        </w:rPr>
        <w:t xml:space="preserve">Short</w:t>
      </w:r>
      <w:r>
        <w:t xml:space="preserve"> → Wait for sweep to complete</w:t>
      </w:r>
    </w:p>
    <w:p>
      <w:pPr>
        <w:pStyle w:val="ListParagraph"/>
        <w:numPr>
          <w:ilvl w:val="0"/>
          <w:numId w:val="3"/>
        </w:numPr>
        <w:spacing w:after="60"/>
      </w:pPr>
      <w:r>
        <w:t xml:space="preserve">Connect the </w:t>
      </w:r>
      <w:r>
        <w:rPr>
          <w:b/>
          <w:bCs/>
        </w:rPr>
        <w:t xml:space="preserve">50Ω LOAD</w:t>
      </w:r>
      <w:r>
        <w:t xml:space="preserve"> standard to Port 1 → Press </w:t>
      </w:r>
      <w:r>
        <w:rPr>
          <w:b/>
          <w:bCs/>
        </w:rPr>
        <w:t xml:space="preserve">Load</w:t>
      </w:r>
      <w:r>
        <w:t xml:space="preserve"> → Wait for sweep to complete</w:t>
      </w:r>
    </w:p>
    <w:p>
      <w:pPr>
        <w:pStyle w:val="ListParagraph"/>
        <w:numPr>
          <w:ilvl w:val="0"/>
          <w:numId w:val="3"/>
        </w:numPr>
        <w:spacing w:after="60"/>
      </w:pPr>
      <w:r>
        <w:rPr>
          <w:b/>
          <w:bCs/>
        </w:rPr>
        <w:t xml:space="preserve">Press Done to save the calibration coefficients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0000" w:sz="2"/>
              <w:left w:val="single" w:color="CC0000" w:sz="2"/>
              <w:bottom w:val="single" w:color="CC0000" w:sz="2"/>
              <w:right w:val="single" w:color="CC0000" w:sz="2"/>
            </w:tcBorders>
            <w:shd w:fill="FFF3F3" w:val="clear"/>
            <w:tcMar>
              <w:top w:type="dxa" w:w="100"/>
              <w:left w:type="dxa" w:w="200"/>
              <w:bottom w:type="dxa" w:w="100"/>
              <w:right w:type="dxa" w:w="200"/>
            </w:tcMar>
          </w:tcPr>
          <w:p>
            <w:r>
              <w:rPr>
                <w:b/>
                <w:bCs/>
                <w:color w:val="CC0000"/>
                <w:sz w:val="20"/>
                <w:szCs w:val="20"/>
              </w:rPr>
              <w:t xml:space="preserve">⚠  You MUST press Done after all three standards. If you skip this step, the calibration coefficients will not be saved and your measurements will be uncalibrated.</w:t>
            </w:r>
          </w:p>
        </w:tc>
      </w:tr>
    </w:tbl>
    <w:p>
      <w:pPr>
        <w:pStyle w:val="Heading1"/>
      </w:pPr>
      <w:r>
        <w:t xml:space="preserve">7. Verify Calibration</w:t>
      </w:r>
    </w:p>
    <w:p>
      <w:pPr>
        <w:spacing w:after="100"/>
      </w:pPr>
      <w:r>
        <w:t xml:space="preserve">After pressing Done, verify the calibration is working correctly:</w:t>
      </w:r>
    </w:p>
    <w:p>
      <w:pPr>
        <w:pStyle w:val="Heading2"/>
      </w:pPr>
      <w:r>
        <w:t xml:space="preserve">7a. Load Test (50Ω)</w:t>
      </w:r>
    </w:p>
    <w:p>
      <w:pPr>
        <w:spacing w:after="60"/>
      </w:pPr>
      <w:r>
        <w:t xml:space="preserve">With the Load standard still connected:</w:t>
      </w:r>
    </w:p>
    <w:p>
      <w:pPr>
        <w:pStyle w:val="ListParagraph"/>
        <w:numPr>
          <w:ilvl w:val="0"/>
          <w:numId w:val="4"/>
        </w:numPr>
        <w:spacing w:after="40"/>
      </w:pPr>
      <w:r>
        <w:t xml:space="preserve">Smith Chart: dot at dead centre (50Ω)</w:t>
      </w:r>
    </w:p>
    <w:p>
      <w:pPr>
        <w:pStyle w:val="ListParagraph"/>
        <w:numPr>
          <w:ilvl w:val="0"/>
          <w:numId w:val="4"/>
        </w:numPr>
        <w:spacing w:after="40"/>
      </w:pPr>
      <w:r>
        <w:t xml:space="preserve">Return Loss (Log Mag): better than -40 dB</w:t>
      </w:r>
    </w:p>
    <w:p>
      <w:pPr>
        <w:pStyle w:val="ListParagraph"/>
        <w:numPr>
          <w:ilvl w:val="0"/>
          <w:numId w:val="4"/>
        </w:numPr>
        <w:spacing w:after="40"/>
      </w:pPr>
      <w:r>
        <w:t xml:space="preserve">SWR: very close to 1.0</w:t>
      </w:r>
    </w:p>
    <w:p>
      <w:pPr>
        <w:pStyle w:val="Heading2"/>
      </w:pPr>
      <w:r>
        <w:t xml:space="preserve">7b. Open Test (Disconnect)</w:t>
      </w:r>
    </w:p>
    <w:p>
      <w:pPr>
        <w:spacing w:after="60"/>
      </w:pPr>
      <w:r>
        <w:t xml:space="preserve">Remove all standards from Port 1 (leave it open):</w:t>
      </w:r>
    </w:p>
    <w:p>
      <w:pPr>
        <w:pStyle w:val="ListParagraph"/>
        <w:numPr>
          <w:ilvl w:val="0"/>
          <w:numId w:val="4"/>
        </w:numPr>
        <w:spacing w:after="40"/>
      </w:pPr>
      <w:r>
        <w:t xml:space="preserve">Smith Chart: should jump to far right edge (infinite impedance)</w:t>
      </w:r>
    </w:p>
    <w:p>
      <w:pPr>
        <w:pStyle w:val="ListParagraph"/>
        <w:numPr>
          <w:ilvl w:val="0"/>
          <w:numId w:val="4"/>
        </w:numPr>
        <w:spacing w:after="40"/>
      </w:pPr>
      <w:r>
        <w:t xml:space="preserve">SWR: should read very high / infinity</w:t>
      </w:r>
    </w:p>
    <w:p>
      <w:pPr>
        <w:pStyle w:val="ListParagraph"/>
        <w:numPr>
          <w:ilvl w:val="0"/>
          <w:numId w:val="4"/>
        </w:numPr>
        <w:spacing w:after="40"/>
      </w:pPr>
      <w:r>
        <w:t xml:space="preserve">Return Loss (Log Mag): close to 0 dB</w:t>
      </w:r>
    </w:p>
    <w:p>
      <w:pPr>
        <w:pStyle w:val="Heading2"/>
      </w:pPr>
      <w:r>
        <w:t xml:space="preserve">7c. Short Test</w:t>
      </w:r>
    </w:p>
    <w:p>
      <w:pPr>
        <w:spacing w:after="60"/>
      </w:pPr>
      <w:r>
        <w:t xml:space="preserve">Connect the Short standard:</w:t>
      </w:r>
    </w:p>
    <w:p>
      <w:pPr>
        <w:pStyle w:val="ListParagraph"/>
        <w:numPr>
          <w:ilvl w:val="0"/>
          <w:numId w:val="4"/>
        </w:numPr>
        <w:spacing w:after="40"/>
      </w:pPr>
      <w:r>
        <w:t xml:space="preserve">Smith Chart: should be at far left edge (0Ω)</w:t>
      </w:r>
    </w:p>
    <w:p>
      <w:pPr>
        <w:pStyle w:val="ListParagraph"/>
        <w:numPr>
          <w:ilvl w:val="0"/>
          <w:numId w:val="4"/>
        </w:numPr>
        <w:spacing w:after="40"/>
      </w:pPr>
      <w:r>
        <w:rPr>
          <w:b/>
          <w:bCs/>
        </w:rPr>
        <w:t xml:space="preserve">Must NOT appear capacitive</w:t>
      </w:r>
      <w:r>
        <w:t xml:space="preserve"> (below the centre line). If it does, the offset parameters are wrong — go back to Step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32" w:sz="2"/>
              <w:left w:val="single" w:color="2E7D32" w:sz="2"/>
              <w:bottom w:val="single" w:color="2E7D32" w:sz="2"/>
              <w:right w:val="single" w:color="2E7D32" w:sz="2"/>
            </w:tcBorders>
            <w:shd w:fill="F1F8E9" w:val="clear"/>
            <w:tcMar>
              <w:top w:type="dxa" w:w="100"/>
              <w:left w:type="dxa" w:w="200"/>
              <w:bottom w:type="dxa" w:w="100"/>
              <w:right w:type="dxa" w:w="200"/>
            </w:tcMar>
          </w:tcPr>
          <w:p>
            <w:r>
              <w:rPr>
                <w:color w:val="2E7D32"/>
                <w:sz w:val="20"/>
                <w:szCs w:val="20"/>
              </w:rPr>
              <w:t xml:space="preserve">💡 TIP: If the measurement does not change when you disconnect a cable or standard, the calibration has not taken effect. Re-run the OSL procedure from Step 6.</w:t>
            </w:r>
          </w:p>
        </w:tc>
      </w:tr>
    </w:tbl>
    <w:p>
      <w:pPr>
        <w:pStyle w:val="Heading1"/>
      </w:pPr>
      <w:r>
        <w:t xml:space="preserve">8. Important Notes</w:t>
      </w:r>
    </w:p>
    <w:p>
      <w:pPr>
        <w:pStyle w:val="ListParagraph"/>
        <w:numPr>
          <w:ilvl w:val="0"/>
          <w:numId w:val="4"/>
        </w:numPr>
        <w:spacing w:after="60"/>
      </w:pPr>
      <w:r>
        <w:rPr>
          <w:b/>
          <w:bCs/>
        </w:rPr>
        <w:t xml:space="preserve">Calibration is S11 only. </w:t>
      </w:r>
      <w:r>
        <w:t xml:space="preserve">Switching to S21 or DTF requires recalibration.</w:t>
      </w:r>
    </w:p>
    <w:p>
      <w:pPr>
        <w:pStyle w:val="ListParagraph"/>
        <w:numPr>
          <w:ilvl w:val="0"/>
          <w:numId w:val="4"/>
        </w:numPr>
        <w:spacing w:after="60"/>
      </w:pPr>
      <w:r>
        <w:rPr>
          <w:b/>
          <w:bCs/>
        </w:rPr>
        <w:t xml:space="preserve">Recalibrate for each frequency band. </w:t>
      </w:r>
      <w:r>
        <w:t xml:space="preserve">A narrow-band cal gives much better accuracy than a wideband sweep.</w:t>
      </w:r>
    </w:p>
    <w:p>
      <w:pPr>
        <w:pStyle w:val="ListParagraph"/>
        <w:numPr>
          <w:ilvl w:val="0"/>
          <w:numId w:val="4"/>
        </w:numPr>
        <w:spacing w:after="60"/>
      </w:pPr>
      <w:r>
        <w:rPr>
          <w:b/>
          <w:bCs/>
        </w:rPr>
        <w:t xml:space="preserve">Cable measurements: </w:t>
      </w:r>
      <w:r>
        <w:t xml:space="preserve">If measuring antenna + cable as a system, calibrate at the instrument port. This measures what the modem/radio actually sees. If measuring just the antenna, calibrate at the antenna end of the cable.</w:t>
      </w:r>
    </w:p>
    <w:p>
      <w:pPr>
        <w:pStyle w:val="ListParagraph"/>
        <w:numPr>
          <w:ilvl w:val="0"/>
          <w:numId w:val="4"/>
        </w:numPr>
        <w:spacing w:after="60"/>
      </w:pPr>
      <w:r>
        <w:rPr>
          <w:b/>
          <w:bCs/>
        </w:rPr>
        <w:t xml:space="preserve">Port Extension: </w:t>
      </w:r>
      <w:r>
        <w:t xml:space="preserve">Use port extension to mathematically shift the reference plane to the far end of a cable without physically calibrating there. Set Port 1 Length to your cable length and Velocity Factor to match your cable type (e.g. 0.66 for RG213).</w:t>
      </w:r>
    </w:p>
    <w:p>
      <w:pPr>
        <w:pStyle w:val="ListParagraph"/>
        <w:numPr>
          <w:ilvl w:val="0"/>
          <w:numId w:val="4"/>
        </w:numPr>
        <w:spacing w:after="60"/>
      </w:pPr>
      <w:r>
        <w:rPr>
          <w:b/>
          <w:bCs/>
        </w:rPr>
        <w:t xml:space="preserve">Connector care: </w:t>
      </w:r>
      <w:r>
        <w:t xml:space="preserve">Always finger-tighten only. Never over-torque N-type connectors on the instrument port.</w:t>
      </w:r>
    </w:p>
    <w:p>
      <w:pPr>
        <w:pStyle w:val="Heading1"/>
      </w:pPr>
      <w:r>
        <w:t xml:space="preserve">Quick Reference: Menu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c>
          <w:tcPr>
            <w:tcW w:type="dxa" w:w="35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r>
              <w:rPr>
                <w:b/>
                <w:bCs/>
                <w:color w:val="FFFFFF"/>
                <w:sz w:val="20"/>
                <w:szCs w:val="20"/>
              </w:rPr>
              <w:t xml:space="preserve">Action</w:t>
            </w:r>
          </w:p>
        </w:tc>
        <w:tc>
          <w:tcPr>
            <w:tcW w:type="dxa" w:w="6138"/>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r>
              <w:rPr>
                <w:b/>
                <w:bCs/>
                <w:color w:val="FFFFFF"/>
                <w:sz w:val="20"/>
                <w:szCs w:val="20"/>
              </w:rPr>
              <w:t xml:space="preserve">Menu Path</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0"/>
                <w:szCs w:val="20"/>
              </w:rPr>
              <w:t xml:space="preserve">Enter VNA Mode</w:t>
            </w:r>
          </w:p>
        </w:tc>
        <w:tc>
          <w:tcPr>
            <w:tcW w:type="dxa" w:w="6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20"/>
                <w:szCs w:val="20"/>
              </w:rPr>
              <w:t xml:space="preserve">Mode &gt; VNA</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0"/>
                <w:szCs w:val="20"/>
              </w:rPr>
              <w:t xml:space="preserve">Set Frequency</w:t>
            </w:r>
          </w:p>
        </w:tc>
        <w:tc>
          <w:tcPr>
            <w:tcW w:type="dxa" w:w="6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20"/>
                <w:szCs w:val="20"/>
              </w:rPr>
              <w:t xml:space="preserve">FREQ &gt; Start Freq / Stop Freq</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0"/>
                <w:szCs w:val="20"/>
              </w:rPr>
              <w:t xml:space="preserve">Select Measurement</w:t>
            </w:r>
          </w:p>
        </w:tc>
        <w:tc>
          <w:tcPr>
            <w:tcW w:type="dxa" w:w="6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20"/>
                <w:szCs w:val="20"/>
              </w:rPr>
              <w:t xml:space="preserve">Meas &gt; S11</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0"/>
                <w:szCs w:val="20"/>
              </w:rPr>
              <w:t xml:space="preserve">Port Extension</w:t>
            </w:r>
          </w:p>
        </w:tc>
        <w:tc>
          <w:tcPr>
            <w:tcW w:type="dxa" w:w="6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20"/>
                <w:szCs w:val="20"/>
              </w:rPr>
              <w:t xml:space="preserve">Meas &gt; S11 Meas Setup &gt; Port Extension</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0"/>
                <w:szCs w:val="20"/>
              </w:rPr>
              <w:t xml:space="preserve">Select Cal Kit</w:t>
            </w:r>
          </w:p>
        </w:tc>
        <w:tc>
          <w:tcPr>
            <w:tcW w:type="dxa" w:w="6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20"/>
                <w:szCs w:val="20"/>
              </w:rPr>
              <w:t xml:space="preserve">Meas &gt; Align &gt; Cal Kits &gt; Selected Kit</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0"/>
                <w:szCs w:val="20"/>
              </w:rPr>
              <w:t xml:space="preserve">Check Offsets</w:t>
            </w:r>
          </w:p>
        </w:tc>
        <w:tc>
          <w:tcPr>
            <w:tcW w:type="dxa" w:w="6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20"/>
                <w:szCs w:val="20"/>
              </w:rPr>
              <w:t xml:space="preserve">Meas &gt; Align &gt; Cal Kits &gt; Parts Type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0"/>
                <w:szCs w:val="20"/>
              </w:rPr>
              <w:t xml:space="preserve">Run Calibration</w:t>
            </w:r>
          </w:p>
        </w:tc>
        <w:tc>
          <w:tcPr>
            <w:tcW w:type="dxa" w:w="6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20"/>
                <w:szCs w:val="20"/>
              </w:rPr>
              <w:t xml:space="preserve">Meas &gt; Align &gt; Open / Short / Load &gt; Done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0"/>
                <w:szCs w:val="20"/>
              </w:rPr>
              <w:t xml:space="preserve">Auto Scale</w:t>
            </w:r>
          </w:p>
        </w:tc>
        <w:tc>
          <w:tcPr>
            <w:tcW w:type="dxa" w:w="6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20"/>
                <w:szCs w:val="20"/>
              </w:rPr>
              <w:t xml:space="preserve">AMPT &gt; All Auto</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0"/>
                <w:szCs w:val="20"/>
              </w:rPr>
              <w:t xml:space="preserve">Set Trace Format</w:t>
            </w:r>
          </w:p>
        </w:tc>
        <w:tc>
          <w:tcPr>
            <w:tcW w:type="dxa" w:w="6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20"/>
                <w:szCs w:val="20"/>
              </w:rPr>
              <w:t xml:space="preserve">Trace &gt; Trace Format &gt; Smith / Log Mag / SWR</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RF-Hub Project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6"/>
        <w:szCs w:val="16"/>
      </w:rPr>
      <w:t xml:space="preserve">Rigol RSA5065N VNA Calibration Cheat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2026-02-28T01:15:59.333Z</dcterms:created>
  <dcterms:modified xsi:type="dcterms:W3CDTF">2026-02-28T01:15:59.334Z</dcterms:modified>
</cp:coreProperties>
</file>

<file path=docProps/custom.xml><?xml version="1.0" encoding="utf-8"?>
<Properties xmlns="http://schemas.openxmlformats.org/officeDocument/2006/custom-properties" xmlns:vt="http://schemas.openxmlformats.org/officeDocument/2006/docPropsVTypes"/>
</file>