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1.1) 대회 규정 조건   1.2) 경기장 구성물과 설계 반영</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제작 과정   5.1) 몰드 제작   5.2) FRP 적층   5.3) 수밀   5.4) 부착물</w:t>
      </w:r>
    </w:p>
    <w:p>
      <w:pPr>
        <w:spacing w:after="100" w:line="300"/>
      </w:pPr>
      <w:r>
        <w:rPr>
          <w:rFonts w:ascii="Malgun Gothic" w:cs="Malgun Gothic" w:eastAsia="Malgun Gothic" w:hAnsi="Malgun Gothic"/>
          <w:sz w:val="20"/>
          <w:szCs w:val="20"/>
        </w:rPr>
        <w:t xml:space="preserve">   6)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탑재 장비 배치도</w:t>
      </w:r>
    </w:p>
    <w:p>
      <w:pPr>
        <w:spacing w:after="100" w:line="300"/>
      </w:pPr>
      <w:r>
        <w:rPr>
          <w:rFonts w:ascii="Malgun Gothic" w:cs="Malgun Gothic" w:eastAsia="Malgun Gothic" w:hAnsi="Malgun Gothic"/>
          <w:sz w:val="20"/>
          <w:szCs w:val="20"/>
        </w:rPr>
        <w:t xml:space="preserve">   5) 친환경 시스템 및 에너지 효율</w:t>
      </w:r>
    </w:p>
    <w:p>
      <w:pPr>
        <w:spacing w:after="100" w:line="300"/>
      </w:pPr>
      <w:r>
        <w:rPr>
          <w:rFonts w:ascii="Malgun Gothic" w:cs="Malgun Gothic" w:eastAsia="Malgun Gothic" w:hAnsi="Malgun Gothic"/>
          <w:sz w:val="20"/>
          <w:szCs w:val="20"/>
        </w:rPr>
        <w:t xml:space="preserve">   6)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본 보고서는 S.S.F A(1번배, T200 ×2) 를 다룬다. 선내 노트북 1대의 ROS2 스택이 센서 처리부터 추진 명령까지 독립적으로 수행한다.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LOA 1.66 m × BOA 0.55 m, 선미 깊이 0.255 m (추진기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부상 시험 흘수 선미 45 · 중앙 95 · 선수 105 mm (Ⅱ-3.2)</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배터리·방수박스 선체 내부 고정, 좌우 중량 균형 고려, 부상 시험 실시</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경기장 구성물과 설계 반영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1번배 치수 기준 약 10°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0.55 m → 좌우 여유 약 0.22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2"/>
        <w:spacing w:after="120" w:before="240"/>
      </w:pPr>
      <w:r>
        <w:rPr>
          <w:rFonts w:ascii="Malgun Gothic" w:cs="Malgun Gothic" w:eastAsia="Malgun Gothic" w:hAnsi="Malgun Gothic"/>
          <w:b/>
          <w:bCs/>
          <w:sz w:val="26"/>
          <w:szCs w:val="26"/>
        </w:rPr>
        <w:t xml:space="preserve">2) 주요 설정 치수</w:t>
      </w:r>
    </w:p>
    <w:p>
      <w:pPr>
        <w:spacing w:after="100" w:line="300"/>
      </w:pPr>
      <w:r>
        <w:rPr>
          <w:rFonts w:ascii="Malgun Gothic" w:cs="Malgun Gothic" w:eastAsia="Malgun Gothic" w:hAnsi="Malgun Gothic"/>
          <w:sz w:val="20"/>
          <w:szCs w:val="20"/>
        </w:rPr>
        <w:t xml:space="preserve">본 선박은 자율운항에 필요한 장비의 탑재 공간과 안정적인 운항 성능을 고려하여 설계하였다. 선체의 전장(LOA)은 1.66 m, 최대 폭(BOA)은 0.55 m로 설정하였으며, 선체 높이는 선수 240 mm, 중앙 220 mm, 선미 150 mm로 구성하였다. 선미의 경우 추진기를 포함한 전체 높이는 약 255 mm이다.</w:t>
      </w:r>
    </w:p>
    <w:p>
      <w:pPr>
        <w:spacing w:after="100" w:line="300"/>
      </w:pPr>
      <w:r>
        <w:rPr>
          <w:rFonts w:ascii="Malgun Gothic" w:cs="Malgun Gothic" w:eastAsia="Malgun Gothic" w:hAnsi="Malgun Gothic"/>
          <w:sz w:val="20"/>
          <w:szCs w:val="20"/>
        </w:rPr>
        <w:t xml:space="preserve">추진 장치로는 Blue Robotics사의 T200 스러스터 2기를 사용하였으며, 선미 중심선을 기준으로 좌우 각각 120 mm 떨어진 위치에 대칭으로 배치하였다. 두 추진기 사이의 간격은 240 mm로 설정하여 좌우 추진력 차이를 이용한 방향 전환이 가능하도록 구성하였다.</w:t>
      </w:r>
    </w:p>
    <w:p>
      <w:pPr>
        <w:spacing w:after="100" w:line="300"/>
      </w:pPr>
      <w:r>
        <w:rPr>
          <w:rFonts w:ascii="Malgun Gothic" w:cs="Malgun Gothic" w:eastAsia="Malgun Gothic" w:hAnsi="Malgun Gothic"/>
          <w:sz w:val="20"/>
          <w:szCs w:val="20"/>
        </w:rPr>
        <w:t xml:space="preserve">전자장비의 방수 및 보호를 위해 400×300×200 mm 크기의 방수박스를 갑판 아래에 배치하도록 설계하였다.</w:t>
      </w:r>
    </w:p>
    <w:p>
      <w:pPr>
        <w:spacing w:after="100" w:line="300"/>
      </w:pPr>
      <w:r>
        <w:rPr>
          <w:rFonts w:ascii="Malgun Gothic" w:cs="Malgun Gothic" w:eastAsia="Malgun Gothic" w:hAnsi="Malgun Gothic"/>
          <w:sz w:val="20"/>
          <w:szCs w:val="20"/>
        </w:rPr>
        <w:t xml:space="preserve">선박의 전비 질량은 약 30 kg으로 추정하였으며, 실제 운항 장비를 모두 탑재한 상태에서 담수를 이용한 부상 시험을 실시하였다. 시험 결과 선미 45 mm, 중앙 95 mm, 선수 105 mm의 침수 깊이가 측정되었다. 각 위치의 선체 높이와 실측 흘수로 산정한 건현은 선수 135 mm, 중앙 125 mm, 선미 105 mm로, 세 측정 지점 중 선미의 건현이 가장 낮았다.</w:t>
      </w:r>
    </w:p>
    <w:p>
      <w:pPr>
        <w:spacing w:after="100" w:line="300"/>
      </w:pPr>
      <w:r>
        <w:rPr>
          <w:rFonts w:ascii="Malgun Gothic" w:cs="Malgun Gothic" w:eastAsia="Malgun Gothic" w:hAnsi="Malgun Gothic"/>
          <w:sz w:val="20"/>
          <w:szCs w:val="20"/>
        </w:rPr>
        <w:t xml:space="preserve">이를 통해 실제 운항 장비를 탑재한 상태에서도 선체의 각 측정 위치에서 수면 위 여유 높이가 확보되어 있음을 확인하였다. 다만 정확한 배수량 및 복원성 평가를 위해서는 실제 선체 중량과 수중 형상을 고려한 추가 검토가 필요하다.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0.55</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0.255 (추진기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좌우 대칭 배치 (중심선 기준 ±120 mm, 추진기 간격 240 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갑판 아래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(추정)</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45 · 중앙 95 · 선수 105 (부상 시험)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105 · 중앙 125 · 선수 135</w:t>
            </w:r>
          </w:p>
        </w:tc>
      </w:tr>
    </w:tbl>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line="300"/>
      </w:pPr>
      <w:r>
        <w:rPr>
          <w:rFonts w:ascii="Malgun Gothic" w:cs="Malgun Gothic" w:eastAsia="Malgun Gothic" w:hAnsi="Malgun Gothic"/>
          <w:sz w:val="20"/>
          <w:szCs w:val="20"/>
        </w:rPr>
        <w:t xml:space="preserve">2025년에는 쌍동선에 중앙 킬을 적용한 선형(1.05 × 0.55 × 0.24 m, 23.2 kg)에 T200 스러스터 4기를 사용하였으며, 2026년 1번배는 단동선으로 선형을 바꾸고 추진 시스템을 단순화하는 방향으로 설계를 진행하였다. 특히 선체의 경량화, 유체저항 감소 및 추진 시스템의 효율적인 구성을 주요 설계 목표로 설정하였다.</w:t>
      </w:r>
    </w:p>
    <w:p>
      <w:pPr>
        <w:spacing w:after="100" w:line="300"/>
      </w:pPr>
      <w:r>
        <w:rPr>
          <w:rFonts w:ascii="Malgun Gothic" w:cs="Malgun Gothic" w:eastAsia="Malgun Gothic" w:hAnsi="Malgun Gothic"/>
          <w:sz w:val="20"/>
          <w:szCs w:val="20"/>
        </w:rPr>
        <w:t xml:space="preserve">단동선은 구조가 비교적 단순하여 제작과 유지보수가 용이하고, 선체 내부 공간을 효율적으로 활용할 수 있다는 장점이 있다. 또한 선체 길이를 기존 1.05 m에서 1.66 m로 늘려 실해역에서 발생하는 파랑에 대한 대응 능력을 확보하고자 하였다. 선수와 선미를 연결하는 선체 외형을 매끄럽게 설계하여 운항 중 발생하는 유체저항을 줄이고, 직진 안정성 및 종방향 운동 특성을 개선하는 것을 목표로 하였다.</w:t>
      </w:r>
    </w:p>
    <w:p>
      <w:pPr>
        <w:spacing w:after="100" w:line="300"/>
      </w:pPr>
      <w:r>
        <w:rPr>
          <w:rFonts w:ascii="Malgun Gothic" w:cs="Malgun Gothic" w:eastAsia="Malgun Gothic" w:hAnsi="Malgun Gothic"/>
          <w:sz w:val="20"/>
          <w:szCs w:val="20"/>
        </w:rPr>
        <w:t xml:space="preserve">추진 시스템의 경우 기존 4기 추진 방식에서 선미 좌우에 T200 스러스터 2기를 배치하는 방식으로 변경하였다. 4기 추진 방식은 높은 총추력을 확보하는 데 유리하지만, 추진기 수 증가에 따라 장비 중량과 전력 공급 계통의 복잡성이 증가할 수 있다. 이에 따라 추진기 수를 2기로 줄여 추진 시스템의 구조를 단순화하고, 추진기 및 부착물에 의해 발생하는 부가저항을 감소시킬 수 있는 방향으로 설계하였다.</w:t>
      </w:r>
    </w:p>
    <w:p>
      <w:pPr>
        <w:spacing w:after="100" w:line="300"/>
      </w:pPr>
      <w:r>
        <w:rPr>
          <w:rFonts w:ascii="Malgun Gothic" w:cs="Malgun Gothic" w:eastAsia="Malgun Gothic" w:hAnsi="Malgun Gothic"/>
          <w:sz w:val="20"/>
          <w:szCs w:val="20"/>
        </w:rPr>
        <w:t xml:space="preserve">또한 선미에 설치한 2개의 스러스터를 선체 중심선 기준 좌우 대칭으로 배치하여 직진 운항 시 추력의 균형을 유지하고자 하였다. 좌우 추진력의 차이를 이용하는 차동추력 방식을 적용하여 별도의 방향타 조작 없이도 선박의 방향을 제어할 수 있도록 구성하였다.</w:t>
      </w:r>
    </w:p>
    <w:p>
      <w:pPr>
        <w:spacing w:after="100" w:line="300"/>
      </w:pPr>
      <w:r>
        <w:rPr>
          <w:rFonts w:ascii="Malgun Gothic" w:cs="Malgun Gothic" w:eastAsia="Malgun Gothic" w:hAnsi="Malgun Gothic"/>
          <w:sz w:val="20"/>
          <w:szCs w:val="20"/>
        </w:rPr>
        <w:t xml:space="preserve">최종적으로 본 선박은 단동선의 장점을 살리면서 선체 형상 개선, 추진기 수 감소에 따른 구조적 단순화, 경량화 가능성 및 추진 시스템의 효율적인 구성을 주요 설계 방향으로 선정하였다. 이러한 설계 변경이 실제 운항 성능에 미치는 영향은 향후 직진 속도, 선회 성능 및 전력 소비량 측정을 통해 검토할 예정이다.</w:t>
      </w:r>
    </w:p>
    <w:p>
      <w:pPr>
        <w:spacing w:after="60" w:before="120"/>
        <w:jc w:val="center"/>
      </w:pPr>
      <w:r>
        <w:drawing>
          <wp:inline distT="0" distB="0" distL="0" distR="0">
            <wp:extent cx="5334000" cy="1428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4287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Ⅱ-1(a) 1번배 선형 (킬 제거 STL ×1.66)</w:t>
      </w:r>
    </w:p>
    <w:p>
      <w:pPr>
        <w:spacing w:after="60" w:before="120"/>
        <w:jc w:val="center"/>
      </w:pPr>
      <w:r>
        <w:drawing>
          <wp:inline distT="0" distB="0" distL="0" distR="0">
            <wp:extent cx="5334000" cy="12287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Ⅱ-1(b) 측면도 (Profile)</w:t>
      </w:r>
    </w:p>
    <w:p>
      <w:pPr>
        <w:spacing w:after="60" w:before="120"/>
        <w:jc w:val="center"/>
      </w:pPr>
      <w:r>
        <w:drawing>
          <wp:inline distT="0" distB="0" distL="0" distR="0">
            <wp:extent cx="5334000" cy="1228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Ⅱ-1(c) 반폭도 (Half-breadth plan)</w:t>
      </w:r>
    </w:p>
    <w:p>
      <w:pPr>
        <w:spacing w:after="60" w:before="120"/>
        <w:jc w:val="center"/>
      </w:pPr>
      <w:r>
        <w:drawing>
          <wp:inline distT="0" distB="0" distL="0" distR="0">
            <wp:extent cx="4000500" cy="27527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752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Ⅱ-1(d) 정면도 (Body plan)</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본 선박은 실제 운항 조건에서의 부상 상태와 초기 복원성을 검토하기 위해 담수를 이용한 부상 시험 및 최종 선체 STL 형상에 대한 정수력 계산을 수행하였다.</w:t>
      </w:r>
    </w:p>
    <w:p>
      <w:pPr>
        <w:spacing w:after="100" w:line="300"/>
      </w:pPr>
      <w:r>
        <w:rPr>
          <w:rFonts w:ascii="Malgun Gothic" w:cs="Malgun Gothic" w:eastAsia="Malgun Gothic" w:hAnsi="Malgun Gothic"/>
          <w:sz w:val="20"/>
          <w:szCs w:val="20"/>
        </w:rPr>
        <w:t xml:space="preserve">시험은 배터리, 방수박스, 제어장치 및 각종 운항 장비를 모두 탑재한 상태에서 진행하였으며, 선체의 선수, 중앙, 선미에서 흘수를 측정하였다. 측정 결과 선미 45 mm, 중앙 95 mm, 선수 105 mm의 침수 깊이가 확인되었으며, 세 지점의 평균 침수 깊이는 약 81.7 mm로 나타났다. 건현은 각 위치의 선체 높이에서 실측 흘수를 빼서 산정하였으며, 선미 105 mm, 중앙 125 mm, 선수 135 mm로 실제 운항 장비를 탑재한 상태에서도 각 측정 지점에서 수면과 갑판 사이의 여유 높이가 확보되어 있음을 확인하였다.</w:t>
      </w:r>
    </w:p>
    <w:p>
      <w:pPr>
        <w:spacing w:after="100" w:line="300"/>
      </w:pPr>
      <w:r>
        <w:rPr>
          <w:rFonts w:ascii="Malgun Gothic" w:cs="Malgun Gothic" w:eastAsia="Malgun Gothic" w:hAnsi="Malgun Gothic"/>
          <w:sz w:val="20"/>
          <w:szCs w:val="20"/>
        </w:rPr>
        <w:t xml:space="preserve">선박의 전비 질량은 약 30 kg으로 추정하였으며, 담수 밀도 1,000 kg/m³를 적용하여 아르키메데스의 원리에 따라 배수용적을 약 0.030 m³로 산정하였다. 또한 최종 선체 STL 형상을 이용한 정수력 계산 결과, 방형계수(Cb)는 약 0.485로 계산되었다.</w:t>
      </w:r>
    </w:p>
    <w:p>
      <w:pPr>
        <w:spacing w:after="100" w:line="300"/>
      </w:pPr>
      <w:r>
        <w:rPr>
          <w:rFonts w:ascii="Malgun Gothic" w:cs="Malgun Gothic" w:eastAsia="Malgun Gothic" w:hAnsi="Malgun Gothic"/>
          <w:sz w:val="20"/>
          <w:szCs w:val="20"/>
        </w:rPr>
        <w:t xml:space="preserve">초기 복원성 검토를 위해 최종 선체 STL 형상을 기준으로 정수력 계산을 수행하였다. 전비 질량을 약 30 kg으로 가정한 결과, 부심 높이(KB)는 0.0706 m, 메타센터 반경(BM)은 0.2197 m, 메타센터 높이(KM)는 0.2903 m로 산정되었다. 무게중심 높이(KG)는 탑재 장비의 예상 중량 및 배치 높이를 고려하여 0.150 m로 가정하였으며, 이때 초기 메타센터 높이(GM)는 0.140 m로 양수가 되어 작은 횡경사에 대한 복원력이 발생할 것으로 예상된다. 다만 본 결과는 추정 중량과 가정된 무게중심 및 수평 부상 상태를 기준으로 산정한 값이므로, 실제 장비 배치와 경사시험을 통한 검증이 필요하다.</w:t>
      </w:r>
    </w:p>
    <w:p>
      <w:pPr>
        <w:spacing w:after="100" w:line="300"/>
      </w:pPr>
      <w:r>
        <w:rPr>
          <w:rFonts w:ascii="Malgun Gothic" w:cs="Malgun Gothic" w:eastAsia="Malgun Gothic" w:hAnsi="Malgun Gothic"/>
          <w:sz w:val="20"/>
          <w:szCs w:val="20"/>
        </w:rPr>
        <w:t xml:space="preserve">또한 대회 규정의 100~110% 부력 기준을 검토하기 위해 전비 질량 30 kg의 110%에 해당하는 33 kg을 기준으로 추가 계산을 수행하였다. 이때 필요한 배수용적은 약 0.033 m³이며, STL 형상 기준 수면 높이는 약 109.1 mm로 계산되었다. 이는 30 kg 조건의 수면 높이 103.8 mm보다 약 5.3 mm 증가한 값이다. 이 계산 결과를 바탕으로 흘수선 표시 위치를 검토하였으며, 실제 선체 중량 및 추가 하중에 따른 흘수 변화를 확인하여 최종 표시 위치를 결정할 예정이다.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0.030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45 · 중앙 95 · 선수 105 (부상 시험)</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0.0706 / 0.2197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0.2903</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0.150 (가정) → 0.140</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kg 수면 103.8 mm → 33 kg 109.1 mm (STL 계산), 부상 시험 수면 위치 확인</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방형계수 Cb</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0.485</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본 선박은 추진 성능과 조종성을 확보하기 위해 Blue Robotics사의 T200 스러스터 2기를 적용하였다. 추진기는 선체 중심선을 기준으로 선미 좌우에 각각 1기씩 대칭으로 배치하였으며, 추진 시스템의 단순화와 효율적인 추진기 배치를 주요 설계 목표로 설정하였다.</w:t>
      </w:r>
    </w:p>
    <w:p>
      <w:pPr>
        <w:spacing w:after="100" w:line="300"/>
      </w:pPr>
      <w:r>
        <w:rPr>
          <w:rFonts w:ascii="Malgun Gothic" w:cs="Malgun Gothic" w:eastAsia="Malgun Gothic" w:hAnsi="Malgun Gothic"/>
          <w:b/>
          <w:bCs/>
          <w:sz w:val="20"/>
          <w:szCs w:val="20"/>
        </w:rPr>
        <w:t xml:space="preserve">① 추진기 수 선정 및 추진 시스템의 단순화</w:t>
      </w:r>
    </w:p>
    <w:p>
      <w:pPr>
        <w:spacing w:after="100" w:line="300"/>
      </w:pPr>
      <w:r>
        <w:rPr>
          <w:rFonts w:ascii="Malgun Gothic" w:cs="Malgun Gothic" w:eastAsia="Malgun Gothic" w:hAnsi="Malgun Gothic"/>
          <w:sz w:val="20"/>
          <w:szCs w:val="20"/>
        </w:rPr>
        <w:t xml:space="preserve">2025년에는 T200 스러스터 4기를 사용하였으나, 2026년 1번배는 2기 추진 방식으로 변경하였다. 추진기 수를 2기로 줄여 전체 추진 시스템을 단순화하고, 추진기와 부착물에 의해 발생하는 부가저항을 감소시키고자 하였다. 또한 스러스터 수를 줄임으로써 추진 시스템에 필요한 전력 계통과 장착 구조를 간소화하고, 선체 중량을 줄일 수 있는 방향으로 설계하였다.</w:t>
      </w:r>
    </w:p>
    <w:p>
      <w:pPr>
        <w:spacing w:after="100" w:line="300"/>
      </w:pPr>
      <w:r>
        <w:rPr>
          <w:rFonts w:ascii="Malgun Gothic" w:cs="Malgun Gothic" w:eastAsia="Malgun Gothic" w:hAnsi="Malgun Gothic"/>
          <w:b/>
          <w:bCs/>
          <w:sz w:val="20"/>
          <w:szCs w:val="20"/>
        </w:rPr>
        <w:t xml:space="preserve">② 좌우 대칭 배치를 통한 직진 안정성 확보</w:t>
      </w:r>
    </w:p>
    <w:p>
      <w:pPr>
        <w:spacing w:after="100" w:line="300"/>
      </w:pPr>
      <w:r>
        <w:rPr>
          <w:rFonts w:ascii="Malgun Gothic" w:cs="Malgun Gothic" w:eastAsia="Malgun Gothic" w:hAnsi="Malgun Gothic"/>
          <w:sz w:val="20"/>
          <w:szCs w:val="20"/>
        </w:rPr>
        <w:t xml:space="preserve">스러스터는 선체 중심을 기준으로 좌우 각각 120 mm 위치에 배치하였으며, 두 추진기 사이의 간격은 240 mm로 설정하였다. 좌우 대칭 배치를 통해 양측에서 발생하는 추력의 균형을 유지하고자 하였다. 동일한 추력을 발생시키는 경우 선체에 작용하는 회전 모멘트가 상쇄되므로 불필요한 방향 변화를 줄이는 데 유리하다.</w:t>
      </w:r>
    </w:p>
    <w:p>
      <w:pPr>
        <w:spacing w:after="100" w:line="300"/>
      </w:pPr>
      <w:r>
        <w:rPr>
          <w:rFonts w:ascii="Malgun Gothic" w:cs="Malgun Gothic" w:eastAsia="Malgun Gothic" w:hAnsi="Malgun Gothic"/>
          <w:b/>
          <w:bCs/>
          <w:sz w:val="20"/>
          <w:szCs w:val="20"/>
        </w:rPr>
        <w:t xml:space="preserve">③ 차동추력을 이용한 선회 성능 확보</w:t>
      </w:r>
    </w:p>
    <w:p>
      <w:pPr>
        <w:spacing w:after="100" w:line="300"/>
      </w:pPr>
      <w:r>
        <w:rPr>
          <w:rFonts w:ascii="Malgun Gothic" w:cs="Malgun Gothic" w:eastAsia="Malgun Gothic" w:hAnsi="Malgun Gothic"/>
          <w:sz w:val="20"/>
          <w:szCs w:val="20"/>
        </w:rPr>
        <w:t xml:space="preserve">좌현과 우현에 설치된 2개의 스러스터 출력을 각각 제어하여 추진력의 차이로 선회 모멘트를 발생시키는 차동추력(Differential Thrust) 방식을 적용하였다. 선체 폭과 추진기 설치 공간을 고려하여 좌우 이격거리를 120 mm로 설정하였으며, 이를 통해 자율운항에 필요한 방향전환 기능을 확보하고자 하였다.</w:t>
      </w:r>
    </w:p>
    <w:p>
      <w:pPr>
        <w:spacing w:after="100" w:line="300"/>
      </w:pPr>
      <w:r>
        <w:rPr>
          <w:rFonts w:ascii="Malgun Gothic" w:cs="Malgun Gothic" w:eastAsia="Malgun Gothic" w:hAnsi="Malgun Gothic"/>
          <w:b/>
          <w:bCs/>
          <w:sz w:val="20"/>
          <w:szCs w:val="20"/>
        </w:rPr>
        <w:t xml:space="preserve">④ 선미 배치를 통한 추진기 설치 효율성 확보</w:t>
      </w:r>
    </w:p>
    <w:p>
      <w:pPr>
        <w:spacing w:after="100" w:line="300"/>
      </w:pPr>
      <w:r>
        <w:rPr>
          <w:rFonts w:ascii="Malgun Gothic" w:cs="Malgun Gothic" w:eastAsia="Malgun Gothic" w:hAnsi="Malgun Gothic"/>
          <w:sz w:val="20"/>
          <w:szCs w:val="20"/>
        </w:rPr>
        <w:t xml:space="preserve">스러스터 2기는 선체의 선미 부분에 집중 배치하였다. 선미는 선수에 비해 폭이 넓어 추진기의 좌우 간격을 확보하기에 유리하며, 추진기 장착을 위한 공간 확보와 유지보수가 비교적 용이하다. 특히 기존 4기 추진 방식과 달리 스러스터를 선미에만 배치하여 추진기 사이의 직접적인 후류 간섭 가능성을 줄이는 방향으로 설계하였다.</w:t>
      </w:r>
    </w:p>
    <w:p>
      <w:pPr>
        <w:spacing w:after="100" w:line="300"/>
      </w:pPr>
      <w:r>
        <w:rPr>
          <w:rFonts w:ascii="Malgun Gothic" w:cs="Malgun Gothic" w:eastAsia="Malgun Gothic" w:hAnsi="Malgun Gothic"/>
          <w:b/>
          <w:bCs/>
          <w:sz w:val="20"/>
          <w:szCs w:val="20"/>
        </w:rPr>
        <w:t xml:space="preserve">⑤ 추진기 잠김 깊이 및 운항 안정성</w:t>
      </w:r>
    </w:p>
    <w:p>
      <w:pPr>
        <w:spacing w:after="100" w:line="300"/>
      </w:pPr>
      <w:r>
        <w:rPr>
          <w:rFonts w:ascii="Malgun Gothic" w:cs="Malgun Gothic" w:eastAsia="Malgun Gothic" w:hAnsi="Malgun Gothic"/>
          <w:sz w:val="20"/>
          <w:szCs w:val="20"/>
        </w:rPr>
        <w:t xml:space="preserve">추진기 설치 높이는 선체의 예상 흘수와 실해역 운항 환경을 고려하여 선정하였다. 공기가 프로펠러 주변으로 유입되는 환기(Ventilation) 현상은 추진력 감소와 추진 성능의 불안정성을 유발할 수 있으므로, 추진축을 선저 아래로 50 mm 이상 이격하는 것을 설계 목표로 설정하였다. 이를 통해 운항 중 프로펠러의 수중 잠김 상태를 유지하고, 파랑에 의한 추력 변동을 줄이고자 하였다.</w:t>
      </w:r>
    </w:p>
    <w:p>
      <w:pPr>
        <w:spacing w:after="100" w:line="300"/>
      </w:pPr>
      <w:r>
        <w:rPr>
          <w:rFonts w:ascii="Malgun Gothic" w:cs="Malgun Gothic" w:eastAsia="Malgun Gothic" w:hAnsi="Malgun Gothic"/>
          <w:sz w:val="20"/>
          <w:szCs w:val="20"/>
        </w:rPr>
        <w:t xml:space="preserve">최종적으로 본 선박의 2기 추진 방식은 추진 시스템의 단순화, 경량화 가능성, 좌우 추력 균형, 차동추력에 의한 선회 성능 및 추진기 잠김 깊이를 종합적으로 고려하여 선정하였다.</w:t>
      </w:r>
    </w:p>
    <w:p>
      <w:pPr>
        <w:spacing w:after="60" w:before="120"/>
        <w:jc w:val="center"/>
      </w:pPr>
      <w:r>
        <w:drawing>
          <wp:inline distT="0" distB="0" distL="0" distR="0">
            <wp:extent cx="5334000" cy="2162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1621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추진기 배치 — 실제 장착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안에 수납한다. 뚜껑 = 해치, 개스킷·물끊기 적용.</w:t>
      </w:r>
    </w:p>
    <w:p>
      <w:pPr>
        <w:spacing w:after="60" w:line="290"/>
        <w:ind w:left="360" w:hanging="240"/>
      </w:pPr>
      <w:r>
        <w:rPr>
          <w:rFonts w:ascii="Malgun Gothic" w:cs="Malgun Gothic" w:eastAsia="Malgun Gothic" w:hAnsi="Malgun Gothic"/>
          <w:sz w:val="20"/>
          <w:szCs w:val="20"/>
        </w:rPr>
        <w:t xml:space="preserve">•  갑판 관통은 마스트 구멍으로 모아 실란트로 마감한다.</w:t>
      </w:r>
    </w:p>
    <w:p>
      <w:pPr>
        <w:spacing w:after="60" w:line="290"/>
        <w:ind w:left="360" w:hanging="240"/>
      </w:pPr>
      <w:r>
        <w:rPr>
          <w:rFonts w:ascii="Malgun Gothic" w:cs="Malgun Gothic" w:eastAsia="Malgun Gothic" w:hAnsi="Malgun Gothic"/>
          <w:sz w:val="20"/>
          <w:szCs w:val="20"/>
        </w:rPr>
        <w:t xml:space="preserve">•  수밀 시험: 선체 및 스러스터 관통부, 갑판 부착부, 컨트롤박스 관통부에 방수 마감 처리 후 실험 수조에서 수밀을 확인하였다.</w:t>
      </w:r>
    </w:p>
    <w:p>
      <w:pPr>
        <w:pStyle w:val="Heading2"/>
        <w:spacing w:after="120" w:before="240"/>
      </w:pPr>
      <w:r>
        <w:rPr>
          <w:rFonts w:ascii="Malgun Gothic" w:cs="Malgun Gothic" w:eastAsia="Malgun Gothic" w:hAnsi="Malgun Gothic"/>
          <w:b/>
          <w:bCs/>
          <w:sz w:val="26"/>
          <w:szCs w:val="26"/>
        </w:rPr>
        <w:t xml:space="preserve">5) 제작 과정</w:t>
      </w:r>
    </w:p>
    <w:p>
      <w:pPr>
        <w:pStyle w:val="Heading3"/>
        <w:spacing w:after="80" w:before="160"/>
      </w:pPr>
      <w:r>
        <w:rPr>
          <w:rFonts w:ascii="Malgun Gothic" w:cs="Malgun Gothic" w:eastAsia="Malgun Gothic" w:hAnsi="Malgun Gothic"/>
          <w:b/>
          <w:bCs/>
          <w:sz w:val="22"/>
          <w:szCs w:val="22"/>
        </w:rPr>
        <w:t xml:space="preserve">5.1)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만들었다. 수작업 몰드보다 형상 정밀도와 치수 재현성이 높다.</w:t>
      </w:r>
    </w:p>
    <w:p>
      <w:pPr>
        <w:pStyle w:val="Heading3"/>
        <w:spacing w:after="80" w:before="160"/>
      </w:pPr>
      <w:r>
        <w:rPr>
          <w:rFonts w:ascii="Malgun Gothic" w:cs="Malgun Gothic" w:eastAsia="Malgun Gothic" w:hAnsi="Malgun Gothic"/>
          <w:b/>
          <w:bCs/>
          <w:sz w:val="22"/>
          <w:szCs w:val="22"/>
        </w:rPr>
        <w:t xml:space="preserve">5.2) FRP 적층</w:t>
      </w:r>
    </w:p>
    <w:p>
      <w:pPr>
        <w:spacing w:after="100" w:line="300"/>
      </w:pPr>
      <w:r>
        <w:rPr>
          <w:rFonts w:ascii="Malgun Gothic" w:cs="Malgun Gothic" w:eastAsia="Malgun Gothic" w:hAnsi="Malgun Gothic"/>
          <w:sz w:val="20"/>
          <w:szCs w:val="20"/>
        </w:rPr>
        <w:t xml:space="preserve">몰드 제작을 완료한 후, 이를 기반으로 FRP 적층 공정을 수행하였다. 선체는 총 6회에 걸쳐 춉 매트 – 얀 크로스 – 춉 매트 – 얀 크로스 – 춉 매트 – 춉 매트 순서로 적층하였다. 이러한 공정을 통해 충분한 강도와 내구성을 확보하면서 전체 선체 구조를 완성하였다. 이후 포리퍼티로 표면 보강 후 사포 마감을 진행하였다.</w:t>
      </w:r>
    </w:p>
    <w:p>
      <w:pPr>
        <w:pStyle w:val="Heading3"/>
        <w:spacing w:after="80" w:before="160"/>
      </w:pPr>
      <w:r>
        <w:rPr>
          <w:rFonts w:ascii="Malgun Gothic" w:cs="Malgun Gothic" w:eastAsia="Malgun Gothic" w:hAnsi="Malgun Gothic"/>
          <w:b/>
          <w:bCs/>
          <w:sz w:val="22"/>
          <w:szCs w:val="22"/>
        </w:rPr>
        <w:t xml:space="preserve">5.3) 수밀</w:t>
      </w:r>
    </w:p>
    <w:p>
      <w:pPr>
        <w:spacing w:after="100" w:line="300"/>
      </w:pPr>
      <w:r>
        <w:rPr>
          <w:rFonts w:ascii="Malgun Gothic" w:cs="Malgun Gothic" w:eastAsia="Malgun Gothic" w:hAnsi="Malgun Gothic"/>
          <w:sz w:val="20"/>
          <w:szCs w:val="20"/>
        </w:rPr>
        <w:t xml:space="preserve">외벽은 붓을 사용하여 방수제(노루페인트)를 도포하고, 선체 및 스러스터 관통부는 실리콘(TYTAN FIX2)으로 씰링 마감하였다.</w:t>
      </w:r>
    </w:p>
    <w:p>
      <w:pPr>
        <w:pStyle w:val="Heading3"/>
        <w:spacing w:after="80" w:before="160"/>
      </w:pPr>
      <w:r>
        <w:rPr>
          <w:rFonts w:ascii="Malgun Gothic" w:cs="Malgun Gothic" w:eastAsia="Malgun Gothic" w:hAnsi="Malgun Gothic"/>
          <w:b/>
          <w:bCs/>
          <w:sz w:val="22"/>
          <w:szCs w:val="22"/>
        </w:rPr>
        <w:t xml:space="preserve">5.4) 부착물</w:t>
      </w:r>
    </w:p>
    <w:p>
      <w:pPr>
        <w:spacing w:after="100" w:line="300"/>
      </w:pPr>
      <w:r>
        <w:rPr>
          <w:rFonts w:ascii="Malgun Gothic" w:cs="Malgun Gothic" w:eastAsia="Malgun Gothic" w:hAnsi="Malgun Gothic"/>
          <w:sz w:val="20"/>
          <w:szCs w:val="20"/>
        </w:rPr>
        <w:t xml:space="preserve">각 부품에 방수제 도포 후 나사로 고정하고, 틈은 에폭시+실리콘 혼합으로 마감하였다(경화 후 탄성 유지 → 진동·충격 응력 완화). 스러스터 부착물은 프로펠러 축이 선저 아래 50 mm 이상이 되도록 제작하였다(Ⅱ-3.3).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몰드 제작</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FRP 적층</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752600" cy="2190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52600"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수밀</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부착물</w:t>
            </w:r>
          </w:p>
        </w:tc>
      </w:tr>
    </w:tbl>
    <w:p>
      <w:pPr>
        <w:spacing w:after="160"/>
        <w:jc w:val="center"/>
      </w:pPr>
      <w:r>
        <w:rPr>
          <w:rFonts w:ascii="Malgun Gothic" w:cs="Malgun Gothic" w:eastAsia="Malgun Gothic" w:hAnsi="Malgun Gothic"/>
          <w:color w:val="555555"/>
          <w:sz w:val="18"/>
          <w:szCs w:val="18"/>
        </w:rPr>
        <w:t xml:space="preserve">그림 Ⅱ-3 1번배 제작 과정</w:t>
      </w:r>
    </w:p>
    <w:p>
      <w:pPr>
        <w:pStyle w:val="Heading2"/>
        <w:spacing w:after="120" w:before="240"/>
      </w:pPr>
      <w:r>
        <w:rPr>
          <w:rFonts w:ascii="Malgun Gothic" w:cs="Malgun Gothic" w:eastAsia="Malgun Gothic" w:hAnsi="Malgun Gothic"/>
          <w:b/>
          <w:bCs/>
          <w:sz w:val="26"/>
          <w:szCs w:val="26"/>
        </w:rPr>
        <w:t xml:space="preserve">6)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52500" cy="952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525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몰드 제작의 주 재료</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95350" cy="9525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953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00100" cy="952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733425" cy="9525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33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04875" cy="952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048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방수제(노루페인트)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제작 후 마무리로 외벽 방수 처리</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5524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5524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Six10 에폭시 접착제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몰드 접합</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15IAH8 (Ubuntu 22.04, ROS2 Humble). 노트북 1대가 본 선박의 ROS2 스택 전체를 돌리고, DDS 도메인을 따로 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실행 인자: 본 선박은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고르며 본 선박은 zed_f9p_rover.yaml(기본값) 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잘못되면 launch 가 거부되고, 장착값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개체에 따라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1대 탑재.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1번배 기준으로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본 선박 장착값.</w:t>
      </w:r>
      <w:r>
        <w:rPr>
          <w:rFonts w:ascii="Malgun Gothic" w:cs="Malgun Gothic" w:eastAsia="Malgun Gothic" w:hAnsi="Malgun Gothic"/>
          <w:sz w:val="20"/>
          <w:szCs w:val="20"/>
        </w:rPr>
        <w:t xml:space="preserve"> 선박 고유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선박 파일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선박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(선박 고유)</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1번배).</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0.55 m → 0.275,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0.55, L 1.66)로 10° 에서 0.83 m, 15° 에서 0.96 m 라 갭 요구 0.83 m 는 약 10° 이내로 정렬했을 때만 맞는다(실측 폭으로 재계산)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1번배,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ROS2 Humble</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전기 계통은 추진 전력, 비상정지, 제어 신호, 센서·카메라 전원으로 나누었다. 배터리 2개(4S LiPo 14.8 V, 8400 mAh)가 각각 우현과 좌현 추진을 맡으며, 각 배터리의 ⊕선은 2극 전자접촉기를 거쳐 ESC로 공급되고 ⊖선은 ESC에 직결된다. 비상정지는 이 접촉기 한 곳에서 추진 전원을 끊는다.</w:t>
      </w:r>
    </w:p>
    <w:p>
      <w:pPr>
        <w:spacing w:after="100" w:line="300"/>
      </w:pPr>
      <w:r>
        <w:rPr>
          <w:rFonts w:ascii="Malgun Gothic" w:cs="Malgun Gothic" w:eastAsia="Malgun Gothic" w:hAnsi="Malgun Gothic"/>
          <w:sz w:val="20"/>
          <w:szCs w:val="20"/>
        </w:rPr>
        <w:t xml:space="preserve">센서 허브(5 V)와 카메라(PoE 48 V) 전원은 배터리 A의 접촉기 앞단에서 분기하고 각각 3 A, 2 A 퓨즈로 보호하였다. 따라서 비상정지로 추진 전원이 차단되어도 센서와 카메라는 동작을 유지한다. Arduino Mega와 RC 수신기는 노트북 USB 전원으로 동작하며, 대전류 전원선과 분리하고 신호 GND만 한 점에 연결하였다.</w:t>
      </w:r>
    </w:p>
    <w:p>
      <w:pPr>
        <w:spacing w:after="60" w:before="120"/>
        <w:jc w:val="center"/>
      </w:pPr>
      <w:r>
        <w:drawing>
          <wp:inline distT="0" distB="0" distL="0" distR="0">
            <wp:extent cx="5334000" cy="34671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전체 회로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계통</w:t>
            </w:r>
          </w:p>
        </w:tc>
        <w:tc>
          <w:tcPr>
            <w:tcW w:type="dxa" w:w="5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경로</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비상정지 시</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 전력</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A·B ⊕ → 접촉기(2극) → ESC 우·좌 → T200 ×2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차단</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코일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24 V 승압 컨버터 → 접촉기 코일 → 무선 릴레이(NC) → 비상정지 버튼(NC)</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코일 차단 → 접촉기 개방</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제어 신호</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노트북 USB → Arduino Mega → RC 수신기·ESC·상태 표시등</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허브</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3 A 퓨즈 → 5 V 컨버터 → USB 허브 → LiDAR·IMU·GPS·카메라</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 A 퓨즈 → PoE 인젝터(48 V) → OAK-1 PoE</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bl>
    <w:p>
      <w:pPr>
        <w:spacing w:after="160"/>
        <w:jc w:val="center"/>
      </w:pPr>
      <w:r>
        <w:rPr>
          <w:rFonts w:ascii="Malgun Gothic" w:cs="Malgun Gothic" w:eastAsia="Malgun Gothic" w:hAnsi="Malgun Gothic"/>
          <w:color w:val="555555"/>
          <w:sz w:val="18"/>
          <w:szCs w:val="18"/>
        </w:rPr>
        <w:t xml:space="preserve">표 Ⅳ-1 계통별 전원 경로</w:t>
      </w:r>
    </w:p>
    <w:p>
      <w:pPr>
        <w:spacing w:after="100" w:line="300"/>
      </w:pPr>
      <w:r>
        <w:rPr>
          <w:rFonts w:ascii="Malgun Gothic" w:cs="Malgun Gothic" w:eastAsia="Malgun Gothic" w:hAnsi="Malgun Gothic"/>
          <w:sz w:val="20"/>
          <w:szCs w:val="20"/>
        </w:rPr>
        <w:t xml:space="preserve">노트북(Ubuntu 22.04, ROS2 Humble)과 Arduino Mega 2560은 USB 시리얼로 통신한다. Mega는 RC 수신기의 스로틀·조향·모드 3채널을 읽고, 모드에 따라 RC 입력 또는 노트북 명령을 좌·우 ESC PWM 신호(1100~1900 µs, 1500 µs 정지)로 출력한다. 이 밖에 WS2812 상태 표시등 출력과 접촉기 상태 감지 입력을 담당한다.</w:t>
      </w:r>
    </w:p>
    <w:p>
      <w:pPr>
        <w:pStyle w:val="Heading2"/>
        <w:spacing w:after="120" w:before="240"/>
      </w:pPr>
      <w:r>
        <w:rPr>
          <w:rFonts w:ascii="Malgun Gothic" w:cs="Malgun Gothic" w:eastAsia="Malgun Gothic" w:hAnsi="Malgun Gothic"/>
          <w:b/>
          <w:bCs/>
          <w:sz w:val="26"/>
          <w:szCs w:val="26"/>
        </w:rPr>
        <w:t xml:space="preserve">2) 비상 정지 장치 구성</w:t>
      </w:r>
    </w:p>
    <w:p>
      <w:pPr>
        <w:spacing w:after="100" w:line="300"/>
      </w:pPr>
      <w:r>
        <w:rPr>
          <w:rFonts w:ascii="Malgun Gothic" w:cs="Malgun Gothic" w:eastAsia="Malgun Gothic" w:hAnsi="Malgun Gothic"/>
          <w:sz w:val="20"/>
          <w:szCs w:val="20"/>
        </w:rPr>
        <w:t xml:space="preserve">비상 시 추진 전원을 물리적으로 차단하기 위해 DC 전자접촉기(LS Metasol MD-30a, 2극)를 적용하였다. T200 추진기의 순간 전류는 스펙상 1기당 최대 약 21 A로, 일반 신호용 릴레이보다 접점 용량과 DC 아크 차단 측면에서 유리한 전자접촉기가 적합하다고 판단하였다.</w:t>
      </w:r>
    </w:p>
    <w:p>
      <w:pPr>
        <w:spacing w:after="100" w:line="300"/>
      </w:pPr>
      <w:r>
        <w:rPr>
          <w:rFonts w:ascii="Malgun Gothic" w:cs="Malgun Gothic" w:eastAsia="Malgun Gothic" w:hAnsi="Malgun Gothic"/>
          <w:sz w:val="20"/>
          <w:szCs w:val="20"/>
        </w:rPr>
        <w:t xml:space="preserve">접촉기 코일 정격은 DC 24 V로 배터리 전압보다 높아, 승압 컨버터(SZH-BPM001)로 24 V를 만들어 코일에 공급한다. 비상정지 버튼(NC)과 무선 릴레이 접점(NC)은 이 코일 회로에 직렬로 연결되어, 둘 중 하나만 열려도 코일 전원이 끊기고 접촉기의 두 극이 동시에 열린다. 버튼과 무선 릴레이는 대전류 경로가 아닌 코일 회로만 개폐하며, 무선 릴레이는 RC 수신기와 독립된 별도 RF 수신 모듈이다. Arduino는 차단 경로에 포함되지 않아 제어기 상태와 무관하게 비상정지가 동작한다.</w:t>
      </w:r>
    </w:p>
    <w:p>
      <w:pPr>
        <w:spacing w:after="100" w:line="300"/>
      </w:pPr>
      <w:r>
        <w:rPr>
          <w:rFonts w:ascii="Malgun Gothic" w:cs="Malgun Gothic" w:eastAsia="Malgun Gothic" w:hAnsi="Malgun Gothic"/>
          <w:sz w:val="20"/>
          <w:szCs w:val="20"/>
        </w:rPr>
        <w:t xml:space="preserve">접촉기 보조 b접점은 Arduino 입력에 연결하여 차단 여부를 감지하며, 차단 시 상태 표시등을 빨간색으로 바꾸고 노트북에 비상정지 상태를 전달한다. 비상정지 버튼은 머리를 돌려 복귀시켜야 다시 통전된다.</w:t>
      </w:r>
    </w:p>
    <w:p>
      <w:pPr>
        <w:spacing w:after="60" w:before="120"/>
        <w:jc w:val="center"/>
      </w:pPr>
      <w:r>
        <w:drawing>
          <wp:inline distT="0" distB="0" distL="0" distR="0">
            <wp:extent cx="5334000" cy="22860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286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비상정지 장치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항목</w:t>
            </w:r>
          </w:p>
        </w:tc>
        <w:tc>
          <w:tcPr>
            <w:tcW w:type="dxa" w:w="4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확인 내용</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 비상정지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버튼만 눌러 접촉기 개방, 추진 전원 차단</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단독 차단 확인 (08-25)</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비상정지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리모컨만 눌러 위와 동일</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단독 차단 확인 (08-25)</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감지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 Mega 핀 38 → 노트북 상태 전달</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확인 (09-09)</w:t>
            </w:r>
          </w:p>
        </w:tc>
      </w:tr>
    </w:tbl>
    <w:p>
      <w:pPr>
        <w:spacing w:after="160"/>
        <w:jc w:val="center"/>
      </w:pPr>
      <w:r>
        <w:rPr>
          <w:rFonts w:ascii="Malgun Gothic" w:cs="Malgun Gothic" w:eastAsia="Malgun Gothic" w:hAnsi="Malgun Gothic"/>
          <w:color w:val="555555"/>
          <w:sz w:val="18"/>
          <w:szCs w:val="18"/>
        </w:rPr>
        <w:t xml:space="preserve">표 Ⅳ-2 1번배 비상정지 동작 시험</w:t>
      </w:r>
    </w:p>
    <w:p>
      <w:pPr>
        <w:pStyle w:val="Heading2"/>
        <w:spacing w:after="120" w:before="240"/>
      </w:pPr>
      <w:r>
        <w:rPr>
          <w:rFonts w:ascii="Malgun Gothic" w:cs="Malgun Gothic" w:eastAsia="Malgun Gothic" w:hAnsi="Malgun Gothic"/>
          <w:b/>
          <w:bCs/>
          <w:sz w:val="26"/>
          <w:szCs w:val="26"/>
        </w:rPr>
        <w:t xml:space="preserve">3) 원격 조종</w:t>
      </w:r>
    </w:p>
    <w:p>
      <w:pPr>
        <w:spacing w:after="100" w:line="300"/>
      </w:pPr>
      <w:r>
        <w:rPr>
          <w:rFonts w:ascii="Malgun Gothic" w:cs="Malgun Gothic" w:eastAsia="Malgun Gothic" w:hAnsi="Malgun Gothic"/>
          <w:sz w:val="20"/>
          <w:szCs w:val="20"/>
        </w:rPr>
        <w:t xml:space="preserve">수동 조종에는 FlySky FS-i6 조종기와 FS-iA6B 수신기를 사용한다. 오른쪽 스틱 상하(CH2)로 추력을, 왼쪽 스틱 좌우(CH4)로 조향을 제어하며 좌·우 추진기의 출력 차이로 선회한다. 3단 스위치(CH6)로 WAIT·MANUAL·AUTO 모드를 전환하고, AUTO 모드에서만 노트북 명령이 ESC로 전달된다. 노트북 명령이 500 ms 이상 수신되지 않으면 펌웨어가 추진기를 중립으로 둔다. 수신기 페일세이프는 신호 두절 시 스로틀·조향을 중립으로 내보내도록 설정하였다(09-03, 조종기 전원 차단 시 즉시 1500/1500 µs 확인).</w:t>
      </w:r>
    </w:p>
    <w:p>
      <w:pPr>
        <w:pStyle w:val="Heading2"/>
        <w:spacing w:after="120" w:before="240"/>
      </w:pPr>
      <w:r>
        <w:rPr>
          <w:rFonts w:ascii="Malgun Gothic" w:cs="Malgun Gothic" w:eastAsia="Malgun Gothic" w:hAnsi="Malgun Gothic"/>
          <w:b/>
          <w:bCs/>
          <w:sz w:val="26"/>
          <w:szCs w:val="26"/>
        </w:rPr>
        <w:t xml:space="preserve">4) 탑재 장비 배치도</w:t>
      </w:r>
    </w:p>
    <w:p>
      <w:pPr>
        <w:spacing w:after="100" w:line="300"/>
      </w:pPr>
      <w:r>
        <w:rPr>
          <w:rFonts w:ascii="Malgun Gothic" w:cs="Malgun Gothic" w:eastAsia="Malgun Gothic" w:hAnsi="Malgun Gothic"/>
          <w:sz w:val="20"/>
          <w:szCs w:val="20"/>
        </w:rPr>
        <w:t xml:space="preserve">방수박스는 갑판 아래에 두고 노트북·배터리 2개·허브·IMU·Arduino·컨버터·퓨즈를 수납한다. 마스트는 선체 중심선에 세워 카메라를 장착하고, LiDAR는 선수 갑판, RC 수신기는 한쪽 현에 배치한다.</w:t>
      </w:r>
    </w:p>
    <w:p>
      <w:pPr>
        <w:spacing w:after="60" w:before="120"/>
        <w:jc w:val="center"/>
      </w:pPr>
      <w:r>
        <w:drawing>
          <wp:inline distT="0" distB="0" distL="0" distR="0">
            <wp:extent cx="5334000" cy="18478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Ⅳ-3 1번배 갑판 배치 개념</w:t>
      </w:r>
    </w:p>
    <w:p>
      <w:pPr>
        <w:pStyle w:val="Heading2"/>
        <w:spacing w:after="120" w:before="240"/>
      </w:pPr>
      <w:r>
        <w:rPr>
          <w:rFonts w:ascii="Malgun Gothic" w:cs="Malgun Gothic" w:eastAsia="Malgun Gothic" w:hAnsi="Malgun Gothic"/>
          <w:b/>
          <w:bCs/>
          <w:sz w:val="26"/>
          <w:szCs w:val="26"/>
        </w:rPr>
        <w:t xml:space="preserve">5) 친환경 시스템 및 에너지 효율</w:t>
      </w:r>
    </w:p>
    <w:p>
      <w:pPr>
        <w:spacing w:after="100" w:line="300"/>
      </w:pPr>
      <w:r>
        <w:rPr>
          <w:rFonts w:ascii="Malgun Gothic" w:cs="Malgun Gothic" w:eastAsia="Malgun Gothic" w:hAnsi="Malgun Gothic"/>
          <w:sz w:val="20"/>
          <w:szCs w:val="20"/>
        </w:rPr>
        <w:t xml:space="preserve">추진은 전기 추진기(T200, BLDC)만 사용하여 연료·윤활유 배출이 없다. 배터리는 4S LiPo 8400 mAh 2개(약 248 Wh)이다. 장애물에 가까워지면 추력을 줄이는 감속 제어와 대기 상태의 중립 유지로 불필요한 소비를 줄인다.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3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전류 (스펙)</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1기당 최대 약 21 A</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4~7.5 W</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 센서 4종</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w:t>
            </w:r>
          </w:p>
        </w:tc>
      </w:tr>
    </w:tbl>
    <w:p>
      <w:pPr>
        <w:spacing w:after="160"/>
        <w:jc w:val="center"/>
      </w:pPr>
      <w:r>
        <w:rPr>
          <w:rFonts w:ascii="Malgun Gothic" w:cs="Malgun Gothic" w:eastAsia="Malgun Gothic" w:hAnsi="Malgun Gothic"/>
          <w:color w:val="555555"/>
          <w:sz w:val="18"/>
          <w:szCs w:val="18"/>
        </w:rPr>
        <w:t xml:space="preserve">표 Ⅳ-3 부하별 전력</w:t>
      </w:r>
    </w:p>
    <w:p>
      <w:pPr>
        <w:pStyle w:val="Heading2"/>
        <w:spacing w:after="120" w:before="240"/>
      </w:pPr>
      <w:r>
        <w:rPr>
          <w:rFonts w:ascii="Malgun Gothic" w:cs="Malgun Gothic" w:eastAsia="Malgun Gothic" w:hAnsi="Malgun Gothic"/>
          <w:b/>
          <w:bCs/>
          <w:sz w:val="26"/>
          <w:szCs w:val="26"/>
        </w:rPr>
        <w:t xml:space="preserve">6)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T200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95325" cy="9525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953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23950" cy="952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추진·보조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85800" cy="952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Metasol MD-30a (DC 24 V, 2극)</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953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8953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컨버터 (→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81075" cy="95250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810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릴레이 SRD-12VDC-SL-C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(DC 12~48 V → 48 V 802.3af)</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19175" cy="952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0191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429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43000" cy="942975"/>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+ 2 A / 3 A 퓨즈</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보조 전원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19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43000" cy="8191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상태 표시등</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14425" cy="9525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14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bl>
    <w:p>
      <w:pPr>
        <w:spacing w:after="160"/>
        <w:jc w:val="center"/>
      </w:pPr>
      <w:r>
        <w:rPr>
          <w:rFonts w:ascii="Malgun Gothic" w:cs="Malgun Gothic" w:eastAsia="Malgun Gothic" w:hAnsi="Malgun Gothic"/>
          <w:color w:val="555555"/>
          <w:sz w:val="18"/>
          <w:szCs w:val="18"/>
        </w:rPr>
        <w:t xml:space="preserve">표 Ⅳ-4 회로 장비</w:t>
      </w:r>
    </w:p>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ce50b494874a88d3245544d8a38c7ce0f102c93.png"/><Relationship Id="rId8" Type="http://schemas.openxmlformats.org/officeDocument/2006/relationships/image" Target="media/8ba01afdc007f8c47d479405e6430eddae5298da.png"/><Relationship Id="rId9" Type="http://schemas.openxmlformats.org/officeDocument/2006/relationships/image" Target="media/730765ad5b4d4a71321e38409eaadaa391c83aa2.png"/><Relationship Id="rId10" Type="http://schemas.openxmlformats.org/officeDocument/2006/relationships/image" Target="media/fdf1ddd82f66227c3b83798ea06233563f3b6364.png"/><Relationship Id="rId11" Type="http://schemas.openxmlformats.org/officeDocument/2006/relationships/image" Target="media/18aeff13e6ea3e56bda5fa64e4fcb3e4a42d57b0.png"/><Relationship Id="rId12" Type="http://schemas.openxmlformats.org/officeDocument/2006/relationships/image" Target="media/2c097bbbeb0f54e63c9995a8f3e0f6ca59347862.jpg"/><Relationship Id="rId13" Type="http://schemas.openxmlformats.org/officeDocument/2006/relationships/image" Target="media/578169535d1c75f1c52329903eec91b6fec223af.jpg"/><Relationship Id="rId14" Type="http://schemas.openxmlformats.org/officeDocument/2006/relationships/image" Target="media/675f00290a4efc2cf1b8ab1c0126a8e8eaa79e34.jpg"/><Relationship Id="rId15" Type="http://schemas.openxmlformats.org/officeDocument/2006/relationships/image" Target="media/174945f7b2450be91d84d451f261d548a9d3d7cd.jpg"/><Relationship Id="rId16" Type="http://schemas.openxmlformats.org/officeDocument/2006/relationships/image" Target="media/c269ab02c6168f213fce7992d9d4c40bfe8369ee.png"/><Relationship Id="rId17" Type="http://schemas.openxmlformats.org/officeDocument/2006/relationships/image" Target="media/39d679986baea7b40de8e753142b034c49b51222.png"/><Relationship Id="rId18" Type="http://schemas.openxmlformats.org/officeDocument/2006/relationships/image" Target="media/a1e139f2082e2047856d0db2b4bd55539eb946c3.png"/><Relationship Id="rId19" Type="http://schemas.openxmlformats.org/officeDocument/2006/relationships/image" Target="media/70afeed462acb8f1600ebda7469097087796c4a1.png"/><Relationship Id="rId20" Type="http://schemas.openxmlformats.org/officeDocument/2006/relationships/image" Target="media/822c48b30e8425ed5839e7e133165b9bd20cf38e.png"/><Relationship Id="rId21" Type="http://schemas.openxmlformats.org/officeDocument/2006/relationships/image" Target="media/dba50a3407d7017294e902bba2d68c9855100abe.png"/><Relationship Id="rId22" Type="http://schemas.openxmlformats.org/officeDocument/2006/relationships/image" Target="media/bfd9c2854280900e6da72bdca7dcc7b2906de14f.png"/><Relationship Id="rId23" Type="http://schemas.openxmlformats.org/officeDocument/2006/relationships/image" Target="media/fee8ae0a28e41041d1397e4bf405f129aff8845f.png"/><Relationship Id="rId24" Type="http://schemas.openxmlformats.org/officeDocument/2006/relationships/image" Target="media/48d66572ac469d96b461b8e56d04f6f4476d57dd.png"/><Relationship Id="rId25" Type="http://schemas.openxmlformats.org/officeDocument/2006/relationships/image" Target="media/166cc4c845caa80b4de46311b2e5fcea7df701a5.png"/><Relationship Id="rId26" Type="http://schemas.openxmlformats.org/officeDocument/2006/relationships/image" Target="media/fdba8eef39aa7ac7db9d7e7bdbbf4465372db8fd.png"/><Relationship Id="rId27" Type="http://schemas.openxmlformats.org/officeDocument/2006/relationships/image" Target="media/da8f7a5d8c02a14429110ff8ddddcd22e341442e.png"/><Relationship Id="rId28" Type="http://schemas.openxmlformats.org/officeDocument/2006/relationships/image" Target="media/38a170ca34473113a5c846b0994555f68a21f057.png"/><Relationship Id="rId29" Type="http://schemas.openxmlformats.org/officeDocument/2006/relationships/image" Target="media/11301a5163b110f662ac732cd47a219705858a34.png"/><Relationship Id="rId30" Type="http://schemas.openxmlformats.org/officeDocument/2006/relationships/image" Target="media/2b80de715a5345aa44b029eeba115eb0e4aaf186.png"/><Relationship Id="rId31" Type="http://schemas.openxmlformats.org/officeDocument/2006/relationships/image" Target="media/e3dacbb031b52d9dbb7a5211d5580e38cbe52fc1.png"/><Relationship Id="rId32" Type="http://schemas.openxmlformats.org/officeDocument/2006/relationships/image" Target="media/d29f8ecbd490355f680dec8df4ccad9c08a7e9b1.png"/><Relationship Id="rId33" Type="http://schemas.openxmlformats.org/officeDocument/2006/relationships/image" Target="media/1b957b3f76229467f2610f502c382c032c40422d.png"/><Relationship Id="rId34" Type="http://schemas.openxmlformats.org/officeDocument/2006/relationships/image" Target="media/13be3cbcaa39f70788e18a5df301f04a73b3587f.png"/><Relationship Id="rId35" Type="http://schemas.openxmlformats.org/officeDocument/2006/relationships/image" Target="media/3e66353210bbb8a1d75a7623e10b2c225632dfd8.png"/><Relationship Id="rId36" Type="http://schemas.openxmlformats.org/officeDocument/2006/relationships/image" Target="media/e3791cfd00862a1a5605bd5c43675d5cfcf29338.png"/><Relationship Id="rId37" Type="http://schemas.openxmlformats.org/officeDocument/2006/relationships/image" Target="media/776ad2aab6a1370c6beec45190bab83fd2b8cc9f.png"/><Relationship Id="rId38" Type="http://schemas.openxmlformats.org/officeDocument/2006/relationships/image" Target="media/2402d03ca8880a8005235c084effa34ee23e7c10.png"/><Relationship Id="rId39" Type="http://schemas.openxmlformats.org/officeDocument/2006/relationships/image" Target="media/cd69e27e2d820174c606572a2de53fa75266a61c.png"/><Relationship Id="rId40" Type="http://schemas.openxmlformats.org/officeDocument/2006/relationships/image" Target="media/387e9850e1d04c7926707e292ef62e065c7b05b1.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2026-10-31T10:08:36.917Z</dcterms:created>
  <dcterms:modified xsi:type="dcterms:W3CDTF">2026-10-31T10:08:36.920Z</dcterms:modified>
</cp:coreProperties>
</file>

<file path=docProps/custom.xml><?xml version="1.0" encoding="utf-8"?>
<Properties xmlns="http://schemas.openxmlformats.org/officeDocument/2006/custom-properties" xmlns:vt="http://schemas.openxmlformats.org/officeDocument/2006/docPropsVTypes"/>
</file>