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销售月度报告</w:t>
      </w:r>
    </w:p>
    <w:p>
      <w:r>
        <w:t>报告日期: 2025-12-31</w:t>
      </w:r>
    </w:p>
    <w:p>
      <w:r>
        <w:t>本月销售情况总结如下：</w:t>
      </w:r>
    </w:p>
    <w:p>
      <w:pPr>
        <w:pStyle w:val="Heading2"/>
      </w:pPr>
      <w:r>
        <w:t>销售数据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销量</w:t>
            </w:r>
          </w:p>
        </w:tc>
        <w:tc>
          <w:tcPr>
            <w:tcW w:type="dxa" w:w="2880"/>
          </w:tcPr>
          <w:p>
            <w:r>
              <w:t>销售额</w:t>
            </w:r>
          </w:p>
        </w:tc>
      </w:tr>
      <w:tr>
        <w:tc>
          <w:tcPr>
            <w:tcW w:type="dxa" w:w="2880"/>
          </w:tcPr>
          <w:p>
            <w:r>
              <w:t>产品A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¥60,000</w:t>
            </w:r>
          </w:p>
        </w:tc>
      </w:tr>
      <w:tr>
        <w:tc>
          <w:tcPr>
            <w:tcW w:type="dxa" w:w="2880"/>
          </w:tcPr>
          <w:p>
            <w:r>
              <w:t>产品B</w:t>
            </w:r>
          </w:p>
        </w:tc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¥42,500</w:t>
            </w:r>
          </w:p>
        </w:tc>
      </w:tr>
      <w:tr>
        <w:tc>
          <w:tcPr>
            <w:tcW w:type="dxa" w:w="2880"/>
          </w:tcPr>
          <w:p>
            <w:r>
              <w:t>产品C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¥80,000</w:t>
            </w:r>
          </w:p>
        </w:tc>
      </w:tr>
    </w:tbl>
    <w:p/>
    <w:p>
      <w:r>
        <w:t>本月总销售额达到 ¥182,500，完成目标的 91.2%。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