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F3864"/>
          <w:sz w:val="52"/>
          <w:szCs w:val="52"/>
        </w:rPr>
        <w:t xml:space="preserve">Bayesian Expert Aggregation Model</w:t>
      </w:r>
    </w:p>
    <w:p>
      <w:pPr>
        <w:spacing w:after="200"/>
        <w:jc w:val="center"/>
      </w:pPr>
      <w:r>
        <w:rPr>
          <w:rFonts w:ascii="Arial" w:cs="Arial" w:eastAsia="Arial" w:hAnsi="Arial"/>
          <w:color w:val="2E75B6"/>
          <w:sz w:val="32"/>
          <w:szCs w:val="32"/>
        </w:rPr>
        <w:t xml:space="preserve">Probabilistic Scenario Forecasting for the</w:t>
      </w:r>
    </w:p>
    <w:p>
      <w:pPr>
        <w:spacing w:after="400"/>
        <w:jc w:val="center"/>
      </w:pPr>
      <w:r>
        <w:rPr>
          <w:rFonts w:ascii="Arial" w:cs="Arial" w:eastAsia="Arial" w:hAnsi="Arial"/>
          <w:b/>
          <w:bCs/>
          <w:color w:val="2E75B6"/>
          <w:sz w:val="36"/>
          <w:szCs w:val="36"/>
        </w:rPr>
        <w:t xml:space="preserve">US-Israel vs Iran Conflict</w:t>
      </w:r>
    </w:p>
    <w:p>
      <w:pPr>
        <w:pBdr>
          <w:top w:val="single" w:color="2E75B6" w:sz="6" w:space="8"/>
          <w:bottom w:val="single" w:color="2E75B6" w:sz="6" w:space="8"/>
        </w:pBdr>
        <w:spacing w:after="200" w:before="200"/>
        <w:jc w:val="center"/>
      </w:pPr>
      <w:r>
        <w:rPr>
          <w:rFonts w:ascii="Arial" w:cs="Arial" w:eastAsia="Arial" w:hAnsi="Arial"/>
          <w:color w:val="404040"/>
          <w:sz w:val="22"/>
          <w:szCs w:val="22"/>
        </w:rPr>
        <w:t xml:space="preserve">10-Expert Panel  |  100,000 Monte Carlo Simulations  |  Correlation-Adjusted</w:t>
      </w:r>
    </w:p>
    <w:p>
      <w:pPr>
        <w:spacing w:before="600"/>
        <w:jc w:val="center"/>
      </w:pPr>
      <w:r>
        <w:rPr>
          <w:rFonts w:ascii="Arial" w:cs="Arial" w:eastAsia="Arial" w:hAnsi="Arial"/>
          <w:color w:val="666666"/>
          <w:sz w:val="24"/>
          <w:szCs w:val="24"/>
        </w:rPr>
        <w:t xml:space="preserve">Analysis Date: March 1, 2026</w:t>
      </w:r>
    </w:p>
    <w:p>
      <w:pPr>
        <w:spacing w:after="200"/>
        <w:jc w:val="center"/>
      </w:pPr>
      <w:r>
        <w:rPr>
          <w:rFonts w:ascii="Arial" w:cs="Arial" w:eastAsia="Arial" w:hAnsi="Arial"/>
          <w:color w:val="666666"/>
          <w:sz w:val="22"/>
          <w:szCs w:val="22"/>
        </w:rPr>
        <w:t xml:space="preserve">Conflict onset: ~February 28, 2026 (Day 1–3)</w:t>
      </w:r>
    </w:p>
    <w:p>
      <w:r>
        <w:br w:type="page"/>
      </w:r>
    </w:p>
    <w:p>
      <w:pPr>
        <w:pStyle w:val="Heading1"/>
        <w:spacing w:after="180" w:before="360"/>
      </w:pPr>
      <w:r>
        <w:t xml:space="preserve">Executive Summary</w:t>
      </w:r>
    </w:p>
    <w:p>
      <w:pPr>
        <w:spacing w:after="140"/>
      </w:pPr>
      <w:r>
        <w:t xml:space="preserve">This report presents a fully transparent, computationally rigorous Bayesian expert aggregation model forecasting the likely course of the US-Israel military operation against Iran, initiated on approximately February 28, 2026. The model draws on the assessed track records of </w:t>
      </w:r>
      <w:r>
        <w:rPr>
          <w:b/>
          <w:bCs/>
        </w:rPr>
        <w:t xml:space="preserve">nine geopolitical and regional experts</w:t>
      </w:r>
      <w:r>
        <w:t xml:space="preserve">, weighted by empirical prediction accuracy, and produces scenario probabilities with proper uncertainty quantification via 100,000 Monte Carlo simulations.</w:t>
      </w:r>
    </w:p>
    <w:p>
      <w:pPr>
        <w:spacing w:after="140"/>
      </w:pPr>
      <w:r>
        <w:rPr>
          <w:b/>
          <w:bCs/>
        </w:rPr>
        <w:t xml:space="preserve">Key finding: </w:t>
      </w:r>
      <w:r>
        <w:t xml:space="preserve">The probability-weighted consensus strongly favors a prolonged attrition/quagmire outcome (~57%), with catastrophic regional spread (~19%) and limited stalemate (~19%) as secondary possibilities. A quick, decisive regime change is assessed at only ~5%, heavily downweighted because the sole expert advocating for it (Molyneux) has a near-zero empirical accuracy rate, while the eight remaining experts—including the highest-calibration Iran specialists—uniformly reject that scenario.</w:t>
      </w:r>
    </w:p>
    <w:p>
      <w:r>
        <w:br w:type="page"/>
      </w:r>
    </w:p>
    <w:p>
      <w:pPr>
        <w:pStyle w:val="Heading1"/>
        <w:spacing w:after="180" w:before="360"/>
      </w:pPr>
      <w:r>
        <w:t xml:space="preserve">Part 1: Methodology</w:t>
      </w:r>
    </w:p>
    <w:p>
      <w:pPr>
        <w:pStyle w:val="Heading2"/>
        <w:spacing w:after="180" w:before="240"/>
      </w:pPr>
      <w:r>
        <w:t xml:space="preserve">1.1 Overview of the Framework</w:t>
      </w:r>
    </w:p>
    <w:p>
      <w:pPr>
        <w:spacing w:after="140"/>
      </w:pPr>
      <w:r>
        <w:t xml:space="preserve">The model uses a Bayesian-inspired expert aggregation approach with six key components: (1) empirical scoring of each expert's past prediction track record; (2) modeling expert reliability as Beta probability distributions rather than point estimates; (3) modeling each expert's scenario predictions as Dirichlet distributions to capture prediction uncertainty; (4) running full Monte Carlo simulation to propagate all uncertainties jointly; (5) adjusting for correlation between experts who share analytical frameworks; and (6) applying an extremizing transformation to correct for information overlap.</w:t>
      </w:r>
    </w:p>
    <w:p>
      <w:pPr>
        <w:pStyle w:val="Heading2"/>
        <w:spacing w:after="180" w:before="240"/>
      </w:pPr>
      <w:r>
        <w:t xml:space="preserve">1.2 Expert Reliability Estimation</w:t>
      </w:r>
    </w:p>
    <w:p>
      <w:pPr>
        <w:spacing w:after="140"/>
      </w:pPr>
      <w:r>
        <w:t xml:space="preserve">Each expert's historical predictions on high-stakes geopolitical events are scored on a 0–1 scale: TRUE = 1.0, MOSTLY TRUE = 0.75, PARTIAL/MIXED = 0.5, MOSTLY FALSE = 0.25, FALSE = 0.0. Predictions are selected for comparability: major geopolitical, military, economic, nuclear, or regime-change calls where outcomes are verifiable. Scoring criteria prioritize the directional accuracy of the core claim, with partial credit for predictions that were substantially correct on the main thrust but wrong on specifics or timing.</w:t>
      </w:r>
    </w:p>
    <w:p>
      <w:pPr>
        <w:spacing w:after="140"/>
      </w:pPr>
      <w:r>
        <w:t xml:space="preserve">From these scores, each expert's reliability </w:t>
      </w:r>
      <w:r>
        <w:rPr>
          <w:i/>
          <w:iCs/>
        </w:rPr>
        <w:t xml:space="preserve">p</w:t>
      </w:r>
      <w:r>
        <w:t xml:space="preserve"> is modeled as a Beta distribution. The Beta parameters are derived as: α = (sum of scores) + 0.5; β = (n − sum of scores) + 0.5, where the 0.5 additions constitute a Jeffreys prior (minimally informative). This produces a full posterior distribution over each expert's true reliability, with the mean E[p] = α/(α+β) and naturally wider uncertainty for experts with fewer scored predictions.</w:t>
      </w:r>
    </w:p>
    <w:p>
      <w:pPr>
        <w:pStyle w:val="Heading2"/>
        <w:spacing w:after="180" w:before="240"/>
      </w:pPr>
      <w:r>
        <w:t xml:space="preserve">1.3 Scenario Prediction Modeling</w:t>
      </w:r>
    </w:p>
    <w:p>
      <w:pPr>
        <w:spacing w:after="140"/>
      </w:pPr>
      <w:r>
        <w:t xml:space="preserve">Four mutually exclusive, collectively exhaustive scenarios are defined: (1) Quick/Decisive Regime Change; (2) Prolonged Attrition/Quagmire; (3) Limited Stalemate + De-escalation; (4) Catastrophic Spread. Each expert's central probability estimate for these four scenarios is assigned based on their stated positions (where available post-onset) or inferred from their analytical framework and past reasoning on analogous conflicts.</w:t>
      </w:r>
    </w:p>
    <w:p>
      <w:pPr>
        <w:spacing w:after="140"/>
      </w:pPr>
      <w:r>
        <w:t xml:space="preserve">These central estimates are treated as the mode of a Dirichlet distribution with concentration parameter κ. Higher κ (e.g., 16 for Mearsheimer, Vaez) reflects experts who have made specific, well-argued structural claims; lower κ (e.g., 6 for Molyneux) reflects experts whose statements are vague or poorly calibrated. The Dirichlet parameter vector is α = κ × p, where p is the expert's stated scenario probability vector.</w:t>
      </w:r>
    </w:p>
    <w:p>
      <w:pPr>
        <w:pStyle w:val="Heading2"/>
        <w:spacing w:after="180" w:before="240"/>
      </w:pPr>
      <w:r>
        <w:t xml:space="preserve">1.4 Monte Carlo Aggregation</w:t>
      </w:r>
    </w:p>
    <w:p>
      <w:pPr>
        <w:spacing w:after="140"/>
      </w:pPr>
      <w:r>
        <w:t xml:space="preserve">For each of N = 100,000 simulation draws: (a) each expert's reliability is sampled from their Beta posterior; (b) each expert's scenario probability vector is sampled from their Dirichlet; (c) three aggregation methods are computed:</w:t>
      </w:r>
    </w:p>
    <w:p>
      <w:pPr>
        <w:pStyle w:val="ListParagraph"/>
        <w:numPr>
          <w:ilvl w:val="0"/>
          <w:numId w:val="2"/>
        </w:numPr>
      </w:pPr>
      <w:r>
        <w:rPr>
          <w:b/>
          <w:bCs/>
        </w:rPr>
        <w:t xml:space="preserve">Linear Pool: </w:t>
      </w:r>
      <w:r>
        <w:t xml:space="preserve">Weighted average of expert predictions, with weights proportional to sampled reliability. P(S) = Σ w_i × p_i(S), where w_i = reliability_i / Σ reliability.</w:t>
      </w:r>
    </w:p>
    <w:p>
      <w:pPr>
        <w:pStyle w:val="ListParagraph"/>
        <w:numPr>
          <w:ilvl w:val="0"/>
          <w:numId w:val="2"/>
        </w:numPr>
      </w:pPr>
      <w:r>
        <w:rPr>
          <w:b/>
          <w:bCs/>
        </w:rPr>
        <w:t xml:space="preserve">Logarithmic Pool: </w:t>
      </w:r>
      <w:r>
        <w:t xml:space="preserve">Geometric weighted average (via softmax of weighted log-probabilities), which gives more influence to confident experts and penalizes disagreement more sharply.</w:t>
      </w:r>
    </w:p>
    <w:p>
      <w:pPr>
        <w:pStyle w:val="ListParagraph"/>
        <w:numPr>
          <w:ilvl w:val="0"/>
          <w:numId w:val="2"/>
        </w:numPr>
        <w:spacing w:after="140"/>
      </w:pPr>
      <w:r>
        <w:rPr>
          <w:b/>
          <w:bCs/>
        </w:rPr>
        <w:t xml:space="preserve">Extremized (Correlation-Adjusted): </w:t>
      </w:r>
      <w:r>
        <w:t xml:space="preserve">The linear pool result raised to the power 1/d, where d = N_eff / N_experts is the ratio of effective independent experts to total experts, derived from eigenvalue analysis of the inter-expert correlation matrix. This pushes the consensus away from the uniform prior (25% each) in directions where experts agree, correcting for shared information.</w:t>
      </w:r>
    </w:p>
    <w:p>
      <w:pPr>
        <w:pStyle w:val="Heading2"/>
        <w:spacing w:after="180" w:before="240"/>
      </w:pPr>
      <w:r>
        <w:t xml:space="preserve">1.5 Correlation Adjustment</w:t>
      </w:r>
    </w:p>
    <w:p>
      <w:pPr>
        <w:spacing w:after="140"/>
      </w:pPr>
      <w:r>
        <w:t xml:space="preserve">Experts who share analytical frameworks, institutional affiliations, or information sources provide partially redundant signals. A 9×9 correlation matrix encodes these overlaps (e.g., Mearsheimer–Sachs realist overlap at ρ = 0.50; Bajoghli–Vaez institutional overlap at ρ = 0.55; Ritter–Crooke anti-establishment media overlap at ρ = 0.45). The effective number of independent experts N_eff is computed from the eigenvalues of this matrix: N_eff = (Σλ_i)² / Σ(λ_i²) = 6.33 out of 9 actual experts. The extremizing factor d = 6.33/9 = 0.703.</w:t>
      </w:r>
    </w:p>
    <w:p>
      <w:pPr>
        <w:pStyle w:val="Heading2"/>
        <w:spacing w:after="180" w:before="240"/>
      </w:pPr>
      <w:r>
        <w:t xml:space="preserve">1.6 Uncertainty Quantification</w:t>
      </w:r>
    </w:p>
    <w:p>
      <w:pPr>
        <w:spacing w:after="140"/>
      </w:pPr>
      <w:r>
        <w:t xml:space="preserve">Highest Density Intervals (HDIs) are computed directly from the 100,000 Monte Carlo draws for each scenario. The 80% HDI is the narrowest interval containing 80% of the posterior mass; the 95% HDI is defined analogously. These are proper Bayesian credible intervals, not approximate normal confidence intervals. The standard deviation of the posterior is also reported.</w:t>
      </w:r>
    </w:p>
    <w:p>
      <w:r>
        <w:br w:type="page"/>
      </w:r>
    </w:p>
    <w:p>
      <w:pPr>
        <w:pStyle w:val="Heading1"/>
        <w:spacing w:after="180" w:before="360"/>
      </w:pPr>
      <w:r>
        <w:t xml:space="preserve">Part 2: Expert Prediction Track Records</w:t>
      </w:r>
    </w:p>
    <w:p>
      <w:pPr>
        <w:pStyle w:val="Heading2"/>
        <w:spacing w:after="180" w:before="240"/>
      </w:pPr>
      <w:r>
        <w:t xml:space="preserve">2.1 Expert Reliability Summary</w:t>
      </w:r>
    </w:p>
    <w:p>
      <w:pPr>
        <w:spacing w:after="200"/>
      </w:pPr>
      <w:r>
        <w:t xml:space="preserve">The table below ranks all nine experts by mean prediction accuracy, computed from their scored historical predictions. The Beta distribution parameters and 95% credible intervals for reliability are also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600"/>
        <w:gridCol w:w="700"/>
        <w:gridCol w:w="2000"/>
        <w:gridCol w:w="1600"/>
      </w:tblGrid>
      <w:tr>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Expert</w:t>
            </w:r>
          </w:p>
        </w:tc>
        <w:tc>
          <w:tcPr>
            <w:tcW w:type="dxa" w:w="2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Description</w:t>
            </w:r>
          </w:p>
        </w:tc>
        <w:tc>
          <w:tcPr>
            <w:tcW w:type="dxa" w:w="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n</w:t>
            </w:r>
          </w:p>
        </w:tc>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Mean</w:t>
            </w:r>
          </w:p>
        </w:tc>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Beta Posterior</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95% CI</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8"/>
                <w:szCs w:val="18"/>
              </w:rPr>
              <w:t xml:space="preserve">Mearsheimer</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sz w:val="18"/>
                <w:szCs w:val="18"/>
              </w:rPr>
              <w:t xml:space="preserve">Structural realist, UChicago</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8</w:t>
            </w:r>
          </w:p>
        </w:tc>
        <w:tc>
          <w:tcPr>
            <w:tcW w:type="dxa" w:w="700"/>
            <w:tcBorders>
              <w:top w:val="single" w:color="BBBBBB" w:sz="1"/>
              <w:left w:val="single" w:color="BBBBBB" w:sz="1"/>
              <w:bottom w:val="single" w:color="BBBBBB" w:sz="1"/>
              <w:right w:val="single" w:color="BBBBBB" w:sz="1"/>
            </w:tcBorders>
            <w:shd w:fill="C6EFCE" w:val="clear"/>
            <w:tcMar>
              <w:top w:type="dxa" w:w="60"/>
              <w:left w:type="dxa" w:w="100"/>
              <w:bottom w:type="dxa" w:w="60"/>
              <w:right w:type="dxa" w:w="100"/>
            </w:tcMar>
          </w:tcPr>
          <w:p>
            <w:pPr>
              <w:spacing w:after="0"/>
              <w:jc w:val="center"/>
            </w:pPr>
            <w:r>
              <w:rPr>
                <w:rFonts w:ascii="Arial" w:cs="Arial" w:eastAsia="Arial" w:hAnsi="Arial"/>
                <w:sz w:val="18"/>
                <w:szCs w:val="18"/>
              </w:rPr>
              <w:t xml:space="preserve">0.91</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Beta(7.75, 1.25)</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[0.59, 0.99]</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8"/>
                <w:szCs w:val="18"/>
              </w:rPr>
              <w:t xml:space="preserve">Vaez</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sz w:val="18"/>
                <w:szCs w:val="18"/>
              </w:rPr>
              <w:t xml:space="preserve">ICG Iran Director, Georgetown</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6</w:t>
            </w:r>
          </w:p>
        </w:tc>
        <w:tc>
          <w:tcPr>
            <w:tcW w:type="dxa" w:w="700"/>
            <w:tcBorders>
              <w:top w:val="single" w:color="BBBBBB" w:sz="1"/>
              <w:left w:val="single" w:color="BBBBBB" w:sz="1"/>
              <w:bottom w:val="single" w:color="BBBBBB" w:sz="1"/>
              <w:right w:val="single" w:color="BBBBBB" w:sz="1"/>
            </w:tcBorders>
            <w:shd w:fill="C6EFCE" w:val="clear"/>
            <w:tcMar>
              <w:top w:type="dxa" w:w="60"/>
              <w:left w:type="dxa" w:w="100"/>
              <w:bottom w:type="dxa" w:w="60"/>
              <w:right w:type="dxa" w:w="100"/>
            </w:tcMar>
          </w:tcPr>
          <w:p>
            <w:pPr>
              <w:spacing w:after="0"/>
              <w:jc w:val="center"/>
            </w:pPr>
            <w:r>
              <w:rPr>
                <w:rFonts w:ascii="Arial" w:cs="Arial" w:eastAsia="Arial" w:hAnsi="Arial"/>
                <w:sz w:val="18"/>
                <w:szCs w:val="18"/>
              </w:rPr>
              <w:t xml:space="preserve">0.88</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Beta(5.75, 1.25)</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[0.49, 0.99]</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8"/>
                <w:szCs w:val="18"/>
              </w:rPr>
              <w:t xml:space="preserve">Kinzer</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sz w:val="18"/>
                <w:szCs w:val="18"/>
              </w:rPr>
              <w:t xml:space="preserve">Journalist/historian, Brown Univ</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7</w:t>
            </w:r>
          </w:p>
        </w:tc>
        <w:tc>
          <w:tcPr>
            <w:tcW w:type="dxa" w:w="700"/>
            <w:tcBorders>
              <w:top w:val="single" w:color="BBBBBB" w:sz="1"/>
              <w:left w:val="single" w:color="BBBBBB" w:sz="1"/>
              <w:bottom w:val="single" w:color="BBBBBB" w:sz="1"/>
              <w:right w:val="single" w:color="BBBBBB" w:sz="1"/>
            </w:tcBorders>
            <w:shd w:fill="C6EFCE" w:val="clear"/>
            <w:tcMar>
              <w:top w:type="dxa" w:w="60"/>
              <w:left w:type="dxa" w:w="100"/>
              <w:bottom w:type="dxa" w:w="60"/>
              <w:right w:type="dxa" w:w="100"/>
            </w:tcMar>
          </w:tcPr>
          <w:p>
            <w:pPr>
              <w:spacing w:after="0"/>
              <w:jc w:val="center"/>
            </w:pPr>
            <w:r>
              <w:rPr>
                <w:rFonts w:ascii="Arial" w:cs="Arial" w:eastAsia="Arial" w:hAnsi="Arial"/>
                <w:sz w:val="18"/>
                <w:szCs w:val="18"/>
              </w:rPr>
              <w:t xml:space="preserve">0.82</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Beta(6.25, 1.75)</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[0.46, 0.97]</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8"/>
                <w:szCs w:val="18"/>
              </w:rPr>
              <w:t xml:space="preserve">Bajoghli</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sz w:val="18"/>
                <w:szCs w:val="18"/>
              </w:rPr>
              <w:t xml:space="preserve">Iran anthropologist, JHU SAIS</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5</w:t>
            </w:r>
          </w:p>
        </w:tc>
        <w:tc>
          <w:tcPr>
            <w:tcW w:type="dxa" w:w="700"/>
            <w:tcBorders>
              <w:top w:val="single" w:color="BBBBBB" w:sz="1"/>
              <w:left w:val="single" w:color="BBBBBB" w:sz="1"/>
              <w:bottom w:val="single" w:color="BBBBBB" w:sz="1"/>
              <w:right w:val="single" w:color="BBBBBB" w:sz="1"/>
            </w:tcBorders>
            <w:shd w:fill="C6EFCE" w:val="clear"/>
            <w:tcMar>
              <w:top w:type="dxa" w:w="60"/>
              <w:left w:type="dxa" w:w="100"/>
              <w:bottom w:type="dxa" w:w="60"/>
              <w:right w:type="dxa" w:w="100"/>
            </w:tcMar>
          </w:tcPr>
          <w:p>
            <w:pPr>
              <w:spacing w:after="0"/>
              <w:jc w:val="center"/>
            </w:pPr>
            <w:r>
              <w:rPr>
                <w:rFonts w:ascii="Arial" w:cs="Arial" w:eastAsia="Arial" w:hAnsi="Arial"/>
                <w:sz w:val="18"/>
                <w:szCs w:val="18"/>
              </w:rPr>
              <w:t xml:space="preserve">0.80</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Beta(4.50, 1.50)</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[0.37, 0.98]</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8"/>
                <w:szCs w:val="18"/>
              </w:rPr>
              <w:t xml:space="preserve">Sachs</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sz w:val="18"/>
                <w:szCs w:val="18"/>
              </w:rPr>
              <w:t xml:space="preserve">Economist, Columbia</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8</w:t>
            </w:r>
          </w:p>
        </w:tc>
        <w:tc>
          <w:tcPr>
            <w:tcW w:type="dxa" w:w="70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spacing w:after="0"/>
              <w:jc w:val="center"/>
            </w:pPr>
            <w:r>
              <w:rPr>
                <w:rFonts w:ascii="Arial" w:cs="Arial" w:eastAsia="Arial" w:hAnsi="Arial"/>
                <w:sz w:val="18"/>
                <w:szCs w:val="18"/>
              </w:rPr>
              <w:t xml:space="preserve">0.69</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Beta(6.00, 3.00)</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[0.35, 0.91]</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8"/>
                <w:szCs w:val="18"/>
              </w:rPr>
              <w:t xml:space="preserve">Crooke</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sz w:val="18"/>
                <w:szCs w:val="18"/>
              </w:rPr>
              <w:t xml:space="preserve">Fmr MI6, Conflicts Forum</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8</w:t>
            </w:r>
          </w:p>
        </w:tc>
        <w:tc>
          <w:tcPr>
            <w:tcW w:type="dxa" w:w="70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spacing w:after="0"/>
              <w:jc w:val="center"/>
            </w:pPr>
            <w:r>
              <w:rPr>
                <w:rFonts w:ascii="Arial" w:cs="Arial" w:eastAsia="Arial" w:hAnsi="Arial"/>
                <w:sz w:val="18"/>
                <w:szCs w:val="18"/>
              </w:rPr>
              <w:t xml:space="preserve">0.62</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Beta(5.50, 3.50)</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[0.29, 0.88]</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8"/>
                <w:szCs w:val="18"/>
              </w:rPr>
              <w:t xml:space="preserve">Friedman</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sz w:val="18"/>
                <w:szCs w:val="18"/>
              </w:rPr>
              <w:t xml:space="preserve">Geopolitical Futures founder</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9</w:t>
            </w:r>
          </w:p>
        </w:tc>
        <w:tc>
          <w:tcPr>
            <w:tcW w:type="dxa" w:w="70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spacing w:after="0"/>
              <w:jc w:val="center"/>
            </w:pPr>
            <w:r>
              <w:rPr>
                <w:rFonts w:ascii="Arial" w:cs="Arial" w:eastAsia="Arial" w:hAnsi="Arial"/>
                <w:sz w:val="18"/>
                <w:szCs w:val="18"/>
              </w:rPr>
              <w:t xml:space="preserve">0.58</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Beta(5.75, 4.25)</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[0.28, 0.85]</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8"/>
                <w:szCs w:val="18"/>
              </w:rPr>
              <w:t xml:space="preserve">Ritter</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sz w:val="18"/>
                <w:szCs w:val="18"/>
              </w:rPr>
              <w:t xml:space="preserve">Fmr UNSCOM inspector</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9</w:t>
            </w:r>
          </w:p>
        </w:tc>
        <w:tc>
          <w:tcPr>
            <w:tcW w:type="dxa" w:w="700"/>
            <w:tcBorders>
              <w:top w:val="single" w:color="BBBBBB" w:sz="1"/>
              <w:left w:val="single" w:color="BBBBBB" w:sz="1"/>
              <w:bottom w:val="single" w:color="BBBBBB" w:sz="1"/>
              <w:right w:val="single" w:color="BBBBBB" w:sz="1"/>
            </w:tcBorders>
            <w:shd w:fill="F4CCCC" w:val="clear"/>
            <w:tcMar>
              <w:top w:type="dxa" w:w="60"/>
              <w:left w:type="dxa" w:w="100"/>
              <w:bottom w:type="dxa" w:w="60"/>
              <w:right w:type="dxa" w:w="100"/>
            </w:tcMar>
          </w:tcPr>
          <w:p>
            <w:pPr>
              <w:spacing w:after="0"/>
              <w:jc w:val="center"/>
            </w:pPr>
            <w:r>
              <w:rPr>
                <w:rFonts w:ascii="Arial" w:cs="Arial" w:eastAsia="Arial" w:hAnsi="Arial"/>
                <w:sz w:val="18"/>
                <w:szCs w:val="18"/>
              </w:rPr>
              <w:t xml:space="preserve">0.36</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Beta(3.75, 6.25)</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[0.12, 0.68]</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8"/>
                <w:szCs w:val="18"/>
              </w:rPr>
              <w:t xml:space="preserve">Molyneux</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sz w:val="18"/>
                <w:szCs w:val="18"/>
              </w:rPr>
              <w:t xml:space="preserve">YouTuber/commentator</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7</w:t>
            </w:r>
          </w:p>
        </w:tc>
        <w:tc>
          <w:tcPr>
            <w:tcW w:type="dxa" w:w="700"/>
            <w:tcBorders>
              <w:top w:val="single" w:color="BBBBBB" w:sz="1"/>
              <w:left w:val="single" w:color="BBBBBB" w:sz="1"/>
              <w:bottom w:val="single" w:color="BBBBBB" w:sz="1"/>
              <w:right w:val="single" w:color="BBBBBB" w:sz="1"/>
            </w:tcBorders>
            <w:shd w:fill="F4CCCC" w:val="clear"/>
            <w:tcMar>
              <w:top w:type="dxa" w:w="60"/>
              <w:left w:type="dxa" w:w="100"/>
              <w:bottom w:type="dxa" w:w="60"/>
              <w:right w:type="dxa" w:w="100"/>
            </w:tcMar>
          </w:tcPr>
          <w:p>
            <w:pPr>
              <w:spacing w:after="0"/>
              <w:jc w:val="center"/>
            </w:pPr>
            <w:r>
              <w:rPr>
                <w:rFonts w:ascii="Arial" w:cs="Arial" w:eastAsia="Arial" w:hAnsi="Arial"/>
                <w:sz w:val="18"/>
                <w:szCs w:val="18"/>
              </w:rPr>
              <w:t xml:space="preserve">0.07</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Beta(1.00, 7.00)</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[0.00, 0.41]</w:t>
            </w:r>
          </w:p>
        </w:tc>
      </w:tr>
    </w:tbl>
    <w:p>
      <w:r>
        <w:br w:type="page"/>
      </w:r>
    </w:p>
    <w:p>
      <w:pPr>
        <w:pStyle w:val="Heading2"/>
        <w:spacing w:after="180" w:before="240"/>
      </w:pPr>
      <w:r>
        <w:t xml:space="preserve">2.2 Complete Prediction Track Record</w:t>
      </w:r>
    </w:p>
    <w:p>
      <w:pPr>
        <w:spacing w:after="200"/>
      </w:pPr>
      <w:r>
        <w:t xml:space="preserve">All 67 scored historical predictions across the nine-expert panel are listed below, organized by expert. Each prediction is scored and categorized. Color coding: </w:t>
      </w:r>
      <w:r>
        <w:rPr>
          <w:color w:val="006100"/>
        </w:rPr>
        <w:t xml:space="preserve">green</w:t>
      </w:r>
      <w:r>
        <w:t xml:space="preserve"> = TRUE/MOSTLY TRUE; </w:t>
      </w:r>
      <w:r>
        <w:rPr>
          <w:color w:val="806000"/>
        </w:rPr>
        <w:t xml:space="preserve">yellow</w:t>
      </w:r>
      <w:r>
        <w:t xml:space="preserve"> = PARTIAL; </w:t>
      </w:r>
      <w:r>
        <w:rPr>
          <w:color w:val="9C0006"/>
        </w:rPr>
        <w:t xml:space="preserve">red</w:t>
      </w:r>
      <w:r>
        <w:t xml:space="preserve"> = MOSTLY FALSE/FALSE.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4400"/>
        <w:gridCol w:w="650"/>
        <w:gridCol w:w="550"/>
        <w:gridCol w:w="1200"/>
        <w:gridCol w:w="1050"/>
      </w:tblGrid>
      <w:tr>
        <w:tc>
          <w:tcPr>
            <w:tcW w:type="dxa" w:w="105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Expert</w:t>
            </w:r>
          </w:p>
        </w:tc>
        <w:tc>
          <w:tcPr>
            <w:tcW w:type="dxa" w:w="4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Prediction</w:t>
            </w:r>
          </w:p>
        </w:tc>
        <w:tc>
          <w:tcPr>
            <w:tcW w:type="dxa" w:w="65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Year</w:t>
            </w:r>
          </w:p>
        </w:tc>
        <w:tc>
          <w:tcPr>
            <w:tcW w:type="dxa" w:w="55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Score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Verdict</w:t>
            </w:r>
          </w:p>
        </w:tc>
        <w:tc>
          <w:tcPr>
            <w:tcW w:type="dxa" w:w="105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Category</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Molyneux</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Western civilization collapse imminent due to immigration</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2015-19</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0.00</w:t>
            </w:r>
          </w:p>
        </w:tc>
        <w:tc>
          <w:tcPr>
            <w:tcW w:type="dxa" w:w="1200"/>
            <w:tcBorders>
              <w:top w:val="single" w:color="BBBBBB" w:sz="1"/>
              <w:left w:val="single" w:color="BBBBBB" w:sz="1"/>
              <w:bottom w:val="single" w:color="BBBBBB" w:sz="1"/>
              <w:right w:val="single" w:color="BBBBBB" w:sz="1"/>
            </w:tcBorders>
            <w:shd w:fill="F4CCCC"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FALSE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Geopolitical</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Molyneux</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Trump would transform US FP away from interventionism</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2016</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0.25</w:t>
            </w:r>
          </w:p>
        </w:tc>
        <w:tc>
          <w:tcPr>
            <w:tcW w:type="dxa" w:w="1200"/>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MOSTLY FALSE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Geopolitical</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Molyneux</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Brexit would trigger EU collapse within years</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2016</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0.00</w:t>
            </w:r>
          </w:p>
        </w:tc>
        <w:tc>
          <w:tcPr>
            <w:tcW w:type="dxa" w:w="1200"/>
            <w:tcBorders>
              <w:top w:val="single" w:color="BBBBBB" w:sz="1"/>
              <w:left w:val="single" w:color="BBBBBB" w:sz="1"/>
              <w:bottom w:val="single" w:color="BBBBBB" w:sz="1"/>
              <w:right w:val="single" w:color="BBBBBB" w:sz="1"/>
            </w:tcBorders>
            <w:shd w:fill="F4CCCC"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FALSE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Geopolitical</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Molyneux</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Mass social breakdown in Sweden/Germany from migration</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2017</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0.25</w:t>
            </w:r>
          </w:p>
        </w:tc>
        <w:tc>
          <w:tcPr>
            <w:tcW w:type="dxa" w:w="1200"/>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MOSTLY FALSE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Regime</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Molyneux</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Canadian economy collapse under Trudeau</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2017</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0.00</w:t>
            </w:r>
          </w:p>
        </w:tc>
        <w:tc>
          <w:tcPr>
            <w:tcW w:type="dxa" w:w="1200"/>
            <w:tcBorders>
              <w:top w:val="single" w:color="BBBBBB" w:sz="1"/>
              <w:left w:val="single" w:color="BBBBBB" w:sz="1"/>
              <w:bottom w:val="single" w:color="BBBBBB" w:sz="1"/>
              <w:right w:val="single" w:color="BBBBBB" w:sz="1"/>
            </w:tcBorders>
            <w:shd w:fill="F4CCCC"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FALSE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Economic</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Molyneux</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Iran deal withdrawal leads to quick Iranian capitulation</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2018</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0.00</w:t>
            </w:r>
          </w:p>
        </w:tc>
        <w:tc>
          <w:tcPr>
            <w:tcW w:type="dxa" w:w="1200"/>
            <w:tcBorders>
              <w:top w:val="single" w:color="BBBBBB" w:sz="1"/>
              <w:left w:val="single" w:color="BBBBBB" w:sz="1"/>
              <w:bottom w:val="single" w:color="BBBBBB" w:sz="1"/>
              <w:right w:val="single" w:color="BBBBBB" w:sz="1"/>
            </w:tcBorders>
            <w:shd w:fill="F4CCCC"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FALSE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Geopolitical</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Molyneux</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Red wave in US midterms</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2022</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0.00</w:t>
            </w:r>
          </w:p>
        </w:tc>
        <w:tc>
          <w:tcPr>
            <w:tcW w:type="dxa" w:w="1200"/>
            <w:tcBorders>
              <w:top w:val="single" w:color="BBBBBB" w:sz="1"/>
              <w:left w:val="single" w:color="BBBBBB" w:sz="1"/>
              <w:bottom w:val="single" w:color="BBBBBB" w:sz="1"/>
              <w:right w:val="single" w:color="BBBBBB" w:sz="1"/>
            </w:tcBorders>
            <w:shd w:fill="F4CCCC"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FALSE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Geopolitical</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Mearsheimer</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NATO expansion would provoke Russian aggression vs Ukraine</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2014</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1.00</w:t>
            </w:r>
          </w:p>
        </w:tc>
        <w:tc>
          <w:tcPr>
            <w:tcW w:type="dxa" w:w="1200"/>
            <w:tcBorders>
              <w:top w:val="single" w:color="BBBBBB" w:sz="1"/>
              <w:left w:val="single" w:color="BBBBBB" w:sz="1"/>
              <w:bottom w:val="single" w:color="BBBBBB" w:sz="1"/>
              <w:right w:val="single" w:color="BBBBBB" w:sz="1"/>
            </w:tcBorders>
            <w:shd w:fill="C6EFCE"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TRUE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Geopolitical</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Mearsheimer</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Iraq War would be strategic disaster / quagmire</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2003</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1.00</w:t>
            </w:r>
          </w:p>
        </w:tc>
        <w:tc>
          <w:tcPr>
            <w:tcW w:type="dxa" w:w="1200"/>
            <w:tcBorders>
              <w:top w:val="single" w:color="BBBBBB" w:sz="1"/>
              <w:left w:val="single" w:color="BBBBBB" w:sz="1"/>
              <w:bottom w:val="single" w:color="BBBBBB" w:sz="1"/>
              <w:right w:val="single" w:color="BBBBBB" w:sz="1"/>
            </w:tcBorders>
            <w:shd w:fill="C6EFCE"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TRUE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Military</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Mearsheimer</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Israel lobby shapes US Mideast policy detrimentally</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2006</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0.75</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MOSTLY TRUE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Geopolitical</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Mearsheimer</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US pivot to Asia disrupted by Middle East entanglements</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2012</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0.75</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MOSTLY TRUE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Geopolitical</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Mearsheimer</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Libya intervention would create failed state / chaos</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2011</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1.00</w:t>
            </w:r>
          </w:p>
        </w:tc>
        <w:tc>
          <w:tcPr>
            <w:tcW w:type="dxa" w:w="1200"/>
            <w:tcBorders>
              <w:top w:val="single" w:color="BBBBBB" w:sz="1"/>
              <w:left w:val="single" w:color="BBBBBB" w:sz="1"/>
              <w:bottom w:val="single" w:color="BBBBBB" w:sz="1"/>
              <w:right w:val="single" w:color="BBBBBB" w:sz="1"/>
            </w:tcBorders>
            <w:shd w:fill="C6EFCE"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TRUE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Military</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Mearsheimer</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Ukraine conflict would become prolonged war of attrition</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2022</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1.00</w:t>
            </w:r>
          </w:p>
        </w:tc>
        <w:tc>
          <w:tcPr>
            <w:tcW w:type="dxa" w:w="1200"/>
            <w:tcBorders>
              <w:top w:val="single" w:color="BBBBBB" w:sz="1"/>
              <w:left w:val="single" w:color="BBBBBB" w:sz="1"/>
              <w:bottom w:val="single" w:color="BBBBBB" w:sz="1"/>
              <w:right w:val="single" w:color="BBBBBB" w:sz="1"/>
            </w:tcBorders>
            <w:shd w:fill="C6EFCE"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TRUE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Military</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Mearsheimer</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Great power competition (US-China) is the defining dynamic</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2018</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0.75</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MOSTLY TRUE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Geopolitical</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Mearsheimer</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US would not deter Russia from invading Ukraine</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2021</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1.00</w:t>
            </w:r>
          </w:p>
        </w:tc>
        <w:tc>
          <w:tcPr>
            <w:tcW w:type="dxa" w:w="1200"/>
            <w:tcBorders>
              <w:top w:val="single" w:color="BBBBBB" w:sz="1"/>
              <w:left w:val="single" w:color="BBBBBB" w:sz="1"/>
              <w:bottom w:val="single" w:color="BBBBBB" w:sz="1"/>
              <w:right w:val="single" w:color="BBBBBB" w:sz="1"/>
            </w:tcBorders>
            <w:shd w:fill="C6EFCE"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TRUE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Military</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Sachs</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Iraq sanctions cause humanitarian catastrophe w/o regime change</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1990s</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1.00</w:t>
            </w:r>
          </w:p>
        </w:tc>
        <w:tc>
          <w:tcPr>
            <w:tcW w:type="dxa" w:w="1200"/>
            <w:tcBorders>
              <w:top w:val="single" w:color="BBBBBB" w:sz="1"/>
              <w:left w:val="single" w:color="BBBBBB" w:sz="1"/>
              <w:bottom w:val="single" w:color="BBBBBB" w:sz="1"/>
              <w:right w:val="single" w:color="BBBBBB" w:sz="1"/>
            </w:tcBorders>
            <w:shd w:fill="C6EFCE"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TRUE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Economic</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Sachs</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Shock therapy would succeed in Poland</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1990</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0.75</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MOSTLY TRUE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Economic</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Sachs</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Shock therapy would succeed in Russia similarly to Poland</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1992</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0.25</w:t>
            </w:r>
          </w:p>
        </w:tc>
        <w:tc>
          <w:tcPr>
            <w:tcW w:type="dxa" w:w="1200"/>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MOSTLY FALSE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Economic</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Sachs</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Iraq War would destabilize Middle East broadly</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2003</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1.00</w:t>
            </w:r>
          </w:p>
        </w:tc>
        <w:tc>
          <w:tcPr>
            <w:tcW w:type="dxa" w:w="1200"/>
            <w:tcBorders>
              <w:top w:val="single" w:color="BBBBBB" w:sz="1"/>
              <w:left w:val="single" w:color="BBBBBB" w:sz="1"/>
              <w:bottom w:val="single" w:color="BBBBBB" w:sz="1"/>
              <w:right w:val="single" w:color="BBBBBB" w:sz="1"/>
            </w:tcBorders>
            <w:shd w:fill="C6EFCE"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TRUE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Military</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Sachs</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US sanctions on Iran hurt civilians w/o changing regime</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2018</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1.00</w:t>
            </w:r>
          </w:p>
        </w:tc>
        <w:tc>
          <w:tcPr>
            <w:tcW w:type="dxa" w:w="1200"/>
            <w:tcBorders>
              <w:top w:val="single" w:color="BBBBBB" w:sz="1"/>
              <w:left w:val="single" w:color="BBBBBB" w:sz="1"/>
              <w:bottom w:val="single" w:color="BBBBBB" w:sz="1"/>
              <w:right w:val="single" w:color="BBBBBB" w:sz="1"/>
            </w:tcBorders>
            <w:shd w:fill="C6EFCE"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TRUE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Economic</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Sachs</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Multipolar world order emerging, reducing US unilateral power</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2020</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0.75</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MOSTLY TRUE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Geopolitical</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Sachs</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Ukraine conflict could escalate toward nuclear confrontation</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2022</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0.25</w:t>
            </w:r>
          </w:p>
        </w:tc>
        <w:tc>
          <w:tcPr>
            <w:tcW w:type="dxa" w:w="1200"/>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MOSTLY FALSE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Military</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Sachs</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COVID origins debate suppressed then vindicated (lab leak)</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2021</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0.50</w:t>
            </w:r>
          </w:p>
        </w:tc>
        <w:tc>
          <w:tcPr>
            <w:tcW w:type="dxa" w:w="120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PARTIAL</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Geopolitical</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Friedman</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US-jihadist conflict would define post-9/11 era</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2001</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0.75</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MOSTLY TRUE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Military</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Friedman</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Russia would reassert regional power in former Soviet space</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2009</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1.00</w:t>
            </w:r>
          </w:p>
        </w:tc>
        <w:tc>
          <w:tcPr>
            <w:tcW w:type="dxa" w:w="1200"/>
            <w:tcBorders>
              <w:top w:val="single" w:color="BBBBBB" w:sz="1"/>
              <w:left w:val="single" w:color="BBBBBB" w:sz="1"/>
              <w:bottom w:val="single" w:color="BBBBBB" w:sz="1"/>
              <w:right w:val="single" w:color="BBBBBB" w:sz="1"/>
            </w:tcBorders>
            <w:shd w:fill="C6EFCE"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TRUE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Geopolitical</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Friedman</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EU structural crisis and fragmentation pressures</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2011</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0.75</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MOSTLY TRUE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Geopolitical</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Friedman</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Japan-China tensions would intensify</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2011</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0.50</w:t>
            </w:r>
          </w:p>
        </w:tc>
        <w:tc>
          <w:tcPr>
            <w:tcW w:type="dxa" w:w="120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PARTIAL</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Geopolitical</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Friedman</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Turkey would emerge as major regional power</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2009</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0.50</w:t>
            </w:r>
          </w:p>
        </w:tc>
        <w:tc>
          <w:tcPr>
            <w:tcW w:type="dxa" w:w="120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PARTIAL</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Geopolitical</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Friedman</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Poland would become key European power by 2030s</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2009</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0.25</w:t>
            </w:r>
          </w:p>
        </w:tc>
        <w:tc>
          <w:tcPr>
            <w:tcW w:type="dxa" w:w="1200"/>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MOSTLY FALSE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Geopolitical</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Friedman</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US remains dominant through 2020s despite decline narratives</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2011</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0.75</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MOSTLY TRUE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Geopolitical</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Friedman</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Major US-Mexico tensions over immigration/border</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2009</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0.75</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MOSTLY TRUE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Geopolitical</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Friedman</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Major US-Japan military tensions by 2050</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2009</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0.00</w:t>
            </w:r>
          </w:p>
        </w:tc>
        <w:tc>
          <w:tcPr>
            <w:tcW w:type="dxa" w:w="1200"/>
            <w:tcBorders>
              <w:top w:val="single" w:color="BBBBBB" w:sz="1"/>
              <w:left w:val="single" w:color="BBBBBB" w:sz="1"/>
              <w:bottom w:val="single" w:color="BBBBBB" w:sz="1"/>
              <w:right w:val="single" w:color="BBBBBB" w:sz="1"/>
            </w:tcBorders>
            <w:shd w:fill="F4CCCC"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FALSE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Military</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Ritter</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Iraq had no significant WMD stockpiles (pre-2003)</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2002</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1.00</w:t>
            </w:r>
          </w:p>
        </w:tc>
        <w:tc>
          <w:tcPr>
            <w:tcW w:type="dxa" w:w="1200"/>
            <w:tcBorders>
              <w:top w:val="single" w:color="BBBBBB" w:sz="1"/>
              <w:left w:val="single" w:color="BBBBBB" w:sz="1"/>
              <w:bottom w:val="single" w:color="BBBBBB" w:sz="1"/>
              <w:right w:val="single" w:color="BBBBBB" w:sz="1"/>
            </w:tcBorders>
            <w:shd w:fill="C6EFCE"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TRUE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Nuclear</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Ritter</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Iraq War would not be quick or easy victory</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2003</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0.50</w:t>
            </w:r>
          </w:p>
        </w:tc>
        <w:tc>
          <w:tcPr>
            <w:tcW w:type="dxa" w:w="120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PARTIAL</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Military</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Ritter</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US couldn't take Baghdad / leave with tail between legs</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2003</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0.25</w:t>
            </w:r>
          </w:p>
        </w:tc>
        <w:tc>
          <w:tcPr>
            <w:tcW w:type="dxa" w:w="1200"/>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MOSTLY FALSE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Military</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Ritter</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Imminent US attack on Iran in June 2005</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2005</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0.00</w:t>
            </w:r>
          </w:p>
        </w:tc>
        <w:tc>
          <w:tcPr>
            <w:tcW w:type="dxa" w:w="1200"/>
            <w:tcBorders>
              <w:top w:val="single" w:color="BBBBBB" w:sz="1"/>
              <w:left w:val="single" w:color="BBBBBB" w:sz="1"/>
              <w:bottom w:val="single" w:color="BBBBBB" w:sz="1"/>
              <w:right w:val="single" w:color="BBBBBB" w:sz="1"/>
            </w:tcBorders>
            <w:shd w:fill="F4CCCC"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FALSE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Military</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Ritter</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Syria al-Kibar not a nuclear facility (later confirmed by IAEA)</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2007</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0.00</w:t>
            </w:r>
          </w:p>
        </w:tc>
        <w:tc>
          <w:tcPr>
            <w:tcW w:type="dxa" w:w="1200"/>
            <w:tcBorders>
              <w:top w:val="single" w:color="BBBBBB" w:sz="1"/>
              <w:left w:val="single" w:color="BBBBBB" w:sz="1"/>
              <w:bottom w:val="single" w:color="BBBBBB" w:sz="1"/>
              <w:right w:val="single" w:color="BBBBBB" w:sz="1"/>
            </w:tcBorders>
            <w:shd w:fill="F4CCCC"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FALSE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Nuclear</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Ritter</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Decisive Russian military victory in Ukraine in 2023</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2023</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0.25</w:t>
            </w:r>
          </w:p>
        </w:tc>
        <w:tc>
          <w:tcPr>
            <w:tcW w:type="dxa" w:w="1200"/>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MOSTLY FALSE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Military</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Ritter</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Ukraine suffering unsustainable losses / cannot win</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2022</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0.50</w:t>
            </w:r>
          </w:p>
        </w:tc>
        <w:tc>
          <w:tcPr>
            <w:tcW w:type="dxa" w:w="120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PARTIAL</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Military</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Ritter</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Denied Russian responsibility for Bucha massacre</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2022</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0.00</w:t>
            </w:r>
          </w:p>
        </w:tc>
        <w:tc>
          <w:tcPr>
            <w:tcW w:type="dxa" w:w="1200"/>
            <w:tcBorders>
              <w:top w:val="single" w:color="BBBBBB" w:sz="1"/>
              <w:left w:val="single" w:color="BBBBBB" w:sz="1"/>
              <w:bottom w:val="single" w:color="BBBBBB" w:sz="1"/>
              <w:right w:val="single" w:color="BBBBBB" w:sz="1"/>
            </w:tcBorders>
            <w:shd w:fill="F4CCCC"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FALSE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Geopolitical</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Ritter</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Russian economy would survive Western sanctions</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2022</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0.75</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MOSTLY TRUE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Economic</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Crooke</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Hamas election victory dynamics / Western miscalculation</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2006</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1.00</w:t>
            </w:r>
          </w:p>
        </w:tc>
        <w:tc>
          <w:tcPr>
            <w:tcW w:type="dxa" w:w="1200"/>
            <w:tcBorders>
              <w:top w:val="single" w:color="BBBBBB" w:sz="1"/>
              <w:left w:val="single" w:color="BBBBBB" w:sz="1"/>
              <w:bottom w:val="single" w:color="BBBBBB" w:sz="1"/>
              <w:right w:val="single" w:color="BBBBBB" w:sz="1"/>
            </w:tcBorders>
            <w:shd w:fill="C6EFCE"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TRUE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Geopolitical</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Crooke</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Hezbollah survives 2006 Lebanon War, emerges stronger</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2006</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1.00</w:t>
            </w:r>
          </w:p>
        </w:tc>
        <w:tc>
          <w:tcPr>
            <w:tcW w:type="dxa" w:w="1200"/>
            <w:tcBorders>
              <w:top w:val="single" w:color="BBBBBB" w:sz="1"/>
              <w:left w:val="single" w:color="BBBBBB" w:sz="1"/>
              <w:bottom w:val="single" w:color="BBBBBB" w:sz="1"/>
              <w:right w:val="single" w:color="BBBBBB" w:sz="1"/>
            </w:tcBorders>
            <w:shd w:fill="C6EFCE"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TRUE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Military</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Crooke</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Western intervention in Syria empowers jihadist groups</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2012</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1.00</w:t>
            </w:r>
          </w:p>
        </w:tc>
        <w:tc>
          <w:tcPr>
            <w:tcW w:type="dxa" w:w="1200"/>
            <w:tcBorders>
              <w:top w:val="single" w:color="BBBBBB" w:sz="1"/>
              <w:left w:val="single" w:color="BBBBBB" w:sz="1"/>
              <w:bottom w:val="single" w:color="BBBBBB" w:sz="1"/>
              <w:right w:val="single" w:color="BBBBBB" w:sz="1"/>
            </w:tcBorders>
            <w:shd w:fill="C6EFCE"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TRUE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Military</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Crooke</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Assad regime would survive (with Russian/Iranian support)</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2013-23</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0.50</w:t>
            </w:r>
          </w:p>
        </w:tc>
        <w:tc>
          <w:tcPr>
            <w:tcW w:type="dxa" w:w="120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PARTIAL</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Regime</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Crooke</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Resistance axis durable and strategically coherent</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2020</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0.25</w:t>
            </w:r>
          </w:p>
        </w:tc>
        <w:tc>
          <w:tcPr>
            <w:tcW w:type="dxa" w:w="1200"/>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MOSTLY FALSE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Geopolitical</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Crooke</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Hezbollah existence not in question after Nasrallah killed</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Oct 2024</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0.25</w:t>
            </w:r>
          </w:p>
        </w:tc>
        <w:tc>
          <w:tcPr>
            <w:tcW w:type="dxa" w:w="1200"/>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MOSTLY FALSE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Military</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Crooke</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Syria in much better place by end of 2017</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2017</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0.25</w:t>
            </w:r>
          </w:p>
        </w:tc>
        <w:tc>
          <w:tcPr>
            <w:tcW w:type="dxa" w:w="1200"/>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MOSTLY FALSE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Geopolitical</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Crooke</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US Syria strikes emotionally driven with lasting consequences</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2017</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0.75</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MOSTLY TRUE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Military</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Bajoghli</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Internal regime anxiety about youth legitimacy (fieldwork)</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2019</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0.75</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MOSTLY TRUE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Regime</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Bajoghli</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Sanctions hurt Iranian civilians more than regime elites</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2022</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1.00</w:t>
            </w:r>
          </w:p>
        </w:tc>
        <w:tc>
          <w:tcPr>
            <w:tcW w:type="dxa" w:w="1200"/>
            <w:tcBorders>
              <w:top w:val="single" w:color="BBBBBB" w:sz="1"/>
              <w:left w:val="single" w:color="BBBBBB" w:sz="1"/>
              <w:bottom w:val="single" w:color="BBBBBB" w:sz="1"/>
              <w:right w:val="single" w:color="BBBBBB" w:sz="1"/>
            </w:tcBorders>
            <w:shd w:fill="C6EFCE"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TRUE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Economic</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Bajoghli</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Mahsa Amini protests = deep structural legitimacy crisis</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2022</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0.75</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MOSTLY TRUE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Regime</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Bajoghli</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IRGC internal dynamics more fractured than analysts assume</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2019</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0.75</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MOSTLY TRUE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Regime</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Bajoghli</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Sanctions would not change regime behavior on nuclear program</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2022</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0.75</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MOSTLY TRUE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Nuclear</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Vaez</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Framework leading to 2015 JCPOA nuclear deal</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2013-15</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0.75</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MOSTLY TRUE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Nuclear</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Vaez</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US withdrawal from JCPOA would accelerate enrichment</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2018</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1.00</w:t>
            </w:r>
          </w:p>
        </w:tc>
        <w:tc>
          <w:tcPr>
            <w:tcW w:type="dxa" w:w="1200"/>
            <w:tcBorders>
              <w:top w:val="single" w:color="BBBBBB" w:sz="1"/>
              <w:left w:val="single" w:color="BBBBBB" w:sz="1"/>
              <w:bottom w:val="single" w:color="BBBBBB" w:sz="1"/>
              <w:right w:val="single" w:color="BBBBBB" w:sz="1"/>
            </w:tcBorders>
            <w:shd w:fill="C6EFCE"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TRUE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Nuclear</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Vaez</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Iranian protests met with crackdown but not regime toppled</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2019</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1.00</w:t>
            </w:r>
          </w:p>
        </w:tc>
        <w:tc>
          <w:tcPr>
            <w:tcW w:type="dxa" w:w="1200"/>
            <w:tcBorders>
              <w:top w:val="single" w:color="BBBBBB" w:sz="1"/>
              <w:left w:val="single" w:color="BBBBBB" w:sz="1"/>
              <w:bottom w:val="single" w:color="BBBBBB" w:sz="1"/>
              <w:right w:val="single" w:color="BBBBBB" w:sz="1"/>
            </w:tcBorders>
            <w:shd w:fill="C6EFCE"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TRUE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Regime</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Vaez</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Maximum pressure sanctions fail to change regime behavior</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2019</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1.00</w:t>
            </w:r>
          </w:p>
        </w:tc>
        <w:tc>
          <w:tcPr>
            <w:tcW w:type="dxa" w:w="1200"/>
            <w:tcBorders>
              <w:top w:val="single" w:color="BBBBBB" w:sz="1"/>
              <w:left w:val="single" w:color="BBBBBB" w:sz="1"/>
              <w:bottom w:val="single" w:color="BBBBBB" w:sz="1"/>
              <w:right w:val="single" w:color="BBBBBB" w:sz="1"/>
            </w:tcBorders>
            <w:shd w:fill="C6EFCE"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TRUE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Economic</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Vaez</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Diplomacy still possible after Soleimani killing</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2020</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0.50</w:t>
            </w:r>
          </w:p>
        </w:tc>
        <w:tc>
          <w:tcPr>
            <w:tcW w:type="dxa" w:w="120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PARTIAL</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Geopolitical</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Vaez</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Iran would accelerate nuclear program after JCPOA collapse</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2019</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1.00</w:t>
            </w:r>
          </w:p>
        </w:tc>
        <w:tc>
          <w:tcPr>
            <w:tcW w:type="dxa" w:w="1200"/>
            <w:tcBorders>
              <w:top w:val="single" w:color="BBBBBB" w:sz="1"/>
              <w:left w:val="single" w:color="BBBBBB" w:sz="1"/>
              <w:bottom w:val="single" w:color="BBBBBB" w:sz="1"/>
              <w:right w:val="single" w:color="BBBBBB" w:sz="1"/>
            </w:tcBorders>
            <w:shd w:fill="C6EFCE"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TRUE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Nuclear</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Kinzer</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1953 coup blowback pattern repeats in future interventions</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2003</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1.00</w:t>
            </w:r>
          </w:p>
        </w:tc>
        <w:tc>
          <w:tcPr>
            <w:tcW w:type="dxa" w:w="1200"/>
            <w:tcBorders>
              <w:top w:val="single" w:color="BBBBBB" w:sz="1"/>
              <w:left w:val="single" w:color="BBBBBB" w:sz="1"/>
              <w:bottom w:val="single" w:color="BBBBBB" w:sz="1"/>
              <w:right w:val="single" w:color="BBBBBB" w:sz="1"/>
            </w:tcBorders>
            <w:shd w:fill="C6EFCE"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TRUE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Geopolitical</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Kinzer</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Iraq invasion follows failed regime change pattern</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2003</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1.00</w:t>
            </w:r>
          </w:p>
        </w:tc>
        <w:tc>
          <w:tcPr>
            <w:tcW w:type="dxa" w:w="1200"/>
            <w:tcBorders>
              <w:top w:val="single" w:color="BBBBBB" w:sz="1"/>
              <w:left w:val="single" w:color="BBBBBB" w:sz="1"/>
              <w:bottom w:val="single" w:color="BBBBBB" w:sz="1"/>
              <w:right w:val="single" w:color="BBBBBB" w:sz="1"/>
            </w:tcBorders>
            <w:shd w:fill="C6EFCE"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TRUE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Military</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Kinzer</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US regime changes consistently produce worse outcomes</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2006</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0.75</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MOSTLY TRUE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Geopolitical</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Kinzer</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Turkey and Iran natural long-term US partners (Reset)</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2010</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0.25</w:t>
            </w:r>
          </w:p>
        </w:tc>
        <w:tc>
          <w:tcPr>
            <w:tcW w:type="dxa" w:w="1200"/>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MOSTLY FALSE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Geopolitical</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Kinzer</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Libya intervention would create chaos</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2011</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1.00</w:t>
            </w:r>
          </w:p>
        </w:tc>
        <w:tc>
          <w:tcPr>
            <w:tcW w:type="dxa" w:w="1200"/>
            <w:tcBorders>
              <w:top w:val="single" w:color="BBBBBB" w:sz="1"/>
              <w:left w:val="single" w:color="BBBBBB" w:sz="1"/>
              <w:bottom w:val="single" w:color="BBBBBB" w:sz="1"/>
              <w:right w:val="single" w:color="BBBBBB" w:sz="1"/>
            </w:tcBorders>
            <w:shd w:fill="C6EFCE"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TRUE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Military</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Kinzer</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US-Iran hostility rooted in 1953 continues to poison relations</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2003+</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1.00</w:t>
            </w:r>
          </w:p>
        </w:tc>
        <w:tc>
          <w:tcPr>
            <w:tcW w:type="dxa" w:w="1200"/>
            <w:tcBorders>
              <w:top w:val="single" w:color="BBBBBB" w:sz="1"/>
              <w:left w:val="single" w:color="BBBBBB" w:sz="1"/>
              <w:bottom w:val="single" w:color="BBBBBB" w:sz="1"/>
              <w:right w:val="single" w:color="BBBBBB" w:sz="1"/>
            </w:tcBorders>
            <w:shd w:fill="C6EFCE"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TRUE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Geopolitical</w:t>
            </w:r>
          </w:p>
        </w:tc>
      </w:tr>
      <w:tr>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6"/>
                <w:szCs w:val="16"/>
              </w:rPr>
              <w:t xml:space="preserve">Kinzer</w:t>
            </w:r>
          </w:p>
        </w:tc>
        <w:tc>
          <w:tcPr>
            <w:tcW w:type="dxa" w:w="4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6"/>
                <w:szCs w:val="16"/>
              </w:rPr>
              <w:t xml:space="preserve">US would eventually attempt military action against Iran</w:t>
            </w:r>
          </w:p>
        </w:tc>
        <w:tc>
          <w:tcPr>
            <w:tcW w:type="dxa" w:w="6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2006</w:t>
            </w:r>
          </w:p>
        </w:tc>
        <w:tc>
          <w:tcPr>
            <w:tcW w:type="dxa" w:w="5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0.75</w:t>
            </w:r>
          </w:p>
        </w:tc>
        <w:tc>
          <w:tcPr>
            <w:tcW w:type="dxa" w:w="1200"/>
            <w:tcBorders>
              <w:top w:val="single" w:color="BBBBBB" w:sz="1"/>
              <w:left w:val="single" w:color="BBBBBB" w:sz="1"/>
              <w:bottom w:val="single" w:color="BBBBBB" w:sz="1"/>
              <w:right w:val="single" w:color="BBBBBB" w:sz="1"/>
            </w:tcBorders>
            <w:shd w:fill="E2F0D9" w:val="clear"/>
            <w:tcMar>
              <w:top w:type="dxa" w:w="60"/>
              <w:left w:type="dxa" w:w="100"/>
              <w:bottom w:type="dxa" w:w="60"/>
              <w:right w:type="dxa" w:w="100"/>
            </w:tcMar>
          </w:tcPr>
          <w:p>
            <w:pPr>
              <w:spacing w:after="0"/>
              <w:jc w:val="center"/>
            </w:pPr>
            <w:r>
              <w:rPr>
                <w:rFonts w:ascii="Arial" w:cs="Arial" w:eastAsia="Arial" w:hAnsi="Arial"/>
                <w:b/>
                <w:bCs/>
                <w:sz w:val="15"/>
                <w:szCs w:val="15"/>
              </w:rPr>
              <w:t xml:space="preserve">MOSTLY TRUE</w:t>
            </w:r>
          </w:p>
        </w:tc>
        <w:tc>
          <w:tcPr>
            <w:tcW w:type="dxa" w:w="1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Military</w:t>
            </w:r>
          </w:p>
        </w:tc>
      </w:tr>
    </w:tbl>
    <w:p>
      <w:r>
        <w:br w:type="page"/>
      </w:r>
    </w:p>
    <w:p>
      <w:pPr>
        <w:pStyle w:val="Heading1"/>
        <w:spacing w:after="180" w:before="360"/>
      </w:pPr>
      <w:r>
        <w:t xml:space="preserve">Part 3: Scenario Forecasts</w:t>
      </w:r>
    </w:p>
    <w:p>
      <w:pPr>
        <w:pStyle w:val="Heading2"/>
        <w:spacing w:after="180" w:before="240"/>
      </w:pPr>
      <w:r>
        <w:t xml:space="preserve">3.1 Final Consensus Forecast</w:t>
      </w:r>
    </w:p>
    <w:p>
      <w:pPr>
        <w:spacing w:after="200"/>
      </w:pPr>
      <w:r>
        <w:t xml:space="preserve">The table below shows the final extremized, correlation-adjusted scenario probabilities derived from the 100,000-draw Monte Carlo simulation across the 9-expert panel. HDI = Highest Density Interval (proper Bayesian credible interval).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1800"/>
        <w:gridCol w:w="1800"/>
        <w:gridCol w:w="900"/>
      </w:tblGrid>
      <w:tr>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Scenario</w:t>
            </w:r>
          </w:p>
        </w:tc>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Mean</w:t>
            </w:r>
          </w:p>
        </w:tc>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Median</w:t>
            </w:r>
          </w:p>
        </w:tc>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80% HDI</w:t>
            </w:r>
          </w:p>
        </w:tc>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95% HDI</w:t>
            </w:r>
          </w:p>
        </w:tc>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σ</w:t>
            </w:r>
          </w:p>
        </w:tc>
      </w:tr>
      <w:tr>
        <w:tc>
          <w:tcPr>
            <w:tcW w:type="dxa" w:w="2600"/>
            <w:tcBorders>
              <w:top w:val="single" w:color="BBBBBB" w:sz="1"/>
              <w:left w:val="single" w:color="BBBBBB" w:sz="1"/>
              <w:bottom w:val="single" w:color="BBBBBB" w:sz="1"/>
              <w:right w:val="single" w:color="BBBBBB" w:sz="1"/>
            </w:tcBorders>
            <w:shd w:fill="F4CCCC" w:val="clear"/>
            <w:tcMar>
              <w:top w:type="dxa" w:w="60"/>
              <w:left w:type="dxa" w:w="100"/>
              <w:bottom w:type="dxa" w:w="60"/>
              <w:right w:type="dxa" w:w="100"/>
            </w:tcMar>
          </w:tcPr>
          <w:p>
            <w:pPr>
              <w:spacing w:after="0"/>
              <w:jc w:val="left"/>
            </w:pPr>
            <w:r>
              <w:rPr>
                <w:rFonts w:ascii="Arial" w:cs="Arial" w:eastAsia="Arial" w:hAnsi="Arial"/>
                <w:b/>
                <w:bCs/>
                <w:sz w:val="18"/>
                <w:szCs w:val="18"/>
              </w:rPr>
              <w:t xml:space="preserve">Prolonged Attrition / Quagmire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b/>
                <w:bCs/>
                <w:sz w:val="20"/>
                <w:szCs w:val="20"/>
              </w:rPr>
              <w:t xml:space="preserve">56.9%</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57.1%</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[48.5%, 65.7%]</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[43.8%, 69.8%]</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6.7%</w:t>
            </w:r>
          </w:p>
        </w:tc>
      </w:tr>
      <w:tr>
        <w:tc>
          <w:tcPr>
            <w:tcW w:type="dxa" w:w="2600"/>
            <w:tcBorders>
              <w:top w:val="single" w:color="BBBBBB" w:sz="1"/>
              <w:left w:val="single" w:color="BBBBBB" w:sz="1"/>
              <w:bottom w:val="single" w:color="BBBBBB" w:sz="1"/>
              <w:right w:val="single" w:color="BBBBBB" w:sz="1"/>
            </w:tcBorders>
            <w:shd w:fill="C6EFCE" w:val="clear"/>
            <w:tcMar>
              <w:top w:type="dxa" w:w="60"/>
              <w:left w:type="dxa" w:w="100"/>
              <w:bottom w:type="dxa" w:w="60"/>
              <w:right w:type="dxa" w:w="100"/>
            </w:tcMar>
          </w:tcPr>
          <w:p>
            <w:pPr>
              <w:spacing w:after="0"/>
              <w:jc w:val="left"/>
            </w:pPr>
            <w:r>
              <w:rPr>
                <w:rFonts w:ascii="Arial" w:cs="Arial" w:eastAsia="Arial" w:hAnsi="Arial"/>
                <w:b/>
                <w:bCs/>
                <w:sz w:val="18"/>
                <w:szCs w:val="18"/>
              </w:rPr>
              <w:t xml:space="preserve">Catastrophic Spread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b/>
                <w:bCs/>
                <w:sz w:val="20"/>
                <w:szCs w:val="20"/>
              </w:rPr>
              <w:t xml:space="preserve">19.1%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18.7%</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[12.1%, 24.9%]</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[9.7%, 29.2%]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5.1%</w:t>
            </w:r>
          </w:p>
        </w:tc>
      </w:tr>
      <w:tr>
        <w:tc>
          <w:tcPr>
            <w:tcW w:type="dxa" w:w="2600"/>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tcPr>
          <w:p>
            <w:pPr>
              <w:spacing w:after="0"/>
              <w:jc w:val="left"/>
            </w:pPr>
            <w:r>
              <w:rPr>
                <w:rFonts w:ascii="Arial" w:cs="Arial" w:eastAsia="Arial" w:hAnsi="Arial"/>
                <w:b/>
                <w:bCs/>
                <w:sz w:val="18"/>
                <w:szCs w:val="18"/>
              </w:rPr>
              <w:t xml:space="preserve">Limited Stalemate / De-escalation</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b/>
                <w:bCs/>
                <w:sz w:val="20"/>
                <w:szCs w:val="20"/>
              </w:rPr>
              <w:t xml:space="preserve">18.8%</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18.4%</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[11.9%, 24.5%]</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[9.5%, 28.7%]</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5.0%</w:t>
            </w:r>
          </w:p>
        </w:tc>
      </w:tr>
      <w:tr>
        <w:tc>
          <w:tcPr>
            <w:tcW w:type="dxa" w:w="26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spacing w:after="0"/>
              <w:jc w:val="left"/>
            </w:pPr>
            <w:r>
              <w:rPr>
                <w:rFonts w:ascii="Arial" w:cs="Arial" w:eastAsia="Arial" w:hAnsi="Arial"/>
                <w:b/>
                <w:bCs/>
                <w:sz w:val="18"/>
                <w:szCs w:val="18"/>
              </w:rPr>
              <w:t xml:space="preserve">Quick / Decisive Regime Change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b/>
                <w:bCs/>
                <w:sz w:val="20"/>
                <w:szCs w:val="20"/>
              </w:rPr>
              <w:t xml:space="preserve">5.2%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4.8%</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[2.0%, 7.5%]</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[1.3%, 10.0%]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2.4%</w:t>
            </w:r>
          </w:p>
        </w:tc>
      </w:tr>
    </w:tbl>
    <w:p>
      <w:pPr>
        <w:spacing w:after="140" w:before="300"/>
      </w:pPr>
      <w:r>
        <w:rPr>
          <w:b/>
          <w:bCs/>
        </w:rPr>
        <w:t xml:space="preserve">Interpretation: </w:t>
      </w:r>
      <w:r>
        <w:t xml:space="preserve">Prolonged attrition/quagmire is the strong modal outcome at ~57%, with an 80% credible interval of 48.5–65.7%. Catastrophic spread and limited stalemate are roughly equally probable secondary outcomes at ~19% each. Quick regime change is assessed at only ~5%, reflecting near-unanimous expert skepticism weighted by calibration.</w:t>
      </w:r>
    </w:p>
    <w:p>
      <w:pPr>
        <w:pStyle w:val="Heading2"/>
        <w:spacing w:after="180" w:before="240"/>
      </w:pPr>
      <w:r>
        <w:t xml:space="preserve">3.2 Model Evolution: 4-Expert to 10-Expert Comparison</w:t>
      </w:r>
    </w:p>
    <w:p>
      <w:pPr>
        <w:spacing w:after="200"/>
      </w:pPr>
      <w:r>
        <w:t xml:space="preserve">The table below shows how the scenario probabilities evolved across three iterations of the model: the original simple 4-expert model, the robust Bayesian 4-expert model, and the final 10-expert model with five additional Iran/conflict specialists.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900"/>
        <w:gridCol w:w="1900"/>
        <w:gridCol w:w="1700"/>
      </w:tblGrid>
      <w:tr>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Scenario</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Original (4-Exp, Simple)</w:t>
            </w:r>
          </w:p>
        </w:tc>
        <w:tc>
          <w:tcPr>
            <w:tcW w:type="dxa" w:w="1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Robust (4-Exp, Bayesian)</w:t>
            </w:r>
          </w:p>
        </w:tc>
        <w:tc>
          <w:tcPr>
            <w:tcW w:type="dxa" w:w="1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Final (10-Exp, Bayesian)</w:t>
            </w:r>
          </w:p>
        </w:tc>
        <w:tc>
          <w:tcPr>
            <w:tcW w:type="dxa" w:w="1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Δ (Final vs Orig)</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8"/>
                <w:szCs w:val="18"/>
              </w:rPr>
              <w:t xml:space="preserve">Quick Win</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25.0%</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15.2%</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b/>
                <w:bCs/>
                <w:sz w:val="18"/>
                <w:szCs w:val="18"/>
              </w:rPr>
              <w:t xml:space="preserve">5.2%</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b/>
                <w:bCs/>
                <w:color w:val="C00000"/>
                <w:sz w:val="18"/>
                <w:szCs w:val="18"/>
              </w:rPr>
              <w:t xml:space="preserve">-19.8%</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8"/>
                <w:szCs w:val="18"/>
              </w:rPr>
              <w:t xml:space="preserve">Quagmire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53.0%</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48.3%</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b/>
                <w:bCs/>
                <w:sz w:val="18"/>
                <w:szCs w:val="18"/>
              </w:rPr>
              <w:t xml:space="preserve">56.9%</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b/>
                <w:bCs/>
                <w:color w:val="006100"/>
                <w:sz w:val="18"/>
                <w:szCs w:val="18"/>
              </w:rPr>
              <w:t xml:space="preserve">+3.9%</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8"/>
                <w:szCs w:val="18"/>
              </w:rPr>
              <w:t xml:space="preserve">Stalemate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14.0%</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19.9%</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b/>
                <w:bCs/>
                <w:sz w:val="18"/>
                <w:szCs w:val="18"/>
              </w:rPr>
              <w:t xml:space="preserve">18.8%</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b/>
                <w:bCs/>
                <w:color w:val="006100"/>
                <w:sz w:val="18"/>
                <w:szCs w:val="18"/>
              </w:rPr>
              <w:t xml:space="preserve">+4.8%</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left"/>
            </w:pPr>
            <w:r>
              <w:rPr>
                <w:rFonts w:ascii="Arial" w:cs="Arial" w:eastAsia="Arial" w:hAnsi="Arial"/>
                <w:b/>
                <w:bCs/>
                <w:sz w:val="18"/>
                <w:szCs w:val="18"/>
              </w:rPr>
              <w:t xml:space="preserve">Catastrophe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8.0%</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sz w:val="18"/>
                <w:szCs w:val="18"/>
              </w:rPr>
              <w:t xml:space="preserve">16.5%</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b/>
                <w:bCs/>
                <w:sz w:val="18"/>
                <w:szCs w:val="18"/>
              </w:rPr>
              <w:t xml:space="preserve">19.1%</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jc w:val="center"/>
            </w:pPr>
            <w:r>
              <w:rPr>
                <w:rFonts w:ascii="Arial" w:cs="Arial" w:eastAsia="Arial" w:hAnsi="Arial"/>
                <w:b/>
                <w:bCs/>
                <w:color w:val="006100"/>
                <w:sz w:val="18"/>
                <w:szCs w:val="18"/>
              </w:rPr>
              <w:t xml:space="preserve">+11.1%</w:t>
            </w:r>
          </w:p>
        </w:tc>
      </w:tr>
    </w:tbl>
    <w:p>
      <w:pPr>
        <w:pStyle w:val="Heading2"/>
        <w:spacing w:after="180" w:before="240"/>
      </w:pPr>
      <w:r>
        <w:t xml:space="preserve">3.3 Key Structural Findings</w:t>
      </w:r>
    </w:p>
    <w:p>
      <w:pPr>
        <w:pStyle w:val="ListParagraph"/>
        <w:numPr>
          <w:ilvl w:val="0"/>
          <w:numId w:val="3"/>
        </w:numPr>
      </w:pPr>
      <w:r>
        <w:rPr>
          <w:b/>
          <w:bCs/>
        </w:rPr>
        <w:t xml:space="preserve">Quick-win probability collapsed from 25% to 5%. </w:t>
      </w:r>
      <w:r>
        <w:t xml:space="preserve">Molyneux was the sole advocate; his empirical accuracy of 0.07 (worst of all experts) means his signal is almost entirely discounted. All eight other experts assign this scenario under 15%.</w:t>
      </w:r>
    </w:p>
    <w:p>
      <w:pPr>
        <w:pStyle w:val="ListParagraph"/>
        <w:numPr>
          <w:ilvl w:val="0"/>
          <w:numId w:val="3"/>
        </w:numPr>
      </w:pPr>
      <w:r>
        <w:rPr>
          <w:b/>
          <w:bCs/>
        </w:rPr>
        <w:t xml:space="preserve">Catastrophic spread nearly tripled from 8% to 19%. </w:t>
      </w:r>
      <w:r>
        <w:t xml:space="preserve">The addition of Iran specialists (Sachs, Crooke, Ritter, Kinzer) who explicitly warn of escalation dynamics, combined with proper uncertainty propagation, surfaces this as a serious tail risk.</w:t>
      </w:r>
    </w:p>
    <w:p>
      <w:pPr>
        <w:pStyle w:val="ListParagraph"/>
        <w:numPr>
          <w:ilvl w:val="0"/>
          <w:numId w:val="3"/>
        </w:numPr>
      </w:pPr>
      <w:r>
        <w:rPr>
          <w:b/>
          <w:bCs/>
        </w:rPr>
        <w:t xml:space="preserve">The two highest-calibration Iran experts (Vaez at 0.88, Bajoghli at 0.80) both emphasize the stalemate pathway. </w:t>
      </w:r>
      <w:r>
        <w:t xml:space="preserve">Their fieldwork-based and policy-track assessments that air power cannot achieve regime change, and that rally-around-flag effects would hinder domestic uprising, pull the stalemate probability up from 14% to 19%.</w:t>
      </w:r>
    </w:p>
    <w:p>
      <w:pPr>
        <w:pStyle w:val="ListParagraph"/>
        <w:numPr>
          <w:ilvl w:val="0"/>
          <w:numId w:val="3"/>
        </w:numPr>
      </w:pPr>
      <w:r>
        <w:rPr>
          <w:b/>
          <w:bCs/>
        </w:rPr>
        <w:t xml:space="preserve">Effective independent experts: 6.33 out of 9. </w:t>
      </w:r>
      <w:r>
        <w:t xml:space="preserve">The Mearsheimer–Sachs–Kinzer realist cluster and the Bajoghli–Vaez Iran-specialist cluster represent partially correlated information sources. The extremizing correction ensures their shared views are not double-counted.</w:t>
      </w:r>
    </w:p>
    <w:p>
      <w:pPr>
        <w:pStyle w:val="ListParagraph"/>
        <w:numPr>
          <w:ilvl w:val="0"/>
          <w:numId w:val="3"/>
        </w:numPr>
      </w:pPr>
      <w:r>
        <w:rPr>
          <w:b/>
          <w:bCs/>
        </w:rPr>
        <w:t xml:space="preserve">Ritter's Iraq WMD call (his sole domain of expertise) does not transfer. </w:t>
      </w:r>
      <w:r>
        <w:t xml:space="preserve">Outside of weapons inspection, his empirical accuracy is poor (0.36 overall). His strongly bearish view on US military capability is partially discounted by the model.</w:t>
      </w:r>
    </w:p>
    <w:p>
      <w:r>
        <w:br w:type="page"/>
      </w:r>
    </w:p>
    <w:p>
      <w:pPr>
        <w:pStyle w:val="Heading1"/>
        <w:spacing w:after="180" w:before="360"/>
      </w:pPr>
      <w:r>
        <w:t xml:space="preserve">Part 4: Limitations and Caveats</w:t>
      </w:r>
    </w:p>
    <w:p>
      <w:pPr>
        <w:pStyle w:val="ListParagraph"/>
        <w:numPr>
          <w:ilvl w:val="0"/>
          <w:numId w:val="2"/>
        </w:numPr>
      </w:pPr>
      <w:r>
        <w:rPr>
          <w:b/>
          <w:bCs/>
        </w:rPr>
        <w:t xml:space="preserve">Small sample sizes. </w:t>
      </w:r>
      <w:r>
        <w:t xml:space="preserve">Expert reliability is estimated from 5–9 scored predictions each. Beta posteriors are appropriately wide but the underlying accuracy estimates could shift significantly with more data.</w:t>
      </w:r>
    </w:p>
    <w:p>
      <w:pPr>
        <w:pStyle w:val="ListParagraph"/>
        <w:numPr>
          <w:ilvl w:val="0"/>
          <w:numId w:val="2"/>
        </w:numPr>
      </w:pPr>
      <w:r>
        <w:rPr>
          <w:b/>
          <w:bCs/>
        </w:rPr>
        <w:t xml:space="preserve">Scoring subjectivity. </w:t>
      </w:r>
      <w:r>
        <w:t xml:space="preserve">Assigning 0.0–1.0 scores to complex, multi-faceted predictions involves judgment calls. Reasonable scorers might differ by ±0.25 on individual predictions.</w:t>
      </w:r>
    </w:p>
    <w:p>
      <w:pPr>
        <w:pStyle w:val="ListParagraph"/>
        <w:numPr>
          <w:ilvl w:val="0"/>
          <w:numId w:val="2"/>
        </w:numPr>
      </w:pPr>
      <w:r>
        <w:rPr>
          <w:b/>
          <w:bCs/>
        </w:rPr>
        <w:t xml:space="preserve">Scenario centroids are estimated. </w:t>
      </w:r>
      <w:r>
        <w:t xml:space="preserve">Most experts have not publicly stated precise probability distributions for the four defined scenarios. Their centroids are inferred from public statements and analytical frameworks.</w:t>
      </w:r>
    </w:p>
    <w:p>
      <w:pPr>
        <w:pStyle w:val="ListParagraph"/>
        <w:numPr>
          <w:ilvl w:val="0"/>
          <w:numId w:val="2"/>
        </w:numPr>
      </w:pPr>
      <w:r>
        <w:rPr>
          <w:b/>
          <w:bCs/>
        </w:rPr>
        <w:t xml:space="preserve">Correlation structure is heuristic. </w:t>
      </w:r>
      <w:r>
        <w:t xml:space="preserve">The inter-expert correlation matrix is constructed from qualitative assessment of shared frameworks and information sources, not from empirical prediction covariance.</w:t>
      </w:r>
    </w:p>
    <w:p>
      <w:pPr>
        <w:pStyle w:val="ListParagraph"/>
        <w:numPr>
          <w:ilvl w:val="0"/>
          <w:numId w:val="2"/>
        </w:numPr>
      </w:pPr>
      <w:r>
        <w:rPr>
          <w:b/>
          <w:bCs/>
        </w:rPr>
        <w:t xml:space="preserve">Extremely early in the conflict. </w:t>
      </w:r>
      <w:r>
        <w:t xml:space="preserve">This analysis is conducted within 1–3 days of conflict onset. All probabilities should be expected to update rapidly as events unfold. The model is designed to be re-run with updated expert positions and new data.</w:t>
      </w:r>
    </w:p>
    <w:p>
      <w:pPr>
        <w:pStyle w:val="ListParagraph"/>
        <w:numPr>
          <w:ilvl w:val="0"/>
          <w:numId w:val="2"/>
        </w:numPr>
      </w:pPr>
      <w:r>
        <w:rPr>
          <w:b/>
          <w:bCs/>
        </w:rPr>
        <w:t xml:space="preserve">Four scenarios may not be exhaustive. </w:t>
      </w:r>
      <w:r>
        <w:t xml:space="preserve">Hybrid outcomes, phased transitions between scenarios, or outcomes not anticipated by any expert are possible. The four scenarios are a simplifying framework.</w:t>
      </w:r>
    </w:p>
    <w:p>
      <w:pPr>
        <w:pStyle w:val="Heading1"/>
        <w:spacing w:after="180" w:before="360"/>
      </w:pPr>
      <w:r>
        <w:t xml:space="preserve">Appendix: Technical Parameters</w:t>
      </w:r>
    </w:p>
    <w:p>
      <w:pPr>
        <w:pStyle w:val="ListParagraph"/>
        <w:numPr>
          <w:ilvl w:val="0"/>
          <w:numId w:val="2"/>
        </w:numPr>
      </w:pPr>
      <w:r>
        <w:t xml:space="preserve">Monte Carlo draws: N = 100,000</w:t>
      </w:r>
    </w:p>
    <w:p>
      <w:pPr>
        <w:pStyle w:val="ListParagraph"/>
        <w:numPr>
          <w:ilvl w:val="0"/>
          <w:numId w:val="2"/>
        </w:numPr>
      </w:pPr>
      <w:r>
        <w:t xml:space="preserve">Prior on expert reliability: Jeffreys Beta(0.5, 0.5)</w:t>
      </w:r>
    </w:p>
    <w:p>
      <w:pPr>
        <w:pStyle w:val="ListParagraph"/>
        <w:numPr>
          <w:ilvl w:val="0"/>
          <w:numId w:val="2"/>
        </w:numPr>
      </w:pPr>
      <w:r>
        <w:t xml:space="preserve">Expert Dirichlet concentration κ range: 6 (Molyneux) to 16 (Mearsheimer, Vaez)</w:t>
      </w:r>
    </w:p>
    <w:p>
      <w:pPr>
        <w:pStyle w:val="ListParagraph"/>
        <w:numPr>
          <w:ilvl w:val="0"/>
          <w:numId w:val="2"/>
        </w:numPr>
      </w:pPr>
      <w:r>
        <w:t xml:space="preserve">Effective independent experts N_eff = 6.33</w:t>
      </w:r>
    </w:p>
    <w:p>
      <w:pPr>
        <w:pStyle w:val="ListParagraph"/>
        <w:numPr>
          <w:ilvl w:val="0"/>
          <w:numId w:val="2"/>
        </w:numPr>
      </w:pPr>
      <w:r>
        <w:t xml:space="preserve">Extremizing factor d = 0.703</w:t>
      </w:r>
    </w:p>
    <w:p>
      <w:pPr>
        <w:pStyle w:val="ListParagraph"/>
        <w:numPr>
          <w:ilvl w:val="0"/>
          <w:numId w:val="2"/>
        </w:numPr>
      </w:pPr>
      <w:r>
        <w:t xml:space="preserve">Aggregation method for final results: Extremized Linear Pool with correlation adjustment</w:t>
      </w:r>
    </w:p>
    <w:p>
      <w:pPr>
        <w:pStyle w:val="ListParagraph"/>
        <w:numPr>
          <w:ilvl w:val="0"/>
          <w:numId w:val="2"/>
        </w:numPr>
      </w:pPr>
      <w:r>
        <w:t xml:space="preserve">Random seed: 42 (reproducible)</w:t>
      </w:r>
    </w:p>
    <w:p>
      <w:pPr>
        <w:pStyle w:val="ListParagraph"/>
        <w:numPr>
          <w:ilvl w:val="0"/>
          <w:numId w:val="2"/>
        </w:numPr>
      </w:pPr>
      <w:r>
        <w:t xml:space="preserve">HDI computation: direct sorted-sample scan (exact, non-parametric)</w:t>
      </w:r>
    </w:p>
    <w:p>
      <w:pPr>
        <w:pStyle w:val="ListParagraph"/>
        <w:numPr>
          <w:ilvl w:val="0"/>
          <w:numId w:val="2"/>
        </w:numPr>
      </w:pPr>
      <w:r>
        <w:t xml:space="preserve">All code available as companion Python script (full_analysis.py)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999999"/>
        <w:sz w:val="16"/>
        <w:szCs w:val="16"/>
      </w:rPr>
      <w:t xml:space="preserve">Bayesian Expert Aggregation: US-Israel vs Iran Conflict Scenarios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2026-03-01T17:02:19.423Z</dcterms:created>
  <dcterms:modified xsi:type="dcterms:W3CDTF">2026-03-01T17:02:19.424Z</dcterms:modified>
</cp:coreProperties>
</file>

<file path=docProps/custom.xml><?xml version="1.0" encoding="utf-8"?>
<Properties xmlns="http://schemas.openxmlformats.org/officeDocument/2006/custom-properties" xmlns:vt="http://schemas.openxmlformats.org/officeDocument/2006/docPropsVTypes"/>
</file>