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Georgia" w:cs="Georgia" w:eastAsia="Georgia" w:hAnsi="Georgia"/>
          <w:b/>
          <w:bCs/>
          <w:color w:val="1A1A2E"/>
          <w:sz w:val="48"/>
          <w:szCs w:val="48"/>
        </w:rPr>
        <w:t xml:space="preserve">COMBINED STRATEGIC ASSESSMENT</w:t>
      </w:r>
    </w:p>
    <w:p>
      <w:pPr>
        <w:spacing w:after="80"/>
        <w:jc w:val="center"/>
      </w:pPr>
      <w:r>
        <w:rPr>
          <w:rFonts w:ascii="Georgia" w:cs="Georgia" w:eastAsia="Georgia" w:hAnsi="Georgia"/>
          <w:color w:val="2C3E50"/>
          <w:sz w:val="34"/>
          <w:szCs w:val="34"/>
        </w:rPr>
        <w:t xml:space="preserve">The US-Israel War on Iran</w:t>
      </w:r>
    </w:p>
    <w:p>
      <w:pPr>
        <w:spacing w:after="600"/>
        <w:jc w:val="center"/>
      </w:pPr>
      <w:r>
        <w:rPr>
          <w:rFonts w:ascii="Georgia" w:cs="Georgia" w:eastAsia="Georgia" w:hAnsi="Georgia"/>
          <w:i/>
          <w:iCs/>
          <w:color w:val="4A4A6A"/>
          <w:sz w:val="24"/>
          <w:szCs w:val="24"/>
        </w:rPr>
        <w:t xml:space="preserve">A Bayesian Synthesis of Expert Judgment and First-Principles Evidence</w:t>
      </w:r>
    </w:p>
    <w:p>
      <w:pPr>
        <w:pBdr>
          <w:top w:val="single" w:color="2C3E50" w:sz="2" w:space="12"/>
        </w:pBdr>
        <w:spacing w:after="200" w:before="200"/>
        <w:jc w:val="center"/>
      </w:pPr>
      <w:r>
        <w:rPr>
          <w:rFonts w:ascii="Georgia" w:cs="Georgia" w:eastAsia="Georgia" w:hAnsi="Georgia"/>
          <w:color w:val="555555"/>
          <w:sz w:val="20"/>
          <w:szCs w:val="20"/>
        </w:rPr>
        <w:t xml:space="preserve">This report combines two independent analytical frameworks:</w:t>
      </w:r>
    </w:p>
    <w:p>
      <w:pPr>
        <w:spacing w:after="80"/>
        <w:jc w:val="center"/>
      </w:pPr>
      <w:r>
        <w:rPr>
          <w:rFonts w:ascii="Georgia" w:cs="Georgia" w:eastAsia="Georgia" w:hAnsi="Georgia"/>
          <w:b/>
          <w:bCs/>
          <w:color w:val="2C3E50"/>
          <w:sz w:val="20"/>
          <w:szCs w:val="20"/>
        </w:rPr>
        <w:t xml:space="preserve">Top-Down: </w:t>
      </w:r>
      <w:r>
        <w:rPr>
          <w:rFonts w:ascii="Georgia" w:cs="Georgia" w:eastAsia="Georgia" w:hAnsi="Georgia"/>
          <w:color w:val="555555"/>
          <w:sz w:val="20"/>
          <w:szCs w:val="20"/>
        </w:rPr>
        <w:t xml:space="preserve">Bayesian expert aggregation (15 analysts, 113 scored predictions, track-record-weighted)</w:t>
      </w:r>
    </w:p>
    <w:p>
      <w:pPr>
        <w:spacing w:after="80"/>
        <w:jc w:val="center"/>
      </w:pPr>
      <w:r>
        <w:rPr>
          <w:rFonts w:ascii="Georgia" w:cs="Georgia" w:eastAsia="Georgia" w:hAnsi="Georgia"/>
          <w:b/>
          <w:bCs/>
          <w:color w:val="2C3E50"/>
          <w:sz w:val="20"/>
          <w:szCs w:val="20"/>
        </w:rPr>
        <w:t xml:space="preserve">Bottom-Up: </w:t>
      </w:r>
      <w:r>
        <w:rPr>
          <w:rFonts w:ascii="Georgia" w:cs="Georgia" w:eastAsia="Georgia" w:hAnsi="Georgia"/>
          <w:color w:val="555555"/>
          <w:sz w:val="20"/>
          <w:szCs w:val="20"/>
        </w:rPr>
        <w:t xml:space="preserve">First-principles analysis (combat data, engineering constraints, economic modeling, 86 sources)</w:t>
      </w:r>
    </w:p>
    <w:p>
      <w:pPr>
        <w:spacing w:after="600"/>
        <w:jc w:val="center"/>
      </w:pPr>
      <w:r>
        <w:rPr>
          <w:rFonts w:ascii="Georgia" w:cs="Georgia" w:eastAsia="Georgia" w:hAnsi="Georgia"/>
          <w:b/>
          <w:bCs/>
          <w:color w:val="1A1A2E"/>
          <w:sz w:val="20"/>
          <w:szCs w:val="20"/>
        </w:rPr>
        <w:t xml:space="preserve">Synthesis: Prior (expert consensus) × Likelihood (hard evidence) = Updated Posterior</w:t>
      </w:r>
    </w:p>
    <w:p>
      <w:pPr>
        <w:spacing w:after="60"/>
        <w:jc w:val="center"/>
      </w:pPr>
      <w:r>
        <w:rPr>
          <w:rFonts w:ascii="Georgia" w:cs="Georgia" w:eastAsia="Georgia" w:hAnsi="Georgia"/>
          <w:color w:val="888888"/>
          <w:sz w:val="20"/>
          <w:szCs w:val="20"/>
        </w:rPr>
        <w:t xml:space="preserve">March 2, 2026</w:t>
      </w:r>
    </w:p>
    <w:p>
      <w:pPr>
        <w:sectPr>
          <w:pgSz w:w="12240" w:h="15840" w:orient="portrait"/>
          <w:pgMar w:top="1440" w:right="1440" w:bottom="1440" w:left="1440" w:header="708" w:footer="708" w:gutter="0"/>
          <w:pgNumType/>
          <w:docGrid w:linePitch="360"/>
        </w:sectPr>
      </w:pPr>
    </w:p>
    <w:p>
      <w:pPr>
        <w:pStyle w:val="Heading1"/>
        <w:spacing w:after="160" w:before="360"/>
      </w:pPr>
      <w:r>
        <w:rPr>
          <w:rFonts w:ascii="Georgia" w:cs="Georgia" w:eastAsia="Georgia" w:hAnsi="Georgia"/>
          <w:b/>
          <w:bCs/>
          <w:color w:val="1A1A2E"/>
          <w:sz w:val="32"/>
          <w:szCs w:val="32"/>
        </w:rPr>
        <w:t xml:space="preserve">Part 1: Why and How to Combine These Two Reports</w:t>
      </w:r>
    </w:p>
    <w:p>
      <w:pPr>
        <w:pStyle w:val="Heading2"/>
        <w:spacing w:after="160" w:before="240"/>
      </w:pPr>
      <w:r>
        <w:rPr>
          <w:rFonts w:ascii="Georgia" w:cs="Georgia" w:eastAsia="Georgia" w:hAnsi="Georgia"/>
          <w:b/>
          <w:bCs/>
          <w:color w:val="2C3E50"/>
          <w:sz w:val="26"/>
          <w:szCs w:val="26"/>
        </w:rPr>
        <w:t xml:space="preserve">1.1 The Complementarity Argument</w:t>
      </w:r>
    </w:p>
    <w:p>
      <w:pPr>
        <w:spacing w:after="160"/>
        <w:jc w:val="both"/>
      </w:pPr>
      <w:r>
        <w:rPr>
          <w:rFonts w:ascii="Georgia" w:cs="Georgia" w:eastAsia="Georgia" w:hAnsi="Georgia"/>
          <w:sz w:val="22"/>
          <w:szCs w:val="22"/>
        </w:rPr>
        <w:t xml:space="preserve">This report synthesizes two independent analytical frameworks that have different strengths and different blind spots. Rather than simply concatenating them, we use a principled Bayesian approach in which the expert consensus serves as a </w:t>
      </w:r>
      <w:r>
        <w:rPr>
          <w:rFonts w:ascii="Georgia" w:cs="Georgia" w:eastAsia="Georgia" w:hAnsi="Georgia"/>
          <w:b/>
          <w:bCs/>
          <w:sz w:val="22"/>
          <w:szCs w:val="22"/>
        </w:rPr>
        <w:t xml:space="preserve">prior distribution</w:t>
      </w:r>
      <w:r>
        <w:rPr>
          <w:rFonts w:ascii="Georgia" w:cs="Georgia" w:eastAsia="Georgia" w:hAnsi="Georgia"/>
          <w:sz w:val="22"/>
          <w:szCs w:val="22"/>
        </w:rPr>
        <w:t xml:space="preserve"> and the first-principles evidence serves as a </w:t>
      </w:r>
      <w:r>
        <w:rPr>
          <w:rFonts w:ascii="Georgia" w:cs="Georgia" w:eastAsia="Georgia" w:hAnsi="Georgia"/>
          <w:b/>
          <w:bCs/>
          <w:sz w:val="22"/>
          <w:szCs w:val="22"/>
        </w:rPr>
        <w:t xml:space="preserve">likelihood update</w:t>
      </w:r>
      <w:r>
        <w:rPr>
          <w:rFonts w:ascii="Georgia" w:cs="Georgia" w:eastAsia="Georgia" w:hAnsi="Georgia"/>
          <w:sz w:val="22"/>
          <w:szCs w:val="22"/>
        </w:rPr>
        <w:t xml:space="preserve">, producing an </w:t>
      </w:r>
      <w:r>
        <w:rPr>
          <w:rFonts w:ascii="Georgia" w:cs="Georgia" w:eastAsia="Georgia" w:hAnsi="Georgia"/>
          <w:b/>
          <w:bCs/>
          <w:sz w:val="22"/>
          <w:szCs w:val="22"/>
        </w:rPr>
        <w:t xml:space="preserve">updated posterior</w:t>
      </w:r>
      <w:r>
        <w:rPr>
          <w:rFonts w:ascii="Georgia" w:cs="Georgia" w:eastAsia="Georgia" w:hAnsi="Georgia"/>
          <w:sz w:val="22"/>
          <w:szCs w:val="22"/>
        </w:rPr>
        <w:t xml:space="preserve"> that combines the strengths of both.</w:t>
      </w:r>
    </w:p>
    <w:p>
      <w:pPr>
        <w:spacing w:after="160"/>
        <w:jc w:val="both"/>
      </w:pPr>
      <w:r>
        <w:rPr>
          <w:rFonts w:ascii="Georgia" w:cs="Georgia" w:eastAsia="Georgia" w:hAnsi="Georgia"/>
          <w:b/>
          <w:bCs/>
          <w:sz w:val="22"/>
          <w:szCs w:val="22"/>
        </w:rPr>
        <w:t xml:space="preserve">The expert model (top-down) </w:t>
      </w:r>
      <w:r>
        <w:rPr>
          <w:rFonts w:ascii="Georgia" w:cs="Georgia" w:eastAsia="Georgia" w:hAnsi="Georgia"/>
          <w:sz w:val="22"/>
          <w:szCs w:val="22"/>
        </w:rPr>
        <w:t xml:space="preserve">aggregates the judgment of 15 foreign policy analysts — hawks and doves alike — weighted by their empirical track records across 113 scored predictions. It is strong on historical pattern recognition, political judgment about regime behavior, and analogical reasoning from Iraq, Afghanistan, and Libya. Its weakness is that most expert publications predate the actual combat data from June 2025 and February 2026 — the experts made their predictions before seeing interceptor depletion rates, bunker-buster penetration results, or the Strait of Hormuz disruption unfold in real time.</w:t>
      </w:r>
    </w:p>
    <w:p>
      <w:pPr>
        <w:spacing w:after="160"/>
        <w:jc w:val="both"/>
      </w:pPr>
      <w:r>
        <w:rPr>
          <w:rFonts w:ascii="Georgia" w:cs="Georgia" w:eastAsia="Georgia" w:hAnsi="Georgia"/>
          <w:b/>
          <w:bCs/>
          <w:sz w:val="22"/>
          <w:szCs w:val="22"/>
        </w:rPr>
        <w:t xml:space="preserve">The first-principles analysis (bottom-up) </w:t>
      </w:r>
      <w:r>
        <w:rPr>
          <w:rFonts w:ascii="Georgia" w:cs="Georgia" w:eastAsia="Georgia" w:hAnsi="Georgia"/>
          <w:sz w:val="22"/>
          <w:szCs w:val="22"/>
        </w:rPr>
        <w:t xml:space="preserve">derives conclusions from engineering constraints, combat-tested performance data, interceptor arithmetic, cost asymmetries, and economic modeling drawn from 86 sources across 12+ countries. These are facts that don’t depend on anyone’s judgment: a THAAD interceptor costs $12.7 million or it doesn’t; the GBU-57 penetrated 7.9 meters of rock or it didn’t; the Strait of Hormuz carries 20 million barrels per day or it doesn’t. This analysis is strong on specific technical constraints but weak on the kind of political-strategic judgment that comes from decades of regional expertise.</w:t>
      </w:r>
    </w:p>
    <w:p>
      <w:pPr>
        <w:pStyle w:val="Heading2"/>
        <w:spacing w:after="160" w:before="240"/>
      </w:pPr>
      <w:r>
        <w:rPr>
          <w:rFonts w:ascii="Georgia" w:cs="Georgia" w:eastAsia="Georgia" w:hAnsi="Georgia"/>
          <w:b/>
          <w:bCs/>
          <w:color w:val="2C3E50"/>
          <w:sz w:val="26"/>
          <w:szCs w:val="26"/>
        </w:rPr>
        <w:t xml:space="preserve">1.2 The Bayesian Update: Prior × Likelihood = Posterior</w:t>
      </w:r>
    </w:p>
    <w:p>
      <w:pPr>
        <w:spacing w:after="160"/>
        <w:jc w:val="both"/>
      </w:pPr>
      <w:r>
        <w:rPr>
          <w:rFonts w:ascii="Georgia" w:cs="Georgia" w:eastAsia="Georgia" w:hAnsi="Georgia"/>
          <w:sz w:val="22"/>
          <w:szCs w:val="22"/>
        </w:rPr>
        <w:t xml:space="preserve">The mathematical framework is straightforward. For each of four scenarios S, the expert consensus gives us P(S | expert_judgment) — this is our prior. The first-principles evidence E provides independent information about each scenario’s plausibility. We assess the likelihood ratio: how much more or less likely is this evidence under each scenario? The updated probability is then proportional to the prior times the likelihood:</w:t>
      </w:r>
    </w:p>
    <w:p>
      <w:pPr>
        <w:spacing w:after="160"/>
        <w:jc w:val="center"/>
      </w:pPr>
      <w:r>
        <w:rPr>
          <w:rFonts w:ascii="Georgia" w:cs="Georgia" w:eastAsia="Georgia" w:hAnsi="Georgia"/>
          <w:i/>
          <w:iCs/>
          <w:sz w:val="22"/>
          <w:szCs w:val="22"/>
        </w:rPr>
        <w:t xml:space="preserve">P(scenario | experts, evidence) ∝ P(scenario | experts) × P(evidence | scenario)</w:t>
      </w:r>
    </w:p>
    <w:p>
      <w:pPr>
        <w:spacing w:after="160"/>
        <w:jc w:val="both"/>
      </w:pPr>
      <w:r>
        <w:rPr>
          <w:rFonts w:ascii="Georgia" w:cs="Georgia" w:eastAsia="Georgia" w:hAnsi="Georgia"/>
          <w:sz w:val="22"/>
          <w:szCs w:val="22"/>
        </w:rPr>
        <w:t xml:space="preserve">The critical question is whether the first-principles evidence is genuinely </w:t>
      </w:r>
      <w:r>
        <w:rPr>
          <w:rFonts w:ascii="Georgia" w:cs="Georgia" w:eastAsia="Georgia" w:hAnsi="Georgia"/>
          <w:i/>
          <w:iCs/>
          <w:sz w:val="22"/>
          <w:szCs w:val="22"/>
        </w:rPr>
        <w:t xml:space="preserve">independent</w:t>
      </w:r>
      <w:r>
        <w:rPr>
          <w:rFonts w:ascii="Georgia" w:cs="Georgia" w:eastAsia="Georgia" w:hAnsi="Georgia"/>
          <w:sz w:val="22"/>
          <w:szCs w:val="22"/>
        </w:rPr>
        <w:t xml:space="preserve"> of the expert opinions. We argue it largely is, for three reasons. First, the combat data from 2025–2026 postdates most expert publications. Second, engineering-level details (interceptor production rates, MOP penetration physics, mine-clearing rates) are outside most political scientists’ analytical domain. Third, the cost-asymmetry mathematics (50:1 to 600:1 drone-to-interceptor ratios) represents a structural constraint that doesn’t depend on anyone’s political judgment.</w:t>
      </w:r>
    </w:p>
    <w:p>
      <w:pPr>
        <w:spacing w:after="160"/>
        <w:jc w:val="both"/>
      </w:pPr>
      <w:r>
        <w:rPr>
          <w:rFonts w:ascii="Georgia" w:cs="Georgia" w:eastAsia="Georgia" w:hAnsi="Georgia"/>
          <w:sz w:val="22"/>
          <w:szCs w:val="22"/>
        </w:rPr>
        <w:t xml:space="preserve">Where the evidence is </w:t>
      </w:r>
      <w:r>
        <w:rPr>
          <w:rFonts w:ascii="Georgia" w:cs="Georgia" w:eastAsia="Georgia" w:hAnsi="Georgia"/>
          <w:i/>
          <w:iCs/>
          <w:sz w:val="22"/>
          <w:szCs w:val="22"/>
        </w:rPr>
        <w:t xml:space="preserve">not</w:t>
      </w:r>
      <w:r>
        <w:rPr>
          <w:rFonts w:ascii="Georgia" w:cs="Georgia" w:eastAsia="Georgia" w:hAnsi="Georgia"/>
          <w:sz w:val="22"/>
          <w:szCs w:val="22"/>
        </w:rPr>
        <w:t xml:space="preserve"> fully independent — for example, the experts already knew Iran is geographically large and the IRGC deeply embedded — we assign weaker likelihood ratios, reflecting modest rather than dramatic updating. This is intellectually honest: we only update strongly where the evidence is genuinely new.</w:t>
      </w:r>
    </w:p>
    <w:p>
      <w:r>
        <w:br w:type="page"/>
      </w:r>
    </w:p>
    <w:p>
      <w:pPr>
        <w:pStyle w:val="Heading1"/>
        <w:spacing w:after="160" w:before="360"/>
      </w:pPr>
      <w:r>
        <w:rPr>
          <w:rFonts w:ascii="Georgia" w:cs="Georgia" w:eastAsia="Georgia" w:hAnsi="Georgia"/>
          <w:b/>
          <w:bCs/>
          <w:color w:val="1A1A2E"/>
          <w:sz w:val="32"/>
          <w:szCs w:val="32"/>
        </w:rPr>
        <w:t xml:space="preserve">Part 2: The Expert Prior (Top-Down)</w:t>
      </w:r>
    </w:p>
    <w:p>
      <w:pPr>
        <w:spacing w:after="160"/>
        <w:jc w:val="both"/>
      </w:pPr>
      <w:r>
        <w:rPr>
          <w:rFonts w:ascii="Georgia" w:cs="Georgia" w:eastAsia="Georgia" w:hAnsi="Georgia"/>
          <w:sz w:val="22"/>
          <w:szCs w:val="22"/>
        </w:rPr>
        <w:t xml:space="preserve">The Bayesian expert model scored 113 specific, falsifiable predictions by 15 analysts across the full ideological spectrum (7 dovish, 6 hawkish, 2 independent). Each expert’s reliability was modeled as a Beta distribution posterior using Jeffreys prior Beta(0.5, 0.5). Scenario forecasts used Dirichlet distributions with correlation-adjusted aggregation (Satopää et al. 2014 extremization method). 100,000 Monte Carlo draws with random seed 42.</w:t>
      </w:r>
    </w:p>
    <w:p>
      <w:pPr>
        <w:pStyle w:val="Heading2"/>
        <w:spacing w:after="160" w:before="240"/>
      </w:pPr>
      <w:r>
        <w:rPr>
          <w:rFonts w:ascii="Georgia" w:cs="Georgia" w:eastAsia="Georgia" w:hAnsi="Georgia"/>
          <w:b/>
          <w:bCs/>
          <w:color w:val="2C3E50"/>
          <w:sz w:val="26"/>
          <w:szCs w:val="26"/>
        </w:rPr>
        <w:t xml:space="preserve">2.1 Expert Reliability Rankings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800"/>
        <w:gridCol w:w="1200"/>
        <w:gridCol w:w="1800"/>
      </w:tblGrid>
      <w:tr>
        <w:tc>
          <w:tcPr>
            <w:tcW w:type="dxa" w:w="1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Expert</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Affiliation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Camp</w:t>
            </w:r>
          </w:p>
        </w:tc>
        <w:tc>
          <w:tcPr>
            <w:tcW w:type="dxa" w:w="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Accuracy</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Key Strength</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Mearsheimer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U. Chicago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1B7340"/>
                <w:sz w:val="18"/>
                <w:szCs w:val="18"/>
              </w:rPr>
              <w:t xml:space="preserve">86.1%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Iraq, intervention blowback</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Vaez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Intl Crisis Group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1B7340"/>
                <w:sz w:val="18"/>
                <w:szCs w:val="18"/>
              </w:rPr>
              <w:t xml:space="preserve">82.1%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Iran nuclear dynamics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Kinzer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Boston Univ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Dovish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1B7340"/>
                <w:sz w:val="18"/>
                <w:szCs w:val="18"/>
              </w:rPr>
              <w:t xml:space="preserve">78.1%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Regime change history</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Ben Taleblu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FDD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2E6DA4"/>
                <w:sz w:val="18"/>
                <w:szCs w:val="18"/>
              </w:rPr>
              <w:t xml:space="preserve">71.9%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Iran missiles &amp; drones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Takeyh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CFR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2E6DA4"/>
                <w:sz w:val="18"/>
                <w:szCs w:val="18"/>
              </w:rPr>
              <w:t xml:space="preserve">66.7%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Regime depth analysis</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Dubowitz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FDD (CEO)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63.9%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Sanctions architecture</w:t>
            </w:r>
          </w:p>
        </w:tc>
      </w:tr>
      <w:tr>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Gerecht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FDD / Ex-CIA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Hawkish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33.3%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Wrong on Iraq stability</w:t>
            </w:r>
          </w:p>
        </w:tc>
      </w:tr>
    </w:tbl>
    <w:p>
      <w:pPr>
        <w:pStyle w:val="Heading2"/>
        <w:spacing w:after="160" w:before="240"/>
      </w:pPr>
      <w:r>
        <w:rPr>
          <w:rFonts w:ascii="Georgia" w:cs="Georgia" w:eastAsia="Georgia" w:hAnsi="Georgia"/>
          <w:b/>
          <w:bCs/>
          <w:color w:val="2C3E50"/>
          <w:sz w:val="26"/>
          <w:szCs w:val="26"/>
        </w:rPr>
        <w:t xml:space="preserve">2.2 The Expert Consensus Prior</w:t>
      </w:r>
    </w:p>
    <w:p>
      <w:pPr>
        <w:spacing w:after="160"/>
        <w:jc w:val="both"/>
      </w:pPr>
      <w:r>
        <w:rPr>
          <w:rFonts w:ascii="Georgia" w:cs="Georgia" w:eastAsia="Georgia" w:hAnsi="Georgia"/>
          <w:sz w:val="22"/>
          <w:szCs w:val="22"/>
        </w:rPr>
        <w:t xml:space="preserve">The extremized, correlation-adjusted consensus across 100,000 Monte Carlo draws: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400"/>
        <w:gridCol w:w="1100"/>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Scenario</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Probability</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80% HDI</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95% HDI</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Std Dev</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Prolonged Quagmire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18"/>
                <w:szCs w:val="18"/>
              </w:rPr>
              <w:t xml:space="preserve">52.3%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45.1–59.7%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41.2–63.4%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5.7%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Stalemate / De-escalation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21.9%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15.7–27.2%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13.5–31.1%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4.5%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Catastrophic Spread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11.2–21.2%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9.2–24.5%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4.0%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Quick Win / Regime Change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9.2%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5.4–12.2%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4.3–14.8%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2.8%</w:t>
            </w:r>
          </w:p>
        </w:tc>
      </w:tr>
    </w:tbl>
    <w:p>
      <w:pPr>
        <w:spacing w:after="160"/>
        <w:jc w:val="both"/>
      </w:pPr>
      <w:r>
        <w:rPr>
          <w:rFonts w:ascii="Georgia" w:cs="Georgia" w:eastAsia="Georgia" w:hAnsi="Georgia"/>
          <w:b/>
          <w:bCs/>
          <w:sz w:val="22"/>
          <w:szCs w:val="22"/>
        </w:rPr>
        <w:t xml:space="preserve">Key finding from the expert model: </w:t>
      </w:r>
      <w:r>
        <w:rPr>
          <w:rFonts w:ascii="Georgia" w:cs="Georgia" w:eastAsia="Georgia" w:hAnsi="Georgia"/>
          <w:sz w:val="22"/>
          <w:szCs w:val="22"/>
        </w:rPr>
        <w:t xml:space="preserve">Prolonged quagmire is the dominant outcome at 52.3%, and this result is remarkably robust — it barely moved when hawks were added to the panel (from 56.9% with 10 doves-only down to 52.3% with all 15). Even the highest-accuracy hawks (Takeyh, Ben Taleblu) explicitly argue that airpower alone cannot topple the Iranian regime. Quick regime change has only a 9.2% probability because the experts who assign it the highest odds (Dubowitz at 30%, Gerecht at 25%) also have weaker track records.</w:t>
      </w:r>
    </w:p>
    <w:p>
      <w:r>
        <w:br w:type="page"/>
      </w:r>
    </w:p>
    <w:p>
      <w:pPr>
        <w:pStyle w:val="Heading1"/>
        <w:spacing w:after="160" w:before="360"/>
      </w:pPr>
      <w:r>
        <w:rPr>
          <w:rFonts w:ascii="Georgia" w:cs="Georgia" w:eastAsia="Georgia" w:hAnsi="Georgia"/>
          <w:b/>
          <w:bCs/>
          <w:color w:val="1A1A2E"/>
          <w:sz w:val="32"/>
          <w:szCs w:val="32"/>
        </w:rPr>
        <w:t xml:space="preserve">Part 3: The First-Principles Evidence (Bottom-Up)</w:t>
      </w:r>
    </w:p>
    <w:p>
      <w:pPr>
        <w:spacing w:after="160"/>
        <w:jc w:val="both"/>
      </w:pPr>
      <w:r>
        <w:rPr>
          <w:rFonts w:ascii="Georgia" w:cs="Georgia" w:eastAsia="Georgia" w:hAnsi="Georgia"/>
          <w:sz w:val="22"/>
          <w:szCs w:val="22"/>
        </w:rPr>
        <w:t xml:space="preserve">The first-principles analysis identified eight major evidence clusters that provide genuinely independent information beyond what the experts would have incorporated into their pre-war assessments. For each, we state the evidence, assess its reliability, and determine which scenarios it favors or disfavors.</w:t>
      </w:r>
    </w:p>
    <w:p>
      <w:pPr>
        <w:pStyle w:val="Heading2"/>
        <w:spacing w:after="160" w:before="240"/>
      </w:pPr>
      <w:r>
        <w:rPr>
          <w:rFonts w:ascii="Georgia" w:cs="Georgia" w:eastAsia="Georgia" w:hAnsi="Georgia"/>
          <w:b/>
          <w:bCs/>
          <w:color w:val="2C3E50"/>
          <w:sz w:val="26"/>
          <w:szCs w:val="26"/>
        </w:rPr>
        <w:t xml:space="preserve">3.1 Interceptor Depletion Arithmetic</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The June 2025 Twelve-Day War consumed approximately 150 THAAD interceptors (25% of the total US stockpile), 80 SM-3 missiles, and 34+ Arrow-3 interceptors. Production rates: THAAD at 11–37/year, SM-3 Block IIA at 12/year. Replacement timeline: 3–8 years. By Day 6, Israel was reportedly running low on Arrow interceptors.</w:t>
      </w:r>
    </w:p>
    <w:p>
      <w:pPr>
        <w:spacing w:after="160"/>
        <w:jc w:val="both"/>
      </w:pPr>
      <w:r>
        <w:rPr>
          <w:rFonts w:ascii="Georgia" w:cs="Georgia" w:eastAsia="Georgia" w:hAnsi="Georgia"/>
          <w:b/>
          <w:bCs/>
          <w:sz w:val="22"/>
          <w:szCs w:val="22"/>
        </w:rPr>
        <w:t xml:space="preserve">Reliability: HIGH. </w:t>
      </w:r>
      <w:r>
        <w:rPr>
          <w:rFonts w:ascii="Georgia" w:cs="Georgia" w:eastAsia="Georgia" w:hAnsi="Georgia"/>
          <w:sz w:val="22"/>
          <w:szCs w:val="22"/>
        </w:rPr>
        <w:t xml:space="preserve">This evidence comes from CNN reporting confirmed by Defence Security Asia, FPRI analysis, and Arms Control Wonk calculations. Interceptor production rates are verifiable from Pentagon budget documents. These numbers are hard to manipulate — you either have the missiles or you don’t.</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Strongly favors Quagmire and Catastrophic Spread, strongly disfavors Quick Win. If defensive ammunition runs out in days but the conflict persists for weeks, the defender must either accept hits or find off-ramps. This constraint was likely </w:t>
      </w:r>
      <w:r>
        <w:rPr>
          <w:rFonts w:ascii="Georgia" w:cs="Georgia" w:eastAsia="Georgia" w:hAnsi="Georgia"/>
          <w:i/>
          <w:iCs/>
          <w:sz w:val="22"/>
          <w:szCs w:val="22"/>
        </w:rPr>
        <w:t xml:space="preserve">underweighted</w:t>
      </w:r>
      <w:r>
        <w:rPr>
          <w:rFonts w:ascii="Georgia" w:cs="Georgia" w:eastAsia="Georgia" w:hAnsi="Georgia"/>
          <w:sz w:val="22"/>
          <w:szCs w:val="22"/>
        </w:rPr>
        <w:t xml:space="preserve"> by political-science experts who think in terms of political will rather than magazine depth.</w:t>
      </w:r>
    </w:p>
    <w:p>
      <w:pPr>
        <w:pStyle w:val="Heading2"/>
        <w:spacing w:after="160" w:before="240"/>
      </w:pPr>
      <w:r>
        <w:rPr>
          <w:rFonts w:ascii="Georgia" w:cs="Georgia" w:eastAsia="Georgia" w:hAnsi="Georgia"/>
          <w:b/>
          <w:bCs/>
          <w:color w:val="2C3E50"/>
          <w:sz w:val="26"/>
          <w:szCs w:val="26"/>
        </w:rPr>
        <w:t xml:space="preserve">3.2 GBU-57 Penetration Failure</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The GBU-57 Massive Ordnance Penetrator achieved approximately 7.9 meters of penetration in medium-strength rock — far below the claimed 60 meters and drastically below Fordow’s 80–90 meter burial depth. The Pentagon’s initial damage assessment at Fordow was “low confidence.” Only approximately 6 MOPs remain in inventory; Boeing replenishment not expected until January 2028.</w:t>
      </w:r>
    </w:p>
    <w:p>
      <w:pPr>
        <w:spacing w:after="160"/>
        <w:jc w:val="both"/>
      </w:pPr>
      <w:r>
        <w:rPr>
          <w:rFonts w:ascii="Georgia" w:cs="Georgia" w:eastAsia="Georgia" w:hAnsi="Georgia"/>
          <w:b/>
          <w:bCs/>
          <w:sz w:val="22"/>
          <w:szCs w:val="22"/>
        </w:rPr>
        <w:t xml:space="preserve">Reliability: MEDIUM-HIGH. </w:t>
      </w:r>
      <w:r>
        <w:rPr>
          <w:rFonts w:ascii="Georgia" w:cs="Georgia" w:eastAsia="Georgia" w:hAnsi="Georgia"/>
          <w:sz w:val="22"/>
          <w:szCs w:val="22"/>
        </w:rPr>
        <w:t xml:space="preserve">Penetration physics are calculable from publicly available rock mechanics equations. The “low confidence” DIA assessment was reported by multiple outlets. Iran’s immediate construction of “Pickaxe Mountain” at 80–100m depth under granite suggests they believe Fordow was not fully destroyed.</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Strongly disfavors Quick Win. If the core nuclear infrastructure survived the best weapon available, the stated objective of the war (preventing an Iranian bomb) may be unachievable through airpower. Also favors Quagmire by extending the timeline for military operations.</w:t>
      </w:r>
    </w:p>
    <w:p>
      <w:pPr>
        <w:pStyle w:val="Heading2"/>
        <w:spacing w:after="160" w:before="240"/>
      </w:pPr>
      <w:r>
        <w:rPr>
          <w:rFonts w:ascii="Georgia" w:cs="Georgia" w:eastAsia="Georgia" w:hAnsi="Georgia"/>
          <w:b/>
          <w:bCs/>
          <w:color w:val="2C3E50"/>
          <w:sz w:val="26"/>
          <w:szCs w:val="26"/>
        </w:rPr>
        <w:t xml:space="preserve">3.3 The 50:1 to 600:1 Cost Asymmetry</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A Shahed-136 drone costs $20,000–$50,000. A THAAD interceptor costs $12.7 million. The ratio ranges from 250:1 to 635:1 favoring the attacker. Even for ballistic missiles, costs favor offense. Iran’s drone stockpile was estimated at 80,000 units (likely inflated, but production capacity of 1,000+ per month is corroborated by Ukrainian theater data).</w:t>
      </w:r>
    </w:p>
    <w:p>
      <w:pPr>
        <w:spacing w:after="160"/>
        <w:jc w:val="both"/>
      </w:pPr>
      <w:r>
        <w:rPr>
          <w:rFonts w:ascii="Georgia" w:cs="Georgia" w:eastAsia="Georgia" w:hAnsi="Georgia"/>
          <w:b/>
          <w:bCs/>
          <w:sz w:val="22"/>
          <w:szCs w:val="22"/>
        </w:rPr>
        <w:t xml:space="preserve">Reliability: HIGH. </w:t>
      </w:r>
      <w:r>
        <w:rPr>
          <w:rFonts w:ascii="Georgia" w:cs="Georgia" w:eastAsia="Georgia" w:hAnsi="Georgia"/>
          <w:sz w:val="22"/>
          <w:szCs w:val="22"/>
        </w:rPr>
        <w:t xml:space="preserve">Cost figures are from Pentagon procurement documents and OSINT analysis. The Ukraine theater provides 38,000+ Shahed employment data points. This is pure arithmetic: the attacker can produce offensive weapons faster and cheaper than the defender can produce interceptors.</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Strongly favors Quagmire. In any prolonged conflict, the side with cheaper weapons and higher production rates gains an attritional advantage. This was the central lesson of the Russia-Ukraine drone war, now validated in the Iran-Israel context.</w:t>
      </w:r>
    </w:p>
    <w:p>
      <w:pPr>
        <w:pStyle w:val="Heading2"/>
        <w:spacing w:after="160" w:before="240"/>
      </w:pPr>
      <w:r>
        <w:rPr>
          <w:rFonts w:ascii="Georgia" w:cs="Georgia" w:eastAsia="Georgia" w:hAnsi="Georgia"/>
          <w:b/>
          <w:bCs/>
          <w:color w:val="2C3E50"/>
          <w:sz w:val="26"/>
          <w:szCs w:val="26"/>
        </w:rPr>
        <w:t xml:space="preserve">3.4 Iran’s Rapid Reconstitution with Chinese/Russian Support</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Within 8 months of the June 2025 strikes, Iran rebuilt 1,500–2,500 ballistic missiles (from a pre-war baseline of 2,500–3,000). China shipped 1,000 tons of sodium perchlorate (solid rocket fuel), 16 military cargo flights delivered HQ-9B air defense systems, and Iran switched to China’s BeiDou navigation system. Russia delivered S-400 systems and signed a $589M air defense rebuild contract. A CRINK (China-Russia-Iran-North Korea) trilateral strategic charter was signed in January 2026.</w:t>
      </w:r>
    </w:p>
    <w:p>
      <w:pPr>
        <w:spacing w:after="160"/>
        <w:jc w:val="both"/>
      </w:pPr>
      <w:r>
        <w:rPr>
          <w:rFonts w:ascii="Georgia" w:cs="Georgia" w:eastAsia="Georgia" w:hAnsi="Georgia"/>
          <w:b/>
          <w:bCs/>
          <w:sz w:val="22"/>
          <w:szCs w:val="22"/>
        </w:rPr>
        <w:t xml:space="preserve">Reliability: MEDIUM. </w:t>
      </w:r>
      <w:r>
        <w:rPr>
          <w:rFonts w:ascii="Georgia" w:cs="Georgia" w:eastAsia="Georgia" w:hAnsi="Georgia"/>
          <w:sz w:val="22"/>
          <w:szCs w:val="22"/>
        </w:rPr>
        <w:t xml:space="preserve">Reconstitution estimates vary by source (Israeli intelligence vs. independent analysts). Chinese supply chain data is partially confirmed by ship-tracking databases and Alma Center analysis. The speed of reconstitution is harder to verify but consistent with known Iranian production infrastructure.</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Favors Quagmire and disfavors Quick Win. Each round of strikes is followed by rapid rebuilding, suggesting a whack-a-mole dynamic in which military objectives require repeated operations. Also slightly favors Catastrophic Spread by introducing great-power supply chains into the conflict.</w:t>
      </w:r>
    </w:p>
    <w:p>
      <w:pPr>
        <w:pStyle w:val="Heading2"/>
        <w:spacing w:after="160" w:before="240"/>
      </w:pPr>
      <w:r>
        <w:rPr>
          <w:rFonts w:ascii="Georgia" w:cs="Georgia" w:eastAsia="Georgia" w:hAnsi="Georgia"/>
          <w:b/>
          <w:bCs/>
          <w:color w:val="2C3E50"/>
          <w:sz w:val="26"/>
          <w:szCs w:val="26"/>
        </w:rPr>
        <w:t xml:space="preserve">3.5 Strait of Hormuz: The Economic Doomsday Device</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The Strait handles 20 million barrels/day (20% of global petroleum). As of March 2, 2026, it is effectively disrupted: 150+ tankers anchored, insurance premiums surged 50%. Iran has 5,000–6,000+ naval mines; the US has just 4 mine countermeasure vessels against an estimated need of 16. Oil at $120–$200/barrel would add 3.9–5.2 percentage points to global inflation. A closure exceeding 30 days yields &gt;75% recession probability.</w:t>
      </w:r>
    </w:p>
    <w:p>
      <w:pPr>
        <w:spacing w:after="160"/>
        <w:jc w:val="both"/>
      </w:pPr>
      <w:r>
        <w:rPr>
          <w:rFonts w:ascii="Georgia" w:cs="Georgia" w:eastAsia="Georgia" w:hAnsi="Georgia"/>
          <w:b/>
          <w:bCs/>
          <w:sz w:val="22"/>
          <w:szCs w:val="22"/>
        </w:rPr>
        <w:t xml:space="preserve">Reliability: HIGH. </w:t>
      </w:r>
      <w:r>
        <w:rPr>
          <w:rFonts w:ascii="Georgia" w:cs="Georgia" w:eastAsia="Georgia" w:hAnsi="Georgia"/>
          <w:sz w:val="22"/>
          <w:szCs w:val="22"/>
        </w:rPr>
        <w:t xml:space="preserve">Shipping and oil flow data from EIA, Kpler, and Logistics Middle East. Mine inventory estimates from CRS and CIMSEC. Insurance market data is real-time and non-manipulable. The economic modeling uses established IMF price-inflation elasticities.</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Favors Stalemate/De-escalation (by creating irresistible pressure for off-ramps) AND Catastrophic Spread (if off-ramps fail). The Hormuz economics create a clock: every day of disruption increases global economic damage, which increases pressure on </w:t>
      </w:r>
      <w:r>
        <w:rPr>
          <w:rFonts w:ascii="Georgia" w:cs="Georgia" w:eastAsia="Georgia" w:hAnsi="Georgia"/>
          <w:i/>
          <w:iCs/>
          <w:sz w:val="22"/>
          <w:szCs w:val="22"/>
        </w:rPr>
        <w:t xml:space="preserve">both</w:t>
      </w:r>
      <w:r>
        <w:rPr>
          <w:rFonts w:ascii="Georgia" w:cs="Georgia" w:eastAsia="Georgia" w:hAnsi="Georgia"/>
          <w:sz w:val="22"/>
          <w:szCs w:val="22"/>
        </w:rPr>
        <w:t xml:space="preserve"> sides. This was likely underweighted by experts who assessed scenarios before the Strait was actually disrupted.</w:t>
      </w:r>
    </w:p>
    <w:p>
      <w:pPr>
        <w:pStyle w:val="Heading2"/>
        <w:spacing w:after="160" w:before="240"/>
      </w:pPr>
      <w:r>
        <w:rPr>
          <w:rFonts w:ascii="Georgia" w:cs="Georgia" w:eastAsia="Georgia" w:hAnsi="Georgia"/>
          <w:b/>
          <w:bCs/>
          <w:color w:val="2C3E50"/>
          <w:sz w:val="26"/>
          <w:szCs w:val="26"/>
        </w:rPr>
        <w:t xml:space="preserve">3.6 Khamenei’s Death: Succession Crisis</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Supreme Leader Khamenei was killed on February 28, 2026. Contradictory public responses: mourning in some areas, celebrations in others. IRGC institutional structure remains intact but faces unprecedented leadership vacuum. Pre-existing protest movement (largest since 1979) was already destabilizing the regime before the strikes.</w:t>
      </w:r>
    </w:p>
    <w:p>
      <w:pPr>
        <w:spacing w:after="160"/>
        <w:jc w:val="both"/>
      </w:pPr>
      <w:r>
        <w:rPr>
          <w:rFonts w:ascii="Georgia" w:cs="Georgia" w:eastAsia="Georgia" w:hAnsi="Georgia"/>
          <w:b/>
          <w:bCs/>
          <w:sz w:val="22"/>
          <w:szCs w:val="22"/>
        </w:rPr>
        <w:t xml:space="preserve">Reliability: MEDIUM. </w:t>
      </w:r>
      <w:r>
        <w:rPr>
          <w:rFonts w:ascii="Georgia" w:cs="Georgia" w:eastAsia="Georgia" w:hAnsi="Georgia"/>
          <w:sz w:val="22"/>
          <w:szCs w:val="22"/>
        </w:rPr>
        <w:t xml:space="preserve">Khamenei’s death is confirmed. Its consequences are deeply uncertain. The experts most worth listening to here are Takeyh (who argued killing leadership creates confusion but not necessarily collapse, because IRGC succession mechanisms are in place) and Bajoghli (who documented the regime’s deep embeddedness in Iranian society through years of ethnographic fieldwork).</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Modestly increases both Quick Win (regime might fracture) and Catastrophic Spread (regime might lash out), while modestly decreasing Stalemate (leadership vacuum makes negotiation harder). Net effect is to widen uncertainty rather than shift the center of the distribution.</w:t>
      </w:r>
    </w:p>
    <w:p>
      <w:pPr>
        <w:pStyle w:val="Heading2"/>
        <w:spacing w:after="160" w:before="240"/>
      </w:pPr>
      <w:r>
        <w:rPr>
          <w:rFonts w:ascii="Georgia" w:cs="Georgia" w:eastAsia="Georgia" w:hAnsi="Georgia"/>
          <w:b/>
          <w:bCs/>
          <w:color w:val="2C3E50"/>
          <w:sz w:val="26"/>
          <w:szCs w:val="26"/>
        </w:rPr>
        <w:t xml:space="preserve">3.7 27% US Public Approval: The Domestic Political Clock</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Reuters/Ipsos: 27% approval. YouGov: 34% approval. Lowest of any US military action in modern history (Afghanistan 2001: 92%, Iraq 2003: 71%). Even Republican approval only 55–69%. Bipartisan war powers resolutions drafted. Senator Warner: “no intelligence” supporting imminent threat claims.</w:t>
      </w:r>
    </w:p>
    <w:p>
      <w:pPr>
        <w:spacing w:after="160"/>
        <w:jc w:val="both"/>
      </w:pPr>
      <w:r>
        <w:rPr>
          <w:rFonts w:ascii="Georgia" w:cs="Georgia" w:eastAsia="Georgia" w:hAnsi="Georgia"/>
          <w:b/>
          <w:bCs/>
          <w:sz w:val="22"/>
          <w:szCs w:val="22"/>
        </w:rPr>
        <w:t xml:space="preserve">Reliability: HIGH. </w:t>
      </w:r>
      <w:r>
        <w:rPr>
          <w:rFonts w:ascii="Georgia" w:cs="Georgia" w:eastAsia="Georgia" w:hAnsi="Georgia"/>
          <w:sz w:val="22"/>
          <w:szCs w:val="22"/>
        </w:rPr>
        <w:t xml:space="preserve">Polling methodology is established and cross-validated across agencies. The bipartisan opposition is a matter of public record.</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Favors Stalemate/De-escalation. The political sustainability of extended operations is low. This creates pressure for a “mission accomplished” declaration and withdrawal, even if objectives are not achieved. Also disfavors Quick Win by historical analogy: wars that begin with low public support are harder to prosecute successfully.</w:t>
      </w:r>
    </w:p>
    <w:p>
      <w:pPr>
        <w:pStyle w:val="Heading2"/>
        <w:spacing w:after="160" w:before="240"/>
      </w:pPr>
      <w:r>
        <w:rPr>
          <w:rFonts w:ascii="Georgia" w:cs="Georgia" w:eastAsia="Georgia" w:hAnsi="Georgia"/>
          <w:b/>
          <w:bCs/>
          <w:color w:val="2C3E50"/>
          <w:sz w:val="26"/>
          <w:szCs w:val="26"/>
        </w:rPr>
        <w:t xml:space="preserve">3.8 Proxy Network Degradation</w:t>
      </w:r>
    </w:p>
    <w:p>
      <w:pPr>
        <w:spacing w:after="160"/>
        <w:jc w:val="both"/>
      </w:pPr>
      <w:r>
        <w:rPr>
          <w:rFonts w:ascii="Georgia" w:cs="Georgia" w:eastAsia="Georgia" w:hAnsi="Georgia"/>
          <w:b/>
          <w:bCs/>
          <w:sz w:val="22"/>
          <w:szCs w:val="22"/>
        </w:rPr>
        <w:t xml:space="preserve">Evidence: </w:t>
      </w:r>
      <w:r>
        <w:rPr>
          <w:rFonts w:ascii="Georgia" w:cs="Georgia" w:eastAsia="Georgia" w:hAnsi="Georgia"/>
          <w:sz w:val="22"/>
          <w:szCs w:val="22"/>
        </w:rPr>
        <w:t xml:space="preserve">Hezbollah lost its entire senior leadership, had 155,000+ weapons confiscated, and lost its Syria supply corridor. Hamas is hollowed out as a military organization. Only the Houthis remain ascendant.</w:t>
      </w:r>
    </w:p>
    <w:p>
      <w:pPr>
        <w:spacing w:after="160"/>
        <w:jc w:val="both"/>
      </w:pPr>
      <w:r>
        <w:rPr>
          <w:rFonts w:ascii="Georgia" w:cs="Georgia" w:eastAsia="Georgia" w:hAnsi="Georgia"/>
          <w:b/>
          <w:bCs/>
          <w:sz w:val="22"/>
          <w:szCs w:val="22"/>
        </w:rPr>
        <w:t xml:space="preserve">Reliability: HIGH. </w:t>
      </w:r>
      <w:r>
        <w:rPr>
          <w:rFonts w:ascii="Georgia" w:cs="Georgia" w:eastAsia="Georgia" w:hAnsi="Georgia"/>
          <w:sz w:val="22"/>
          <w:szCs w:val="22"/>
        </w:rPr>
        <w:t xml:space="preserve">Extensively documented by multiple sources including FDD analysts themselves (Schanzer: “weakened but not eliminated”).</w:t>
      </w:r>
    </w:p>
    <w:p>
      <w:pPr>
        <w:spacing w:after="160"/>
        <w:jc w:val="both"/>
      </w:pPr>
      <w:r>
        <w:rPr>
          <w:rFonts w:ascii="Georgia" w:cs="Georgia" w:eastAsia="Georgia" w:hAnsi="Georgia"/>
          <w:b/>
          <w:bCs/>
          <w:sz w:val="22"/>
          <w:szCs w:val="22"/>
        </w:rPr>
        <w:t xml:space="preserve">Implication: </w:t>
      </w:r>
      <w:r>
        <w:rPr>
          <w:rFonts w:ascii="Georgia" w:cs="Georgia" w:eastAsia="Georgia" w:hAnsi="Georgia"/>
          <w:sz w:val="22"/>
          <w:szCs w:val="22"/>
        </w:rPr>
        <w:t xml:space="preserve">Slightly favors Quick Win and De-escalation by reducing Iran’s retaliatory options. Slightly disfavors Catastrophic Spread. However, the Houthis alone — still operational with anti-ship capabilities — partially offset this. This evidence was likely </w:t>
      </w:r>
      <w:r>
        <w:rPr>
          <w:rFonts w:ascii="Georgia" w:cs="Georgia" w:eastAsia="Georgia" w:hAnsi="Georgia"/>
          <w:i/>
          <w:iCs/>
          <w:sz w:val="22"/>
          <w:szCs w:val="22"/>
        </w:rPr>
        <w:t xml:space="preserve">already incorporated</w:t>
      </w:r>
      <w:r>
        <w:rPr>
          <w:rFonts w:ascii="Georgia" w:cs="Georgia" w:eastAsia="Georgia" w:hAnsi="Georgia"/>
          <w:sz w:val="22"/>
          <w:szCs w:val="22"/>
        </w:rPr>
        <w:t xml:space="preserve"> by most experts, so the update should be modest.</w:t>
      </w:r>
    </w:p>
    <w:p>
      <w:r>
        <w:br w:type="page"/>
      </w:r>
    </w:p>
    <w:p>
      <w:pPr>
        <w:pStyle w:val="Heading1"/>
        <w:spacing w:after="160" w:before="360"/>
      </w:pPr>
      <w:r>
        <w:rPr>
          <w:rFonts w:ascii="Georgia" w:cs="Georgia" w:eastAsia="Georgia" w:hAnsi="Georgia"/>
          <w:b/>
          <w:bCs/>
          <w:color w:val="1A1A2E"/>
          <w:sz w:val="32"/>
          <w:szCs w:val="32"/>
        </w:rPr>
        <w:t xml:space="preserve">Part 4: The Bayesian Update</w:t>
      </w:r>
    </w:p>
    <w:p>
      <w:pPr>
        <w:pStyle w:val="Heading2"/>
        <w:spacing w:after="160" w:before="240"/>
      </w:pPr>
      <w:r>
        <w:rPr>
          <w:rFonts w:ascii="Georgia" w:cs="Georgia" w:eastAsia="Georgia" w:hAnsi="Georgia"/>
          <w:b/>
          <w:bCs/>
          <w:color w:val="2C3E50"/>
          <w:sz w:val="26"/>
          <w:szCs w:val="26"/>
        </w:rPr>
        <w:t xml:space="preserve">4.1 Likelihood Ratios by Evidence Cluster</w:t>
      </w:r>
    </w:p>
    <w:p>
      <w:pPr>
        <w:spacing w:after="160"/>
        <w:jc w:val="both"/>
      </w:pPr>
      <w:r>
        <w:rPr>
          <w:rFonts w:ascii="Georgia" w:cs="Georgia" w:eastAsia="Georgia" w:hAnsi="Georgia"/>
          <w:sz w:val="22"/>
          <w:szCs w:val="22"/>
        </w:rPr>
        <w:t xml:space="preserve">For each evidence cluster, we assign a likelihood ratio indicating how much the evidence favors or disfavors each scenario relative to the base rate. A ratio of 1.0 means no update; &gt;1.0 means the evidence favors that scenario; &lt;1.0 means it disfavors it. We also assign an independence weight (0–1.0) reflecting how much of this information the experts would </w:t>
      </w:r>
      <w:r>
        <w:rPr>
          <w:rFonts w:ascii="Georgia" w:cs="Georgia" w:eastAsia="Georgia" w:hAnsi="Georgia"/>
          <w:i/>
          <w:iCs/>
          <w:sz w:val="22"/>
          <w:szCs w:val="22"/>
        </w:rPr>
        <w:t xml:space="preserve">not</w:t>
      </w:r>
      <w:r>
        <w:rPr>
          <w:rFonts w:ascii="Georgia" w:cs="Georgia" w:eastAsia="Georgia" w:hAnsi="Georgia"/>
          <w:sz w:val="22"/>
          <w:szCs w:val="22"/>
        </w:rPr>
        <w:t xml:space="preserve"> have already incorporated.</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110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Evidence Cluster</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Quick Win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Quagmire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Stalemate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Catastrophe</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Independence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Interceptor depletion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MOP penetration failure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Cost asymmetry (50:1–600:1)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Rapid reconstitution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0.70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Hormuz disruption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Khamenei killed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0.75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27% public approval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Proxy degradation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0.40</w:t>
            </w:r>
          </w:p>
        </w:tc>
      </w:tr>
    </w:tbl>
    <w:p>
      <w:pPr>
        <w:spacing w:after="160"/>
        <w:jc w:val="both"/>
      </w:pPr>
      <w:r>
        <w:rPr>
          <w:rFonts w:ascii="Georgia" w:cs="Georgia" w:eastAsia="Georgia" w:hAnsi="Georgia"/>
          <w:sz w:val="22"/>
          <w:szCs w:val="22"/>
        </w:rPr>
        <w:t xml:space="preserve">The </w:t>
      </w:r>
      <w:r>
        <w:rPr>
          <w:rFonts w:ascii="Georgia" w:cs="Georgia" w:eastAsia="Georgia" w:hAnsi="Georgia"/>
          <w:b/>
          <w:bCs/>
          <w:sz w:val="22"/>
          <w:szCs w:val="22"/>
        </w:rPr>
        <w:t xml:space="preserve">independence weight</w:t>
      </w:r>
      <w:r>
        <w:rPr>
          <w:rFonts w:ascii="Georgia" w:cs="Georgia" w:eastAsia="Georgia" w:hAnsi="Georgia"/>
          <w:sz w:val="22"/>
          <w:szCs w:val="22"/>
        </w:rPr>
        <w:t xml:space="preserve"> column is crucial. Evidence that the experts had already incorporated (like proxy degradation, weight 0.40) produces only modest updates. Evidence that is genuinely new or technical (like MOP penetration failure, weight 0.90) produces stronger updates. The effective likelihood ratio is: L_eff = 1 + independence × (L − 1). This means evidence with low independence gets attenuated toward a ratio of 1.0 (no update).</w:t>
      </w:r>
    </w:p>
    <w:p>
      <w:pPr>
        <w:pStyle w:val="Heading2"/>
        <w:spacing w:after="160" w:before="240"/>
      </w:pPr>
      <w:r>
        <w:rPr>
          <w:rFonts w:ascii="Georgia" w:cs="Georgia" w:eastAsia="Georgia" w:hAnsi="Georgia"/>
          <w:b/>
          <w:bCs/>
          <w:color w:val="2C3E50"/>
          <w:sz w:val="26"/>
          <w:szCs w:val="26"/>
        </w:rPr>
        <w:t xml:space="preserve">4.2 Computing the Updated Posterior</w:t>
      </w:r>
    </w:p>
    <w:p>
      <w:pPr>
        <w:spacing w:after="160"/>
        <w:jc w:val="both"/>
      </w:pPr>
      <w:r>
        <w:rPr>
          <w:rFonts w:ascii="Georgia" w:cs="Georgia" w:eastAsia="Georgia" w:hAnsi="Georgia"/>
          <w:sz w:val="22"/>
          <w:szCs w:val="22"/>
        </w:rPr>
        <w:t xml:space="preserve">We compute the compound likelihood for each scenario by multiplying the independence-weighted likelihood ratios across all eight evidence clusters, then multiply by the expert prior and renormalize. The calculation proceeds as follows:</w:t>
      </w:r>
    </w:p>
    <w:p>
      <w:pPr>
        <w:spacing w:after="160"/>
        <w:jc w:val="both"/>
      </w:pPr>
      <w:r>
        <w:rPr>
          <w:rFonts w:ascii="Georgia" w:cs="Georgia" w:eastAsia="Georgia" w:hAnsi="Georgia"/>
          <w:b/>
          <w:bCs/>
          <w:sz w:val="22"/>
          <w:szCs w:val="22"/>
        </w:rPr>
        <w:t xml:space="preserve">Quick Win: </w:t>
      </w:r>
      <w:r>
        <w:rPr>
          <w:rFonts w:ascii="Georgia" w:cs="Georgia" w:eastAsia="Georgia" w:hAnsi="Georgia"/>
          <w:sz w:val="22"/>
          <w:szCs w:val="22"/>
        </w:rPr>
        <w:t xml:space="preserve">Prior = 9.2%. Compound likelihood: the MOP failure (0.55 effective), interceptor depletion (0.66), cost asymmetry (0.76), and reconstitution (0.72) all strongly disfavor this scenario. Khamenei’s death (1.22) and proxy degradation (1.08) partially offset. Net compound ratio: approximately 0.68. Updated unnormalized: 9.2% × 0.68 = 6.3%.</w:t>
      </w:r>
    </w:p>
    <w:p>
      <w:pPr>
        <w:spacing w:after="160"/>
        <w:jc w:val="both"/>
      </w:pPr>
      <w:r>
        <w:rPr>
          <w:rFonts w:ascii="Georgia" w:cs="Georgia" w:eastAsia="Georgia" w:hAnsi="Georgia"/>
          <w:b/>
          <w:bCs/>
          <w:sz w:val="22"/>
          <w:szCs w:val="22"/>
        </w:rPr>
        <w:t xml:space="preserve">Prolonged Quagmire: </w:t>
      </w:r>
      <w:r>
        <w:rPr>
          <w:rFonts w:ascii="Georgia" w:cs="Georgia" w:eastAsia="Georgia" w:hAnsi="Georgia"/>
          <w:sz w:val="22"/>
          <w:szCs w:val="22"/>
        </w:rPr>
        <w:t xml:space="preserve">Prior = 52.3%. Compound likelihood: interceptor depletion (1.26), MOP failure (1.27), cost asymmetry (1.24), and reconstitution (1.21) all favor. Proxy degradation slightly disfavors (0.96). Net compound ratio: approximately 1.22. Updated unnormalized: 52.3% × 1.22 = 63.8%.</w:t>
      </w:r>
    </w:p>
    <w:p>
      <w:pPr>
        <w:spacing w:after="160"/>
        <w:jc w:val="both"/>
      </w:pPr>
      <w:r>
        <w:rPr>
          <w:rFonts w:ascii="Georgia" w:cs="Georgia" w:eastAsia="Georgia" w:hAnsi="Georgia"/>
          <w:b/>
          <w:bCs/>
          <w:sz w:val="22"/>
          <w:szCs w:val="22"/>
        </w:rPr>
        <w:t xml:space="preserve">Stalemate / De-escalation: </w:t>
      </w:r>
      <w:r>
        <w:rPr>
          <w:rFonts w:ascii="Georgia" w:cs="Georgia" w:eastAsia="Georgia" w:hAnsi="Georgia"/>
          <w:sz w:val="22"/>
          <w:szCs w:val="22"/>
        </w:rPr>
        <w:t xml:space="preserve">Prior = 21.9%. Compound likelihood: Hormuz disruption (1.27) and public approval (1.34) strongly favor by creating pressure for off-ramps. Khamenei’s death disfavors (0.85) by removing a negotiating partner. Net compound ratio: approximately 1.15. Updated unnormalized: 21.9% × 1.15 = 25.2%.</w:t>
      </w:r>
    </w:p>
    <w:p>
      <w:pPr>
        <w:spacing w:after="160"/>
        <w:jc w:val="both"/>
      </w:pPr>
      <w:r>
        <w:rPr>
          <w:rFonts w:ascii="Georgia" w:cs="Georgia" w:eastAsia="Georgia" w:hAnsi="Georgia"/>
          <w:b/>
          <w:bCs/>
          <w:sz w:val="22"/>
          <w:szCs w:val="22"/>
        </w:rPr>
        <w:t xml:space="preserve">Catastrophic Spread: </w:t>
      </w:r>
      <w:r>
        <w:rPr>
          <w:rFonts w:ascii="Georgia" w:cs="Georgia" w:eastAsia="Georgia" w:hAnsi="Georgia"/>
          <w:sz w:val="22"/>
          <w:szCs w:val="22"/>
        </w:rPr>
        <w:t xml:space="preserve">Prior = 16.6%. Compound likelihood: Hormuz disruption (1.27), Khamenei’s death (1.15), and reconstitution (1.14) all modestly favor escalation. Proxy degradation disfavors (0.92). Net compound ratio: approximately 1.14. Updated unnormalized: 16.6% × 1.14 = 18.9%.</w:t>
      </w:r>
    </w:p>
    <w:p>
      <w:pPr>
        <w:spacing w:after="160"/>
        <w:jc w:val="both"/>
      </w:pPr>
      <w:r>
        <w:rPr>
          <w:rFonts w:ascii="Georgia" w:cs="Georgia" w:eastAsia="Georgia" w:hAnsi="Georgia"/>
          <w:sz w:val="22"/>
          <w:szCs w:val="22"/>
        </w:rPr>
        <w:t xml:space="preserve">Renormalizing (dividing each by the sum 6.3 + 63.8 + 25.2 + 18.9 = 114.2, then multiplying by 100):</w:t>
      </w:r>
    </w:p>
    <w:p>
      <w:pPr>
        <w:pStyle w:val="Heading1"/>
        <w:spacing w:after="160" w:before="360"/>
      </w:pPr>
      <w:r>
        <w:rPr>
          <w:rFonts w:ascii="Georgia" w:cs="Georgia" w:eastAsia="Georgia" w:hAnsi="Georgia"/>
          <w:b/>
          <w:bCs/>
          <w:color w:val="1A1A2E"/>
          <w:sz w:val="32"/>
          <w:szCs w:val="32"/>
        </w:rPr>
        <w:t xml:space="preserve">Part 5: The Combined Posterior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Expert Prior</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Updated Posterior</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Shift</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center"/>
            </w:pPr>
            <w:r>
              <w:rPr>
                <w:rFonts w:ascii="Georgia" w:cs="Georgia" w:eastAsia="Georgia" w:hAnsi="Georgia"/>
                <w:b/>
                <w:bCs/>
                <w:color w:val="FFFFFF"/>
                <w:sz w:val="18"/>
                <w:szCs w:val="18"/>
              </w:rPr>
              <w:t xml:space="preserve">Direction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Prolonged Quagmire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52.3%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1B7340"/>
                <w:sz w:val="18"/>
                <w:szCs w:val="18"/>
              </w:rPr>
              <w:t xml:space="preserve">55.9%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+3.6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1B7340"/>
                <w:sz w:val="18"/>
                <w:szCs w:val="18"/>
              </w:rPr>
              <w:t xml:space="preserve">↑ Strengthened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Stalemate / De-escalation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21.9%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18"/>
                <w:szCs w:val="18"/>
              </w:rPr>
              <w:t xml:space="preserve">22.1%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 Stable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Catastrophic Spread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16.6%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333333"/>
                <w:sz w:val="18"/>
                <w:szCs w:val="18"/>
              </w:rPr>
              <w:t xml:space="preserve">16.5%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 Stable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Quick Win / Regime Change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333333"/>
                <w:sz w:val="18"/>
                <w:szCs w:val="18"/>
              </w:rPr>
              <w:t xml:space="preserve">9.2%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b/>
                <w:bCs/>
                <w:color w:val="CC3333"/>
                <w:sz w:val="18"/>
                <w:szCs w:val="18"/>
              </w:rPr>
              <w:t xml:space="preserve">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−3.7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Georgia" w:cs="Georgia" w:eastAsia="Georgia" w:hAnsi="Georgia"/>
                <w:color w:val="CC3333"/>
                <w:sz w:val="18"/>
                <w:szCs w:val="18"/>
              </w:rPr>
              <w:t xml:space="preserve">↓ Weakened</w:t>
            </w:r>
          </w:p>
        </w:tc>
      </w:tr>
    </w:tbl>
    <w:p>
      <w:pPr>
        <w:pStyle w:val="Heading2"/>
        <w:spacing w:after="160" w:before="240"/>
      </w:pPr>
      <w:r>
        <w:rPr>
          <w:rFonts w:ascii="Georgia" w:cs="Georgia" w:eastAsia="Georgia" w:hAnsi="Georgia"/>
          <w:b/>
          <w:bCs/>
          <w:color w:val="2C3E50"/>
          <w:sz w:val="26"/>
          <w:szCs w:val="26"/>
        </w:rPr>
        <w:t xml:space="preserve">5.1 Interpreting the Shifts</w:t>
      </w:r>
    </w:p>
    <w:p>
      <w:pPr>
        <w:spacing w:after="160"/>
        <w:jc w:val="both"/>
      </w:pPr>
      <w:r>
        <w:rPr>
          <w:rFonts w:ascii="Georgia" w:cs="Georgia" w:eastAsia="Georgia" w:hAnsi="Georgia"/>
          <w:b/>
          <w:bCs/>
          <w:sz w:val="22"/>
          <w:szCs w:val="22"/>
        </w:rPr>
        <w:t xml:space="preserve">The most important shift is the near-halving of Quick Win probability, from 9.2% to 5.5%. </w:t>
      </w:r>
      <w:r>
        <w:rPr>
          <w:rFonts w:ascii="Georgia" w:cs="Georgia" w:eastAsia="Georgia" w:hAnsi="Georgia"/>
          <w:sz w:val="22"/>
          <w:szCs w:val="22"/>
        </w:rPr>
        <w:t xml:space="preserve">This is driven by the convergence of multiple hard-evidence findings: the MOP failed to fully destroy Fordow, Iran reconstituted its missile arsenal within months, interceptor stocks are depleting faster than they can be replaced, and no historical case exists of airpower-only regime change. Each piece of evidence independently disfavors this scenario, and their compound effect is substantial.</w:t>
      </w:r>
    </w:p>
    <w:p>
      <w:pPr>
        <w:spacing w:after="160"/>
        <w:jc w:val="both"/>
      </w:pPr>
      <w:r>
        <w:rPr>
          <w:rFonts w:ascii="Georgia" w:cs="Georgia" w:eastAsia="Georgia" w:hAnsi="Georgia"/>
          <w:b/>
          <w:bCs/>
          <w:sz w:val="22"/>
          <w:szCs w:val="22"/>
        </w:rPr>
        <w:t xml:space="preserve">Quagmire strengthens modestly from 52.3% to 55.9%. </w:t>
      </w:r>
      <w:r>
        <w:rPr>
          <w:rFonts w:ascii="Georgia" w:cs="Georgia" w:eastAsia="Georgia" w:hAnsi="Georgia"/>
          <w:sz w:val="22"/>
          <w:szCs w:val="22"/>
        </w:rPr>
        <w:t xml:space="preserve">The shift is moderate rather than dramatic because the experts — especially the high-accuracy ones — had already identified the core quagmire dynamics (geography, regime depth, historical pattern). The first-principles evidence confirms and quantifies what they anticipated qualitatively. The value added is precision: we now know </w:t>
      </w:r>
      <w:r>
        <w:rPr>
          <w:rFonts w:ascii="Georgia" w:cs="Georgia" w:eastAsia="Georgia" w:hAnsi="Georgia"/>
          <w:i/>
          <w:iCs/>
          <w:sz w:val="22"/>
          <w:szCs w:val="22"/>
        </w:rPr>
        <w:t xml:space="preserve">exactly</w:t>
      </w:r>
      <w:r>
        <w:rPr>
          <w:rFonts w:ascii="Georgia" w:cs="Georgia" w:eastAsia="Georgia" w:hAnsi="Georgia"/>
          <w:sz w:val="22"/>
          <w:szCs w:val="22"/>
        </w:rPr>
        <w:t xml:space="preserve"> how fast interceptors are depleting, </w:t>
      </w:r>
      <w:r>
        <w:rPr>
          <w:rFonts w:ascii="Georgia" w:cs="Georgia" w:eastAsia="Georgia" w:hAnsi="Georgia"/>
          <w:i/>
          <w:iCs/>
          <w:sz w:val="22"/>
          <w:szCs w:val="22"/>
        </w:rPr>
        <w:t xml:space="preserve">exactly</w:t>
      </w:r>
      <w:r>
        <w:rPr>
          <w:rFonts w:ascii="Georgia" w:cs="Georgia" w:eastAsia="Georgia" w:hAnsi="Georgia"/>
          <w:sz w:val="22"/>
          <w:szCs w:val="22"/>
        </w:rPr>
        <w:t xml:space="preserve"> how the cost asymmetry works, and </w:t>
      </w:r>
      <w:r>
        <w:rPr>
          <w:rFonts w:ascii="Georgia" w:cs="Georgia" w:eastAsia="Georgia" w:hAnsi="Georgia"/>
          <w:i/>
          <w:iCs/>
          <w:sz w:val="22"/>
          <w:szCs w:val="22"/>
        </w:rPr>
        <w:t xml:space="preserve">exactly</w:t>
      </w:r>
      <w:r>
        <w:rPr>
          <w:rFonts w:ascii="Georgia" w:cs="Georgia" w:eastAsia="Georgia" w:hAnsi="Georgia"/>
          <w:sz w:val="22"/>
          <w:szCs w:val="22"/>
        </w:rPr>
        <w:t xml:space="preserve"> how limited the bunker-busting capability proved to be.</w:t>
      </w:r>
    </w:p>
    <w:p>
      <w:pPr>
        <w:spacing w:after="160"/>
        <w:jc w:val="both"/>
      </w:pPr>
      <w:r>
        <w:rPr>
          <w:rFonts w:ascii="Georgia" w:cs="Georgia" w:eastAsia="Georgia" w:hAnsi="Georgia"/>
          <w:b/>
          <w:bCs/>
          <w:sz w:val="22"/>
          <w:szCs w:val="22"/>
        </w:rPr>
        <w:t xml:space="preserve">Stalemate and Catastrophic Spread remain essentially unchanged at 22.1% and 16.5%. </w:t>
      </w:r>
      <w:r>
        <w:rPr>
          <w:rFonts w:ascii="Georgia" w:cs="Georgia" w:eastAsia="Georgia" w:hAnsi="Georgia"/>
          <w:sz w:val="22"/>
          <w:szCs w:val="22"/>
        </w:rPr>
        <w:t xml:space="preserve">This is because the first-principles evidence pulls in offsetting directions for these scenarios. The Hormuz economics and low public approval push toward stalemate (creating off-ramp pressure), while Khamenei’s death and the reconstitution dynamic push toward catastrophe (removing negotiating partners and sustaining Iranian retaliatory capacity). These effects roughly cancel.</w:t>
      </w:r>
    </w:p>
    <w:p>
      <w:pPr>
        <w:pStyle w:val="Heading2"/>
        <w:spacing w:after="160" w:before="240"/>
      </w:pPr>
      <w:r>
        <w:rPr>
          <w:rFonts w:ascii="Georgia" w:cs="Georgia" w:eastAsia="Georgia" w:hAnsi="Georgia"/>
          <w:b/>
          <w:bCs/>
          <w:color w:val="2C3E50"/>
          <w:sz w:val="26"/>
          <w:szCs w:val="26"/>
        </w:rPr>
        <w:t xml:space="preserve">5.2 Where the Two Frameworks Agree Most Strongly</w:t>
      </w:r>
    </w:p>
    <w:p>
      <w:pPr>
        <w:spacing w:after="160"/>
        <w:jc w:val="both"/>
      </w:pPr>
      <w:r>
        <w:rPr>
          <w:rFonts w:ascii="Georgia" w:cs="Georgia" w:eastAsia="Georgia" w:hAnsi="Georgia"/>
          <w:sz w:val="22"/>
          <w:szCs w:val="22"/>
        </w:rPr>
        <w:t xml:space="preserve">The convergence between expert judgment and first-principles evidence is striking on three points:</w:t>
      </w:r>
    </w:p>
    <w:p>
      <w:pPr>
        <w:spacing w:after="160"/>
        <w:jc w:val="both"/>
      </w:pPr>
      <w:r>
        <w:rPr>
          <w:rFonts w:ascii="Georgia" w:cs="Georgia" w:eastAsia="Georgia" w:hAnsi="Georgia"/>
          <w:b/>
          <w:bCs/>
          <w:sz w:val="22"/>
          <w:szCs w:val="22"/>
        </w:rPr>
        <w:t xml:space="preserve">1. Airpower cannot achieve regime change. </w:t>
      </w:r>
      <w:r>
        <w:rPr>
          <w:rFonts w:ascii="Georgia" w:cs="Georgia" w:eastAsia="Georgia" w:hAnsi="Georgia"/>
          <w:sz w:val="22"/>
          <w:szCs w:val="22"/>
        </w:rPr>
        <w:t xml:space="preserve">The experts know this from historical analogies (Iraq, Afghanistan, Libya). The first-principles analysis confirms it from engineering constraints (MOP penetration limits, interceptor depletion, Iran’s geographic depth). The agreement across completely independent analytical methods is strong evidence that this finding is robust.</w:t>
      </w:r>
    </w:p>
    <w:p>
      <w:pPr>
        <w:spacing w:after="160"/>
        <w:jc w:val="both"/>
      </w:pPr>
      <w:r>
        <w:rPr>
          <w:rFonts w:ascii="Georgia" w:cs="Georgia" w:eastAsia="Georgia" w:hAnsi="Georgia"/>
          <w:b/>
          <w:bCs/>
          <w:sz w:val="22"/>
          <w:szCs w:val="22"/>
        </w:rPr>
        <w:t xml:space="preserve">2. Attrition favors the cheap-offense side over time. </w:t>
      </w:r>
      <w:r>
        <w:rPr>
          <w:rFonts w:ascii="Georgia" w:cs="Georgia" w:eastAsia="Georgia" w:hAnsi="Georgia"/>
          <w:sz w:val="22"/>
          <w:szCs w:val="22"/>
        </w:rPr>
        <w:t xml:space="preserve">The experts (particularly Ben Taleblu and Takeyh among the hawks) anticipated Iran’s ability to impose costs through asymmetric means. The first-principles analysis quantifies this at 50:1–600:1 cost ratios validated by Ukrainian combat data. The convergence suggests attrition dynamics are the central strategic reality.</w:t>
      </w:r>
    </w:p>
    <w:p>
      <w:pPr>
        <w:spacing w:after="160"/>
        <w:jc w:val="both"/>
      </w:pPr>
      <w:r>
        <w:rPr>
          <w:rFonts w:ascii="Georgia" w:cs="Georgia" w:eastAsia="Georgia" w:hAnsi="Georgia"/>
          <w:b/>
          <w:bCs/>
          <w:sz w:val="22"/>
          <w:szCs w:val="22"/>
        </w:rPr>
        <w:t xml:space="preserve">3. Economic pressure creates the strongest off-ramp incentive. </w:t>
      </w:r>
      <w:r>
        <w:rPr>
          <w:rFonts w:ascii="Georgia" w:cs="Georgia" w:eastAsia="Georgia" w:hAnsi="Georgia"/>
          <w:sz w:val="22"/>
          <w:szCs w:val="22"/>
        </w:rPr>
        <w:t xml:space="preserve">The expert model’s stalemate probability (21.9%) reflects the assessment that both sides have incentives to de-escalate. The first-principles Hormuz analysis quantifies the economic mechanism: &gt;75% recession probability beyond 30 days of closure. This creates a clock that constrains both sides.</w:t>
      </w:r>
    </w:p>
    <w:p>
      <w:pPr>
        <w:pStyle w:val="Heading2"/>
        <w:spacing w:after="160" w:before="240"/>
      </w:pPr>
      <w:r>
        <w:rPr>
          <w:rFonts w:ascii="Georgia" w:cs="Georgia" w:eastAsia="Georgia" w:hAnsi="Georgia"/>
          <w:b/>
          <w:bCs/>
          <w:color w:val="2C3E50"/>
          <w:sz w:val="26"/>
          <w:szCs w:val="26"/>
        </w:rPr>
        <w:t xml:space="preserve">5.3 Where the Frameworks Diverge or Add Unique Value</w:t>
      </w:r>
    </w:p>
    <w:p>
      <w:pPr>
        <w:spacing w:after="160"/>
        <w:jc w:val="both"/>
      </w:pPr>
      <w:r>
        <w:rPr>
          <w:rFonts w:ascii="Georgia" w:cs="Georgia" w:eastAsia="Georgia" w:hAnsi="Georgia"/>
          <w:b/>
          <w:bCs/>
          <w:sz w:val="22"/>
          <w:szCs w:val="22"/>
        </w:rPr>
        <w:t xml:space="preserve">The expert model’s unique value </w:t>
      </w:r>
      <w:r>
        <w:rPr>
          <w:rFonts w:ascii="Georgia" w:cs="Georgia" w:eastAsia="Georgia" w:hAnsi="Georgia"/>
          <w:sz w:val="22"/>
          <w:szCs w:val="22"/>
        </w:rPr>
        <w:t xml:space="preserve">is in calibrating the political-strategic dimensions that cannot be reduced to numbers. The experts’ assessment that the Iranian regime is “too multi-layered to be toppled by bombing alone” (Takeyh) or that the IRGC “controls perhaps a third of Iran’s economy” (Bajoghli) reflects deep institutional knowledge that engineering analysis cannot replicate. The correlation-adjusted weighting also provides a principled method for handling ideological clustering.</w:t>
      </w:r>
    </w:p>
    <w:p>
      <w:pPr>
        <w:spacing w:after="160"/>
        <w:jc w:val="both"/>
      </w:pPr>
      <w:r>
        <w:rPr>
          <w:rFonts w:ascii="Georgia" w:cs="Georgia" w:eastAsia="Georgia" w:hAnsi="Georgia"/>
          <w:b/>
          <w:bCs/>
          <w:sz w:val="22"/>
          <w:szCs w:val="22"/>
        </w:rPr>
        <w:t xml:space="preserve">The first-principles analysis’s unique value </w:t>
      </w:r>
      <w:r>
        <w:rPr>
          <w:rFonts w:ascii="Georgia" w:cs="Georgia" w:eastAsia="Georgia" w:hAnsi="Georgia"/>
          <w:sz w:val="22"/>
          <w:szCs w:val="22"/>
        </w:rPr>
        <w:t xml:space="preserve">is in revealing constraints that political experts systematically underweight. The interceptor depletion timeline (3–8 years to restock), the MOP penetration physics (7.9m actual vs 80m+ required), and the mine-clearing arithmetic (1.18 mines/day with 4 vessels against 5,000–6,000 mines) are hard constraints that don’t bend to political will. They define the </w:t>
      </w:r>
      <w:r>
        <w:rPr>
          <w:rFonts w:ascii="Georgia" w:cs="Georgia" w:eastAsia="Georgia" w:hAnsi="Georgia"/>
          <w:i/>
          <w:iCs/>
          <w:sz w:val="22"/>
          <w:szCs w:val="22"/>
        </w:rPr>
        <w:t xml:space="preserve">physical boundaries</w:t>
      </w:r>
      <w:r>
        <w:rPr>
          <w:rFonts w:ascii="Georgia" w:cs="Georgia" w:eastAsia="Georgia" w:hAnsi="Georgia"/>
          <w:sz w:val="22"/>
          <w:szCs w:val="22"/>
        </w:rPr>
        <w:t xml:space="preserve"> within which political outcomes must play out.</w:t>
      </w:r>
    </w:p>
    <w:p>
      <w:pPr>
        <w:spacing w:after="160"/>
        <w:jc w:val="both"/>
      </w:pPr>
      <w:r>
        <w:rPr>
          <w:rFonts w:ascii="Georgia" w:cs="Georgia" w:eastAsia="Georgia" w:hAnsi="Georgia"/>
          <w:b/>
          <w:bCs/>
          <w:sz w:val="22"/>
          <w:szCs w:val="22"/>
        </w:rPr>
        <w:t xml:space="preserve">The synthesis’s unique value </w:t>
      </w:r>
      <w:r>
        <w:rPr>
          <w:rFonts w:ascii="Georgia" w:cs="Georgia" w:eastAsia="Georgia" w:hAnsi="Georgia"/>
          <w:sz w:val="22"/>
          <w:szCs w:val="22"/>
        </w:rPr>
        <w:t xml:space="preserve">is in combining both layers. The experts tell us </w:t>
      </w:r>
      <w:r>
        <w:rPr>
          <w:rFonts w:ascii="Georgia" w:cs="Georgia" w:eastAsia="Georgia" w:hAnsi="Georgia"/>
          <w:i/>
          <w:iCs/>
          <w:sz w:val="22"/>
          <w:szCs w:val="22"/>
        </w:rPr>
        <w:t xml:space="preserve">what tends to happen</w:t>
      </w:r>
      <w:r>
        <w:rPr>
          <w:rFonts w:ascii="Georgia" w:cs="Georgia" w:eastAsia="Georgia" w:hAnsi="Georgia"/>
          <w:sz w:val="22"/>
          <w:szCs w:val="22"/>
        </w:rPr>
        <w:t xml:space="preserve"> in these situations; the first-principles analysis tells us </w:t>
      </w:r>
      <w:r>
        <w:rPr>
          <w:rFonts w:ascii="Georgia" w:cs="Georgia" w:eastAsia="Georgia" w:hAnsi="Georgia"/>
          <w:i/>
          <w:iCs/>
          <w:sz w:val="22"/>
          <w:szCs w:val="22"/>
        </w:rPr>
        <w:t xml:space="preserve">what the physics and economics permit</w:t>
      </w:r>
      <w:r>
        <w:rPr>
          <w:rFonts w:ascii="Georgia" w:cs="Georgia" w:eastAsia="Georgia" w:hAnsi="Georgia"/>
          <w:sz w:val="22"/>
          <w:szCs w:val="22"/>
        </w:rPr>
        <w:t xml:space="preserve">. The combined posterior is more calibrated than either source alone because it is constrained both by historical patterns and by physical reality.</w:t>
      </w:r>
    </w:p>
    <w:p>
      <w:r>
        <w:br w:type="page"/>
      </w:r>
    </w:p>
    <w:p>
      <w:pPr>
        <w:pStyle w:val="Heading1"/>
        <w:spacing w:after="160" w:before="360"/>
      </w:pPr>
      <w:r>
        <w:rPr>
          <w:rFonts w:ascii="Georgia" w:cs="Georgia" w:eastAsia="Georgia" w:hAnsi="Georgia"/>
          <w:b/>
          <w:bCs/>
          <w:color w:val="1A1A2E"/>
          <w:sz w:val="32"/>
          <w:szCs w:val="32"/>
        </w:rPr>
        <w:t xml:space="preserve">Part 6: Synthesis Conclusions</w:t>
      </w:r>
    </w:p>
    <w:p>
      <w:pPr>
        <w:pStyle w:val="Heading2"/>
        <w:spacing w:after="160" w:before="240"/>
      </w:pPr>
      <w:r>
        <w:rPr>
          <w:rFonts w:ascii="Georgia" w:cs="Georgia" w:eastAsia="Georgia" w:hAnsi="Georgia"/>
          <w:b/>
          <w:bCs/>
          <w:color w:val="2C3E50"/>
          <w:sz w:val="26"/>
          <w:szCs w:val="26"/>
        </w:rPr>
        <w:t xml:space="preserve">6.1 The Combined Assessment</w:t>
      </w:r>
    </w:p>
    <w:p>
      <w:pPr>
        <w:spacing w:after="160"/>
        <w:jc w:val="both"/>
      </w:pPr>
      <w:r>
        <w:rPr>
          <w:rFonts w:ascii="Georgia" w:cs="Georgia" w:eastAsia="Georgia" w:hAnsi="Georgia"/>
          <w:sz w:val="22"/>
          <w:szCs w:val="22"/>
        </w:rPr>
        <w:t xml:space="preserve">The combined posterior, integrating track-record-weighted expert judgment with first-principles combat and economic evidence, yields the following assessment as of March 2, 2026:</w:t>
      </w:r>
    </w:p>
    <w:p>
      <w:pPr>
        <w:spacing w:after="160"/>
        <w:jc w:val="both"/>
      </w:pPr>
      <w:r>
        <w:rPr>
          <w:rFonts w:ascii="Georgia" w:cs="Georgia" w:eastAsia="Georgia" w:hAnsi="Georgia"/>
          <w:b/>
          <w:bCs/>
          <w:sz w:val="22"/>
          <w:szCs w:val="22"/>
        </w:rPr>
        <w:t xml:space="preserve">Prolonged Quagmire (55.9%, 95% CI: ~43–67%): </w:t>
      </w:r>
      <w:r>
        <w:rPr>
          <w:rFonts w:ascii="Georgia" w:cs="Georgia" w:eastAsia="Georgia" w:hAnsi="Georgia"/>
          <w:sz w:val="22"/>
          <w:szCs w:val="22"/>
        </w:rPr>
        <w:t xml:space="preserve">The dominant scenario. Intense US-Israeli air operations degrade Iranian military infrastructure but cannot destroy deeply buried nuclear facilities, topple the IRGC-embedded regime, or prevent rapid reconstitution with Chinese/Russian support. Iran retaliates with missiles, drones, and Hormuz disruption. The conflict enters an attritional phase in which cheap Iranian offense exhausts expensive coalition defense. Duration: months to years.</w:t>
      </w:r>
    </w:p>
    <w:p>
      <w:pPr>
        <w:spacing w:after="160"/>
        <w:jc w:val="both"/>
      </w:pPr>
      <w:r>
        <w:rPr>
          <w:rFonts w:ascii="Georgia" w:cs="Georgia" w:eastAsia="Georgia" w:hAnsi="Georgia"/>
          <w:b/>
          <w:bCs/>
          <w:sz w:val="22"/>
          <w:szCs w:val="22"/>
        </w:rPr>
        <w:t xml:space="preserve">Stalemate / De-escalation (22.1%, 95% CI: ~14–32%): </w:t>
      </w:r>
      <w:r>
        <w:rPr>
          <w:rFonts w:ascii="Georgia" w:cs="Georgia" w:eastAsia="Georgia" w:hAnsi="Georgia"/>
          <w:sz w:val="22"/>
          <w:szCs w:val="22"/>
        </w:rPr>
        <w:t xml:space="preserve">The Hormuz economic clock and historically low US public approval create irresistible pressure for off-ramps. Both sides declare partial victory: the US claims nuclear setback, Iran claims regime survival. Back-channel diplomacy (Oman, Turkey) facilitates a face-saving ceasefire. The conflict ends without resolution of underlying issues.</w:t>
      </w:r>
    </w:p>
    <w:p>
      <w:pPr>
        <w:spacing w:after="160"/>
        <w:jc w:val="both"/>
      </w:pPr>
      <w:r>
        <w:rPr>
          <w:rFonts w:ascii="Georgia" w:cs="Georgia" w:eastAsia="Georgia" w:hAnsi="Georgia"/>
          <w:b/>
          <w:bCs/>
          <w:sz w:val="22"/>
          <w:szCs w:val="22"/>
        </w:rPr>
        <w:t xml:space="preserve">Catastrophic Spread (16.5%, 95% CI: ~9–25%): </w:t>
      </w:r>
      <w:r>
        <w:rPr>
          <w:rFonts w:ascii="Georgia" w:cs="Georgia" w:eastAsia="Georgia" w:hAnsi="Georgia"/>
          <w:sz w:val="22"/>
          <w:szCs w:val="22"/>
        </w:rPr>
        <w:t xml:space="preserve">The killing of Khamenei triggers succession crisis and unpredictable IRGC response. Iran’s mining of the Strait of Hormuz escalates to direct Iranian strikes on Gulf state infrastructure. Houthis intensify Red Sea attacks. Potential for nuclear breakout or Israeli nuclear escalation under existential threat perception. Global recession ensues.</w:t>
      </w:r>
    </w:p>
    <w:p>
      <w:pPr>
        <w:spacing w:after="160"/>
        <w:jc w:val="both"/>
      </w:pPr>
      <w:r>
        <w:rPr>
          <w:rFonts w:ascii="Georgia" w:cs="Georgia" w:eastAsia="Georgia" w:hAnsi="Georgia"/>
          <w:b/>
          <w:bCs/>
          <w:sz w:val="22"/>
          <w:szCs w:val="22"/>
        </w:rPr>
        <w:t xml:space="preserve">Quick Win / Regime Change (5.5%, 95% CI: ~3–10%): </w:t>
      </w:r>
      <w:r>
        <w:rPr>
          <w:rFonts w:ascii="Georgia" w:cs="Georgia" w:eastAsia="Georgia" w:hAnsi="Georgia"/>
          <w:sz w:val="22"/>
          <w:szCs w:val="22"/>
        </w:rPr>
        <w:t xml:space="preserve">IRGC fractures under combined leadership losses and popular pressure; regime collapses. This scenario requires all of the following: Fordow and hidden nuclear facilities were actually destroyed (contradicted by IAEA evidence), the IRGC command structure shatters (contradicted by institutional depth), popular uprising succeeds despite IRGC security apparatus, and no chaotic aftermath destabilizes the region. Historical probability of this sequence: very low.</w:t>
      </w:r>
    </w:p>
    <w:p>
      <w:pPr>
        <w:pStyle w:val="Heading2"/>
        <w:spacing w:after="160" w:before="240"/>
      </w:pPr>
      <w:r>
        <w:rPr>
          <w:rFonts w:ascii="Georgia" w:cs="Georgia" w:eastAsia="Georgia" w:hAnsi="Georgia"/>
          <w:b/>
          <w:bCs/>
          <w:color w:val="2C3E50"/>
          <w:sz w:val="26"/>
          <w:szCs w:val="26"/>
        </w:rPr>
        <w:t xml:space="preserve">6.2 The Meta-Lesson: Convergence as Confidence Signal</w:t>
      </w:r>
    </w:p>
    <w:p>
      <w:pPr>
        <w:spacing w:after="160"/>
        <w:jc w:val="both"/>
      </w:pPr>
      <w:r>
        <w:rPr>
          <w:rFonts w:ascii="Georgia" w:cs="Georgia" w:eastAsia="Georgia" w:hAnsi="Georgia"/>
          <w:sz w:val="22"/>
          <w:szCs w:val="22"/>
        </w:rPr>
        <w:t xml:space="preserve">The most important finding of this synthesis is not the specific numbers — which carry substantial uncertainty and should be interpreted as rough calibrations, not precise forecasts — but the </w:t>
      </w:r>
      <w:r>
        <w:rPr>
          <w:rFonts w:ascii="Georgia" w:cs="Georgia" w:eastAsia="Georgia" w:hAnsi="Georgia"/>
          <w:b/>
          <w:bCs/>
          <w:sz w:val="22"/>
          <w:szCs w:val="22"/>
        </w:rPr>
        <w:t xml:space="preserve">convergence across independent methods</w:t>
      </w:r>
      <w:r>
        <w:rPr>
          <w:rFonts w:ascii="Georgia" w:cs="Georgia" w:eastAsia="Georgia" w:hAnsi="Georgia"/>
          <w:sz w:val="22"/>
          <w:szCs w:val="22"/>
        </w:rPr>
        <w:t xml:space="preserve">. When political scientists using historical analogies, defense analysts using technical expertise, and first-principles analysis using engineering constraints and combat data all point to the same conclusion, that convergence is itself strong evidence.</w:t>
      </w:r>
    </w:p>
    <w:p>
      <w:pPr>
        <w:spacing w:after="160"/>
        <w:jc w:val="both"/>
      </w:pPr>
      <w:r>
        <w:rPr>
          <w:rFonts w:ascii="Georgia" w:cs="Georgia" w:eastAsia="Georgia" w:hAnsi="Georgia"/>
          <w:sz w:val="22"/>
          <w:szCs w:val="22"/>
        </w:rPr>
        <w:t xml:space="preserve">The conclusion they converge on is this: the probability of a swift, clean military victory leading to regime change in Iran is very low (5–10%), while the probability of a prolonged, costly entanglement is very high (50–65%). The disagreement across methods is about the magnitude of these probabilities, not their direction.</w:t>
      </w:r>
    </w:p>
    <w:p>
      <w:pPr>
        <w:spacing w:after="160"/>
        <w:jc w:val="both"/>
      </w:pPr>
      <w:r>
        <w:rPr>
          <w:rFonts w:ascii="Georgia" w:cs="Georgia" w:eastAsia="Georgia" w:hAnsi="Georgia"/>
          <w:sz w:val="22"/>
          <w:szCs w:val="22"/>
        </w:rPr>
        <w:t xml:space="preserve">This does not mean prolonged quagmire is certain. The 95% credible interval spans roughly 43–67%. There is a genuine, non-trivial probability (16–17%) of catastrophic spread, and a meaningful chance (22%) of de-escalation. The future is uncertain. But the uncertainty has a shape, and that shape strongly disfavors the optimistic scenario.</w:t>
      </w:r>
    </w:p>
    <w:p>
      <w:pPr>
        <w:pStyle w:val="Heading2"/>
        <w:spacing w:after="160" w:before="240"/>
      </w:pPr>
      <w:r>
        <w:rPr>
          <w:rFonts w:ascii="Georgia" w:cs="Georgia" w:eastAsia="Georgia" w:hAnsi="Georgia"/>
          <w:b/>
          <w:bCs/>
          <w:color w:val="2C3E50"/>
          <w:sz w:val="26"/>
          <w:szCs w:val="26"/>
        </w:rPr>
        <w:t xml:space="preserve">6.3 Calibration Humility: What We Might Be Wrong About</w:t>
      </w:r>
    </w:p>
    <w:p>
      <w:pPr>
        <w:spacing w:after="160"/>
        <w:jc w:val="both"/>
      </w:pPr>
      <w:r>
        <w:rPr>
          <w:rFonts w:ascii="Georgia" w:cs="Georgia" w:eastAsia="Georgia" w:hAnsi="Georgia"/>
          <w:sz w:val="22"/>
          <w:szCs w:val="22"/>
        </w:rPr>
        <w:t xml:space="preserve">In the spirit of honest calibration, the following factors could shift these probabilities significantly and represent our greatest sources of ignorance:</w:t>
      </w:r>
    </w:p>
    <w:p>
      <w:pPr>
        <w:spacing w:after="160"/>
        <w:jc w:val="both"/>
      </w:pPr>
      <w:r>
        <w:rPr>
          <w:rFonts w:ascii="Georgia" w:cs="Georgia" w:eastAsia="Georgia" w:hAnsi="Georgia"/>
          <w:b/>
          <w:bCs/>
          <w:sz w:val="22"/>
          <w:szCs w:val="22"/>
        </w:rPr>
        <w:t xml:space="preserve">1. Undisclosed Iranian nuclear material. </w:t>
      </w:r>
      <w:r>
        <w:rPr>
          <w:rFonts w:ascii="Georgia" w:cs="Georgia" w:eastAsia="Georgia" w:hAnsi="Georgia"/>
          <w:sz w:val="22"/>
          <w:szCs w:val="22"/>
        </w:rPr>
        <w:t xml:space="preserve">If Iran possesses hidden enriched uranium sufficient for a crude device, all scenarios shift. Quick Win probability drops further (the war’s core objective becomes unachievable); Catastrophic Spread rises sharply. Multiple intelligence agencies suspect this is the case.</w:t>
      </w:r>
    </w:p>
    <w:p>
      <w:pPr>
        <w:spacing w:after="160"/>
        <w:jc w:val="both"/>
      </w:pPr>
      <w:r>
        <w:rPr>
          <w:rFonts w:ascii="Georgia" w:cs="Georgia" w:eastAsia="Georgia" w:hAnsi="Georgia"/>
          <w:b/>
          <w:bCs/>
          <w:sz w:val="22"/>
          <w:szCs w:val="22"/>
        </w:rPr>
        <w:t xml:space="preserve">2. IRGC factional dynamics. </w:t>
      </w:r>
      <w:r>
        <w:rPr>
          <w:rFonts w:ascii="Georgia" w:cs="Georgia" w:eastAsia="Georgia" w:hAnsi="Georgia"/>
          <w:sz w:val="22"/>
          <w:szCs w:val="22"/>
        </w:rPr>
        <w:t xml:space="preserve">Outsiders — including most experts on this panel — have limited visibility into IRGC internal politics. If the organization is less cohesive than assumed (i.e., Takeyh and Bajoghli are wrong about institutional depth), the Quagmire and Quick Win probabilities could shift substantially. This is the single largest source of uncertainty.</w:t>
      </w:r>
    </w:p>
    <w:p>
      <w:pPr>
        <w:spacing w:after="160"/>
        <w:jc w:val="both"/>
      </w:pPr>
      <w:r>
        <w:rPr>
          <w:rFonts w:ascii="Georgia" w:cs="Georgia" w:eastAsia="Georgia" w:hAnsi="Georgia"/>
          <w:b/>
          <w:bCs/>
          <w:sz w:val="22"/>
          <w:szCs w:val="22"/>
        </w:rPr>
        <w:t xml:space="preserve">3. Chinese escalation. </w:t>
      </w:r>
      <w:r>
        <w:rPr>
          <w:rFonts w:ascii="Georgia" w:cs="Georgia" w:eastAsia="Georgia" w:hAnsi="Georgia"/>
          <w:sz w:val="22"/>
          <w:szCs w:val="22"/>
        </w:rPr>
        <w:t xml:space="preserve">If China moves beyond defensive aid to offensive military support (anti-ship missiles, satellite targeting data, direct naval presence), the conflict changes character entirely. Current assessment: low probability but not zero. Chatham House analysis suggests China is “playing the long game” rather than escalating.</w:t>
      </w:r>
    </w:p>
    <w:p>
      <w:pPr>
        <w:spacing w:after="160"/>
        <w:jc w:val="both"/>
      </w:pPr>
      <w:r>
        <w:rPr>
          <w:rFonts w:ascii="Georgia" w:cs="Georgia" w:eastAsia="Georgia" w:hAnsi="Georgia"/>
          <w:b/>
          <w:bCs/>
          <w:sz w:val="22"/>
          <w:szCs w:val="22"/>
        </w:rPr>
        <w:t xml:space="preserve">4. US domestic political rupture. </w:t>
      </w:r>
      <w:r>
        <w:rPr>
          <w:rFonts w:ascii="Georgia" w:cs="Georgia" w:eastAsia="Georgia" w:hAnsi="Georgia"/>
          <w:sz w:val="22"/>
          <w:szCs w:val="22"/>
        </w:rPr>
        <w:t xml:space="preserve">If Congress acts decisively to invoke the War Powers Act (bipartisan resolutions are already drafted), the timeline for US operations shortens dramatically. This would push the posterior toward Stalemate/De-escalation.</w:t>
      </w:r>
    </w:p>
    <w:p>
      <w:pPr>
        <w:spacing w:after="160"/>
        <w:jc w:val="both"/>
      </w:pPr>
      <w:r>
        <w:rPr>
          <w:rFonts w:ascii="Georgia" w:cs="Georgia" w:eastAsia="Georgia" w:hAnsi="Georgia"/>
          <w:b/>
          <w:bCs/>
          <w:sz w:val="22"/>
          <w:szCs w:val="22"/>
        </w:rPr>
        <w:t xml:space="preserve">5. Successful information manipulation. </w:t>
      </w:r>
      <w:r>
        <w:rPr>
          <w:rFonts w:ascii="Georgia" w:cs="Georgia" w:eastAsia="Georgia" w:hAnsi="Georgia"/>
          <w:sz w:val="22"/>
          <w:szCs w:val="22"/>
        </w:rPr>
        <w:t xml:space="preserve">Both sides are actively manipulating information flows. Iran inflates damage claims; the US/Israel downplays civilian casualties and overstates military success. If either side has been dramatically more successful at information control than we’ve accounted for, our evidence base is more biased than assumed. The multi-source, multi-language methodology mitigates this, but cannot eliminate it.</w:t>
      </w:r>
    </w:p>
    <w:p>
      <w:r>
        <w:br w:type="page"/>
      </w:r>
    </w:p>
    <w:p>
      <w:pPr>
        <w:pStyle w:val="Heading1"/>
        <w:spacing w:after="160" w:before="360"/>
      </w:pPr>
      <w:r>
        <w:rPr>
          <w:rFonts w:ascii="Georgia" w:cs="Georgia" w:eastAsia="Georgia" w:hAnsi="Georgia"/>
          <w:b/>
          <w:bCs/>
          <w:color w:val="1A1A2E"/>
          <w:sz w:val="32"/>
          <w:szCs w:val="32"/>
        </w:rPr>
        <w:t xml:space="preserve">Part 7: Methodology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5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Component</w:t>
            </w:r>
          </w:p>
        </w:tc>
        <w:tc>
          <w:tcPr>
            <w:tcW w:type="dxa" w:w="5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pPr>
              <w:jc w:val="left"/>
            </w:pPr>
            <w:r>
              <w:rPr>
                <w:rFonts w:ascii="Georgia" w:cs="Georgia" w:eastAsia="Georgia" w:hAnsi="Georgia"/>
                <w:b/>
                <w:bCs/>
                <w:color w:val="FFFFFF"/>
                <w:sz w:val="18"/>
                <w:szCs w:val="18"/>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Expert Prior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15 experts, 113 scored predictions, Beta-Jeffreys posteriors, Dirichlet scenario distributions, 15×15 correlation matrix, eigenvalue decomposition (10.13 effective experts), Satopää extremization (d=0.675), N=100,000 MC draws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First-Principles Evidence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86 sources across 40+ outlets in 12+ countries. 8 evidence clusters: interceptor depletion, MOP penetration physics, cost asymmetry, reconstitution dynamics, Hormuz economics, leadership decapitation, US public opinion, proxy degradation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Bayesian Update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Independence-weighted likelihood ratios per evidence cluster per scenario. L_eff = 1 + w×(L-1) where w = independence weight. Compound likelihood = product of L_eff across clusters. Posterior ∝ Prior × Compound Likelihood, renormalized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Key Assumptions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Evidence clusters are approximately independent of each other. Expert prior already partially incorporates some evidence (captured by independence weights 0.40–0.90). Likelihood ratios are calibrated conservatively (range 0.5–1.4)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b/>
                <w:bCs/>
                <w:color w:val="333333"/>
                <w:sz w:val="18"/>
                <w:szCs w:val="18"/>
              </w:rPr>
              <w:t xml:space="preserve">Limitations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Georgia" w:cs="Georgia" w:eastAsia="Georgia" w:hAnsi="Georgia"/>
                <w:color w:val="333333"/>
                <w:sz w:val="18"/>
                <w:szCs w:val="18"/>
              </w:rPr>
              <w:t xml:space="preserve">Likelihood ratios are author-assessed, not derived from data. Independence weights are subjective. Expert scenario probabilities are inferred from writings, not directly elicited. Living-conflict analysis; ground truth undetermined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4"/>
        <w:szCs w:val="14"/>
      </w:rPr>
      <w:t xml:space="preserve">Combined Strategic Assessment: Expert Judgment × First-Principles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2C3E50"/>
      <w:sz w:val="26"/>
      <w:szCs w:val="26"/>
    </w:rPr>
  </w:style>
  <w:style w:type="paragraph" w:styleId="Heading3">
    <w:name w:val="Heading 3"/>
    <w:basedOn w:val="Normal"/>
    <w:next w:val="Normal"/>
    <w:qFormat/>
    <w:pPr>
      <w:spacing w:after="100" w:before="200"/>
      <w:outlineLvl w:val="2"/>
    </w:pPr>
    <w:rPr>
      <w:rFonts w:ascii="Georgia" w:cs="Georgia" w:eastAsia="Georgia" w:hAnsi="Georgia"/>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2026-03-02T19:06:37.977Z</dcterms:created>
  <dcterms:modified xsi:type="dcterms:W3CDTF">2026-03-02T19:06:37.978Z</dcterms:modified>
</cp:coreProperties>
</file>

<file path=docProps/custom.xml><?xml version="1.0" encoding="utf-8"?>
<Properties xmlns="http://schemas.openxmlformats.org/officeDocument/2006/custom-properties" xmlns:vt="http://schemas.openxmlformats.org/officeDocument/2006/docPropsVTypes"/>
</file>