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6709" w:rsidRPr="00B16709" w:rsidRDefault="00B16709" w:rsidP="00B1670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B16709">
        <w:rPr>
          <w:rFonts w:ascii="Times New Roman" w:eastAsia="Times New Roman" w:hAnsi="Times New Roman" w:cs="Times New Roman"/>
          <w:b/>
          <w:bCs/>
          <w:kern w:val="36"/>
          <w:sz w:val="48"/>
          <w:szCs w:val="48"/>
          <w:lang w:eastAsia="en-IN"/>
        </w:rPr>
        <w:t>AI-Based Myopia Risk Prediction Model for School Children</w:t>
      </w:r>
    </w:p>
    <w:p w:rsidR="00B16709" w:rsidRPr="00B16709" w:rsidRDefault="00B16709" w:rsidP="00B1670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6709">
        <w:rPr>
          <w:rFonts w:ascii="Times New Roman" w:eastAsia="Times New Roman" w:hAnsi="Times New Roman" w:cs="Times New Roman"/>
          <w:b/>
          <w:bCs/>
          <w:sz w:val="36"/>
          <w:szCs w:val="36"/>
          <w:lang w:eastAsia="en-IN"/>
        </w:rPr>
        <w:t>Introduction</w:t>
      </w:r>
    </w:p>
    <w:p w:rsidR="00B16709" w:rsidRPr="00B16709" w:rsidRDefault="00B16709" w:rsidP="00B16709">
      <w:pPr>
        <w:spacing w:before="100" w:beforeAutospacing="1" w:after="100" w:afterAutospacing="1" w:line="240" w:lineRule="auto"/>
        <w:rPr>
          <w:rFonts w:ascii="Times New Roman" w:eastAsia="Times New Roman" w:hAnsi="Times New Roman" w:cs="Times New Roman"/>
          <w:sz w:val="24"/>
          <w:szCs w:val="24"/>
          <w:lang w:eastAsia="en-IN"/>
        </w:rPr>
      </w:pPr>
      <w:r w:rsidRPr="00B16709">
        <w:rPr>
          <w:rFonts w:ascii="Times New Roman" w:eastAsia="Times New Roman" w:hAnsi="Times New Roman" w:cs="Times New Roman"/>
          <w:sz w:val="24"/>
          <w:szCs w:val="24"/>
          <w:lang w:eastAsia="en-IN"/>
        </w:rPr>
        <w:t xml:space="preserve">Myopia has emerged as a major public health concern worldwide, particularly among school-aged children, with rising prevalence attributed to </w:t>
      </w:r>
      <w:proofErr w:type="spellStart"/>
      <w:r w:rsidRPr="00B16709">
        <w:rPr>
          <w:rFonts w:ascii="Times New Roman" w:eastAsia="Times New Roman" w:hAnsi="Times New Roman" w:cs="Times New Roman"/>
          <w:sz w:val="24"/>
          <w:szCs w:val="24"/>
          <w:lang w:eastAsia="en-IN"/>
        </w:rPr>
        <w:t>increased</w:t>
      </w:r>
      <w:proofErr w:type="spellEnd"/>
      <w:r w:rsidRPr="00B16709">
        <w:rPr>
          <w:rFonts w:ascii="Times New Roman" w:eastAsia="Times New Roman" w:hAnsi="Times New Roman" w:cs="Times New Roman"/>
          <w:sz w:val="24"/>
          <w:szCs w:val="24"/>
          <w:lang w:eastAsia="en-IN"/>
        </w:rPr>
        <w:t xml:space="preserve"> near-work activities, excessive screen exposure, and reduced outdoor time. Early onset of myopia is associated with faster progression and a higher risk of sight-threatening complications later in life. Conventional school vision screening programs primarily focus on detecting established myopia and often fail to identify children at risk before refractive changes occur. Recent advances in artificial intelligence (AI) and machine learning provide an opportunity to shift from reactive detection to proactive risk prediction, enabling timely preventive strategies at the community level.</w:t>
      </w:r>
    </w:p>
    <w:p w:rsidR="00B16709" w:rsidRPr="00B16709" w:rsidRDefault="00B16709" w:rsidP="00B1670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6709">
        <w:rPr>
          <w:rFonts w:ascii="Times New Roman" w:eastAsia="Times New Roman" w:hAnsi="Times New Roman" w:cs="Times New Roman"/>
          <w:b/>
          <w:bCs/>
          <w:sz w:val="36"/>
          <w:szCs w:val="36"/>
          <w:lang w:eastAsia="en-IN"/>
        </w:rPr>
        <w:t>Aim</w:t>
      </w:r>
    </w:p>
    <w:p w:rsidR="00B16709" w:rsidRPr="00B16709" w:rsidRDefault="00B16709" w:rsidP="00B16709">
      <w:pPr>
        <w:spacing w:before="100" w:beforeAutospacing="1" w:after="100" w:afterAutospacing="1" w:line="240" w:lineRule="auto"/>
        <w:rPr>
          <w:rFonts w:ascii="Times New Roman" w:eastAsia="Times New Roman" w:hAnsi="Times New Roman" w:cs="Times New Roman"/>
          <w:sz w:val="24"/>
          <w:szCs w:val="24"/>
          <w:lang w:eastAsia="en-IN"/>
        </w:rPr>
      </w:pPr>
      <w:r w:rsidRPr="00B16709">
        <w:rPr>
          <w:rFonts w:ascii="Times New Roman" w:eastAsia="Times New Roman" w:hAnsi="Times New Roman" w:cs="Times New Roman"/>
          <w:sz w:val="24"/>
          <w:szCs w:val="24"/>
          <w:lang w:eastAsia="en-IN"/>
        </w:rPr>
        <w:t>To develop and validate an artificial intelligence–based prediction model that identifies school-aged children at high risk of developing myopia using demographic, clinical, and lifestyle parameters.</w:t>
      </w:r>
    </w:p>
    <w:p w:rsidR="00B16709" w:rsidRPr="00B16709" w:rsidRDefault="00B16709" w:rsidP="00B1670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6709">
        <w:rPr>
          <w:rFonts w:ascii="Times New Roman" w:eastAsia="Times New Roman" w:hAnsi="Times New Roman" w:cs="Times New Roman"/>
          <w:b/>
          <w:bCs/>
          <w:sz w:val="36"/>
          <w:szCs w:val="36"/>
          <w:lang w:eastAsia="en-IN"/>
        </w:rPr>
        <w:t>Need of the Study</w:t>
      </w:r>
    </w:p>
    <w:p w:rsidR="00B16709" w:rsidRPr="00B16709" w:rsidRDefault="00B16709" w:rsidP="00B16709">
      <w:pPr>
        <w:spacing w:before="100" w:beforeAutospacing="1" w:after="100" w:afterAutospacing="1" w:line="240" w:lineRule="auto"/>
        <w:rPr>
          <w:rFonts w:ascii="Times New Roman" w:eastAsia="Times New Roman" w:hAnsi="Times New Roman" w:cs="Times New Roman"/>
          <w:sz w:val="24"/>
          <w:szCs w:val="24"/>
          <w:lang w:eastAsia="en-IN"/>
        </w:rPr>
      </w:pPr>
      <w:r w:rsidRPr="00B16709">
        <w:rPr>
          <w:rFonts w:ascii="Times New Roman" w:eastAsia="Times New Roman" w:hAnsi="Times New Roman" w:cs="Times New Roman"/>
          <w:sz w:val="24"/>
          <w:szCs w:val="24"/>
          <w:lang w:eastAsia="en-IN"/>
        </w:rPr>
        <w:t>Early identification of children at risk of myopia is crucial for implementing preventive interventions such as lifestyle modification, increased outdoor activity, and regular monitoring. Current screening approaches lack predictive capability and rely mainly on refractive error measurements after myopia has already developed. An AI-based risk prediction model can assist community eye-health programs by enabling targeted counselling, optimized referrals, and efficient allocation of limited healthcare resources, particularly in school and community settings.</w:t>
      </w:r>
    </w:p>
    <w:p w:rsidR="00B16709" w:rsidRPr="00B16709" w:rsidRDefault="00B16709" w:rsidP="00B1670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6709">
        <w:rPr>
          <w:rFonts w:ascii="Times New Roman" w:eastAsia="Times New Roman" w:hAnsi="Times New Roman" w:cs="Times New Roman"/>
          <w:b/>
          <w:bCs/>
          <w:sz w:val="36"/>
          <w:szCs w:val="36"/>
          <w:lang w:eastAsia="en-IN"/>
        </w:rPr>
        <w:t>Research Gap</w:t>
      </w:r>
    </w:p>
    <w:p w:rsidR="00B16709" w:rsidRPr="00B16709" w:rsidRDefault="00B16709" w:rsidP="00B16709">
      <w:pPr>
        <w:spacing w:before="100" w:beforeAutospacing="1" w:after="100" w:afterAutospacing="1" w:line="240" w:lineRule="auto"/>
        <w:rPr>
          <w:rFonts w:ascii="Times New Roman" w:eastAsia="Times New Roman" w:hAnsi="Times New Roman" w:cs="Times New Roman"/>
          <w:sz w:val="24"/>
          <w:szCs w:val="24"/>
          <w:lang w:eastAsia="en-IN"/>
        </w:rPr>
      </w:pPr>
      <w:r w:rsidRPr="00B16709">
        <w:rPr>
          <w:rFonts w:ascii="Times New Roman" w:eastAsia="Times New Roman" w:hAnsi="Times New Roman" w:cs="Times New Roman"/>
          <w:sz w:val="24"/>
          <w:szCs w:val="24"/>
          <w:lang w:eastAsia="en-IN"/>
        </w:rPr>
        <w:t xml:space="preserve">Although several studies have identified individual risk factors for myopia, there is a lack of integrated, data-driven predictive models that combine demographic, </w:t>
      </w:r>
      <w:proofErr w:type="spellStart"/>
      <w:r w:rsidRPr="00B16709">
        <w:rPr>
          <w:rFonts w:ascii="Times New Roman" w:eastAsia="Times New Roman" w:hAnsi="Times New Roman" w:cs="Times New Roman"/>
          <w:sz w:val="24"/>
          <w:szCs w:val="24"/>
          <w:lang w:eastAsia="en-IN"/>
        </w:rPr>
        <w:t>behavioral</w:t>
      </w:r>
      <w:proofErr w:type="spellEnd"/>
      <w:r w:rsidRPr="00B16709">
        <w:rPr>
          <w:rFonts w:ascii="Times New Roman" w:eastAsia="Times New Roman" w:hAnsi="Times New Roman" w:cs="Times New Roman"/>
          <w:sz w:val="24"/>
          <w:szCs w:val="24"/>
          <w:lang w:eastAsia="en-IN"/>
        </w:rPr>
        <w:t>, and clinical parameters to estimate individualized myopia risk. Existing AI research has predominantly focused on image-based diagnosis rather than prevention-oriented risk stratification. Moreover, limited studies have translated AI-based prediction models into tools suitable for community and school screening programs, especially in low- and middle-income settings.</w:t>
      </w:r>
    </w:p>
    <w:p w:rsidR="00B16709" w:rsidRPr="00B16709" w:rsidRDefault="00B16709" w:rsidP="00B1670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6709">
        <w:rPr>
          <w:rFonts w:ascii="Times New Roman" w:eastAsia="Times New Roman" w:hAnsi="Times New Roman" w:cs="Times New Roman"/>
          <w:b/>
          <w:bCs/>
          <w:sz w:val="36"/>
          <w:szCs w:val="36"/>
          <w:lang w:eastAsia="en-IN"/>
        </w:rPr>
        <w:t>Methodology</w:t>
      </w:r>
    </w:p>
    <w:p w:rsidR="00B16709" w:rsidRPr="00B16709" w:rsidRDefault="00B16709" w:rsidP="00B16709">
      <w:pPr>
        <w:spacing w:before="100" w:beforeAutospacing="1" w:after="100" w:afterAutospacing="1" w:line="240" w:lineRule="auto"/>
        <w:rPr>
          <w:rFonts w:ascii="Times New Roman" w:eastAsia="Times New Roman" w:hAnsi="Times New Roman" w:cs="Times New Roman"/>
          <w:sz w:val="24"/>
          <w:szCs w:val="24"/>
          <w:lang w:eastAsia="en-IN"/>
        </w:rPr>
      </w:pPr>
      <w:r w:rsidRPr="00B16709">
        <w:rPr>
          <w:rFonts w:ascii="Times New Roman" w:eastAsia="Times New Roman" w:hAnsi="Times New Roman" w:cs="Times New Roman"/>
          <w:sz w:val="24"/>
          <w:szCs w:val="24"/>
          <w:lang w:eastAsia="en-IN"/>
        </w:rPr>
        <w:t xml:space="preserve">This study will utilize an existing school-based myopia dataset comprising demographic variables (age, gender), clinical parameters (baseline refractive status or hyperopic reserve), and lifestyle factors (screen time, outdoor activity, and family history of myopia). Machine learning algorithms such as logistic regression, random forest, and gradient boosting models </w:t>
      </w:r>
      <w:r w:rsidRPr="00B16709">
        <w:rPr>
          <w:rFonts w:ascii="Times New Roman" w:eastAsia="Times New Roman" w:hAnsi="Times New Roman" w:cs="Times New Roman"/>
          <w:sz w:val="24"/>
          <w:szCs w:val="24"/>
          <w:lang w:eastAsia="en-IN"/>
        </w:rPr>
        <w:lastRenderedPageBreak/>
        <w:t>will be trained to predict the probability of myopia onset. Model performance will be evaluated using accuracy, sensitivity, specificity, and area under the receiver operating characteristic curve (AUC-ROC). Explainable AI techniques will be employed to identify key predictors contributing to myopia risk, ensuring clinical interpretability and ethical transparency.</w:t>
      </w:r>
    </w:p>
    <w:p w:rsidR="00B16709" w:rsidRPr="00B16709" w:rsidRDefault="00B16709" w:rsidP="00B1670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6709">
        <w:rPr>
          <w:rFonts w:ascii="Times New Roman" w:eastAsia="Times New Roman" w:hAnsi="Times New Roman" w:cs="Times New Roman"/>
          <w:b/>
          <w:bCs/>
          <w:sz w:val="36"/>
          <w:szCs w:val="36"/>
          <w:lang w:eastAsia="en-IN"/>
        </w:rPr>
        <w:t>Expected Outcomes</w:t>
      </w:r>
    </w:p>
    <w:p w:rsidR="00B16709" w:rsidRPr="00B16709" w:rsidRDefault="00B16709" w:rsidP="00B16709">
      <w:pPr>
        <w:spacing w:before="100" w:beforeAutospacing="1" w:after="100" w:afterAutospacing="1" w:line="240" w:lineRule="auto"/>
        <w:rPr>
          <w:rFonts w:ascii="Times New Roman" w:eastAsia="Times New Roman" w:hAnsi="Times New Roman" w:cs="Times New Roman"/>
          <w:sz w:val="24"/>
          <w:szCs w:val="24"/>
          <w:lang w:eastAsia="en-IN"/>
        </w:rPr>
      </w:pPr>
      <w:r w:rsidRPr="00B16709">
        <w:rPr>
          <w:rFonts w:ascii="Times New Roman" w:eastAsia="Times New Roman" w:hAnsi="Times New Roman" w:cs="Times New Roman"/>
          <w:sz w:val="24"/>
          <w:szCs w:val="24"/>
          <w:lang w:eastAsia="en-IN"/>
        </w:rPr>
        <w:t>The study is expected to produce a validated AI-based myopia risk prediction model capable of classifying children into low- and high-risk categories. The model will generate an interpretable risk score that can be integrated into school and community vision screening programs. Findings from this research will support evidence-based preventive strategies, enhance early intervention efforts, and contribute to reducing the long-term burden of myopia at the population level.</w:t>
      </w:r>
    </w:p>
    <w:p w:rsidR="00B16709" w:rsidRPr="00B16709" w:rsidRDefault="00B16709" w:rsidP="00B1670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B16709">
        <w:rPr>
          <w:rFonts w:ascii="Times New Roman" w:eastAsia="Times New Roman" w:hAnsi="Times New Roman" w:cs="Times New Roman"/>
          <w:b/>
          <w:bCs/>
          <w:sz w:val="36"/>
          <w:szCs w:val="36"/>
          <w:lang w:eastAsia="en-IN"/>
        </w:rPr>
        <w:t xml:space="preserve">References </w:t>
      </w:r>
      <w:bookmarkStart w:id="0" w:name="_GoBack"/>
      <w:bookmarkEnd w:id="0"/>
    </w:p>
    <w:p w:rsidR="00B16709" w:rsidRPr="00B16709" w:rsidRDefault="00B16709" w:rsidP="00B16709">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16709">
        <w:rPr>
          <w:rFonts w:ascii="Times New Roman" w:eastAsia="Times New Roman" w:hAnsi="Times New Roman" w:cs="Times New Roman"/>
          <w:sz w:val="24"/>
          <w:szCs w:val="24"/>
          <w:lang w:eastAsia="en-IN"/>
        </w:rPr>
        <w:t xml:space="preserve">Holden, B. A., Fricke, T. R., Wilson, D. A., Jong, M., Naidoo, K. S., </w:t>
      </w:r>
      <w:proofErr w:type="spellStart"/>
      <w:r w:rsidRPr="00B16709">
        <w:rPr>
          <w:rFonts w:ascii="Times New Roman" w:eastAsia="Times New Roman" w:hAnsi="Times New Roman" w:cs="Times New Roman"/>
          <w:sz w:val="24"/>
          <w:szCs w:val="24"/>
          <w:lang w:eastAsia="en-IN"/>
        </w:rPr>
        <w:t>Sankaridurg</w:t>
      </w:r>
      <w:proofErr w:type="spellEnd"/>
      <w:r w:rsidRPr="00B16709">
        <w:rPr>
          <w:rFonts w:ascii="Times New Roman" w:eastAsia="Times New Roman" w:hAnsi="Times New Roman" w:cs="Times New Roman"/>
          <w:sz w:val="24"/>
          <w:szCs w:val="24"/>
          <w:lang w:eastAsia="en-IN"/>
        </w:rPr>
        <w:t>, P</w:t>
      </w:r>
      <w:proofErr w:type="gramStart"/>
      <w:r w:rsidRPr="00B16709">
        <w:rPr>
          <w:rFonts w:ascii="Times New Roman" w:eastAsia="Times New Roman" w:hAnsi="Times New Roman" w:cs="Times New Roman"/>
          <w:sz w:val="24"/>
          <w:szCs w:val="24"/>
          <w:lang w:eastAsia="en-IN"/>
        </w:rPr>
        <w:t>., …</w:t>
      </w:r>
      <w:proofErr w:type="gramEnd"/>
      <w:r w:rsidRPr="00B16709">
        <w:rPr>
          <w:rFonts w:ascii="Times New Roman" w:eastAsia="Times New Roman" w:hAnsi="Times New Roman" w:cs="Times New Roman"/>
          <w:sz w:val="24"/>
          <w:szCs w:val="24"/>
          <w:lang w:eastAsia="en-IN"/>
        </w:rPr>
        <w:t xml:space="preserve"> </w:t>
      </w:r>
      <w:proofErr w:type="spellStart"/>
      <w:r w:rsidRPr="00B16709">
        <w:rPr>
          <w:rFonts w:ascii="Times New Roman" w:eastAsia="Times New Roman" w:hAnsi="Times New Roman" w:cs="Times New Roman"/>
          <w:sz w:val="24"/>
          <w:szCs w:val="24"/>
          <w:lang w:eastAsia="en-IN"/>
        </w:rPr>
        <w:t>Resnikoff</w:t>
      </w:r>
      <w:proofErr w:type="spellEnd"/>
      <w:r w:rsidRPr="00B16709">
        <w:rPr>
          <w:rFonts w:ascii="Times New Roman" w:eastAsia="Times New Roman" w:hAnsi="Times New Roman" w:cs="Times New Roman"/>
          <w:sz w:val="24"/>
          <w:szCs w:val="24"/>
          <w:lang w:eastAsia="en-IN"/>
        </w:rPr>
        <w:t xml:space="preserve">, S. (2016). Global prevalence of myopia and high myopia and temporal trends from 2000 through 2050. </w:t>
      </w:r>
      <w:r w:rsidRPr="00B16709">
        <w:rPr>
          <w:rFonts w:ascii="Times New Roman" w:eastAsia="Times New Roman" w:hAnsi="Times New Roman" w:cs="Times New Roman"/>
          <w:i/>
          <w:iCs/>
          <w:sz w:val="24"/>
          <w:szCs w:val="24"/>
          <w:lang w:eastAsia="en-IN"/>
        </w:rPr>
        <w:t>Ophthalmology, 123</w:t>
      </w:r>
      <w:r w:rsidRPr="00B16709">
        <w:rPr>
          <w:rFonts w:ascii="Times New Roman" w:eastAsia="Times New Roman" w:hAnsi="Times New Roman" w:cs="Times New Roman"/>
          <w:sz w:val="24"/>
          <w:szCs w:val="24"/>
          <w:lang w:eastAsia="en-IN"/>
        </w:rPr>
        <w:t>(5), 1036–1042. https://doi.org/10.1016/j.ophtha.2016.01.006</w:t>
      </w:r>
    </w:p>
    <w:p w:rsidR="00B16709" w:rsidRPr="00B16709" w:rsidRDefault="00B16709" w:rsidP="00B16709">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16709">
        <w:rPr>
          <w:rFonts w:ascii="Times New Roman" w:eastAsia="Times New Roman" w:hAnsi="Times New Roman" w:cs="Times New Roman"/>
          <w:sz w:val="24"/>
          <w:szCs w:val="24"/>
          <w:lang w:eastAsia="en-IN"/>
        </w:rPr>
        <w:t xml:space="preserve">Morgan, I. G., </w:t>
      </w:r>
      <w:proofErr w:type="spellStart"/>
      <w:r w:rsidRPr="00B16709">
        <w:rPr>
          <w:rFonts w:ascii="Times New Roman" w:eastAsia="Times New Roman" w:hAnsi="Times New Roman" w:cs="Times New Roman"/>
          <w:sz w:val="24"/>
          <w:szCs w:val="24"/>
          <w:lang w:eastAsia="en-IN"/>
        </w:rPr>
        <w:t>Ohno</w:t>
      </w:r>
      <w:proofErr w:type="spellEnd"/>
      <w:r w:rsidRPr="00B16709">
        <w:rPr>
          <w:rFonts w:ascii="Times New Roman" w:eastAsia="Times New Roman" w:hAnsi="Times New Roman" w:cs="Times New Roman"/>
          <w:sz w:val="24"/>
          <w:szCs w:val="24"/>
          <w:lang w:eastAsia="en-IN"/>
        </w:rPr>
        <w:t xml:space="preserve">-Matsui, K., &amp; Saw, S. M. (2012). Myopia. </w:t>
      </w:r>
      <w:r w:rsidRPr="00B16709">
        <w:rPr>
          <w:rFonts w:ascii="Times New Roman" w:eastAsia="Times New Roman" w:hAnsi="Times New Roman" w:cs="Times New Roman"/>
          <w:i/>
          <w:iCs/>
          <w:sz w:val="24"/>
          <w:szCs w:val="24"/>
          <w:lang w:eastAsia="en-IN"/>
        </w:rPr>
        <w:t>The Lancet, 379</w:t>
      </w:r>
      <w:r w:rsidRPr="00B16709">
        <w:rPr>
          <w:rFonts w:ascii="Times New Roman" w:eastAsia="Times New Roman" w:hAnsi="Times New Roman" w:cs="Times New Roman"/>
          <w:sz w:val="24"/>
          <w:szCs w:val="24"/>
          <w:lang w:eastAsia="en-IN"/>
        </w:rPr>
        <w:t>(9827), 1739–1748. https://doi.org/10.1016/S0140-6736(12)60272-4</w:t>
      </w:r>
    </w:p>
    <w:p w:rsidR="00B16709" w:rsidRPr="00B16709" w:rsidRDefault="00B16709" w:rsidP="00B16709">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B16709">
        <w:rPr>
          <w:rFonts w:ascii="Times New Roman" w:eastAsia="Times New Roman" w:hAnsi="Times New Roman" w:cs="Times New Roman"/>
          <w:sz w:val="24"/>
          <w:szCs w:val="24"/>
          <w:lang w:eastAsia="en-IN"/>
        </w:rPr>
        <w:t xml:space="preserve">Rose, K. A., Morgan, I. G., </w:t>
      </w:r>
      <w:proofErr w:type="spellStart"/>
      <w:r w:rsidRPr="00B16709">
        <w:rPr>
          <w:rFonts w:ascii="Times New Roman" w:eastAsia="Times New Roman" w:hAnsi="Times New Roman" w:cs="Times New Roman"/>
          <w:sz w:val="24"/>
          <w:szCs w:val="24"/>
          <w:lang w:eastAsia="en-IN"/>
        </w:rPr>
        <w:t>Ip</w:t>
      </w:r>
      <w:proofErr w:type="spellEnd"/>
      <w:r w:rsidRPr="00B16709">
        <w:rPr>
          <w:rFonts w:ascii="Times New Roman" w:eastAsia="Times New Roman" w:hAnsi="Times New Roman" w:cs="Times New Roman"/>
          <w:sz w:val="24"/>
          <w:szCs w:val="24"/>
          <w:lang w:eastAsia="en-IN"/>
        </w:rPr>
        <w:t xml:space="preserve">, J., </w:t>
      </w:r>
      <w:proofErr w:type="spellStart"/>
      <w:r w:rsidRPr="00B16709">
        <w:rPr>
          <w:rFonts w:ascii="Times New Roman" w:eastAsia="Times New Roman" w:hAnsi="Times New Roman" w:cs="Times New Roman"/>
          <w:sz w:val="24"/>
          <w:szCs w:val="24"/>
          <w:lang w:eastAsia="en-IN"/>
        </w:rPr>
        <w:t>Kifley</w:t>
      </w:r>
      <w:proofErr w:type="spellEnd"/>
      <w:r w:rsidRPr="00B16709">
        <w:rPr>
          <w:rFonts w:ascii="Times New Roman" w:eastAsia="Times New Roman" w:hAnsi="Times New Roman" w:cs="Times New Roman"/>
          <w:sz w:val="24"/>
          <w:szCs w:val="24"/>
          <w:lang w:eastAsia="en-IN"/>
        </w:rPr>
        <w:t xml:space="preserve">, A., Huynh, S., Smith, W., &amp; Mitchell, P. (2008). Outdoor activity reduces the prevalence of myopia in children. </w:t>
      </w:r>
      <w:r w:rsidRPr="00B16709">
        <w:rPr>
          <w:rFonts w:ascii="Times New Roman" w:eastAsia="Times New Roman" w:hAnsi="Times New Roman" w:cs="Times New Roman"/>
          <w:i/>
          <w:iCs/>
          <w:sz w:val="24"/>
          <w:szCs w:val="24"/>
          <w:lang w:eastAsia="en-IN"/>
        </w:rPr>
        <w:t>Ophthalmology, 115</w:t>
      </w:r>
      <w:r w:rsidRPr="00B16709">
        <w:rPr>
          <w:rFonts w:ascii="Times New Roman" w:eastAsia="Times New Roman" w:hAnsi="Times New Roman" w:cs="Times New Roman"/>
          <w:sz w:val="24"/>
          <w:szCs w:val="24"/>
          <w:lang w:eastAsia="en-IN"/>
        </w:rPr>
        <w:t>(8), 1279–1285. https://doi.org/10.1016/j.ophtha.2007.12.019</w:t>
      </w:r>
    </w:p>
    <w:p w:rsidR="00B16709" w:rsidRPr="00B16709" w:rsidRDefault="00B16709" w:rsidP="00B16709">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16709">
        <w:rPr>
          <w:rFonts w:ascii="Times New Roman" w:eastAsia="Times New Roman" w:hAnsi="Times New Roman" w:cs="Times New Roman"/>
          <w:sz w:val="24"/>
          <w:szCs w:val="24"/>
          <w:lang w:eastAsia="en-IN"/>
        </w:rPr>
        <w:t>Tideman</w:t>
      </w:r>
      <w:proofErr w:type="spellEnd"/>
      <w:r w:rsidRPr="00B16709">
        <w:rPr>
          <w:rFonts w:ascii="Times New Roman" w:eastAsia="Times New Roman" w:hAnsi="Times New Roman" w:cs="Times New Roman"/>
          <w:sz w:val="24"/>
          <w:szCs w:val="24"/>
          <w:lang w:eastAsia="en-IN"/>
        </w:rPr>
        <w:t xml:space="preserve">, J. W. L., Polling, J. R., </w:t>
      </w:r>
      <w:proofErr w:type="spellStart"/>
      <w:r w:rsidRPr="00B16709">
        <w:rPr>
          <w:rFonts w:ascii="Times New Roman" w:eastAsia="Times New Roman" w:hAnsi="Times New Roman" w:cs="Times New Roman"/>
          <w:sz w:val="24"/>
          <w:szCs w:val="24"/>
          <w:lang w:eastAsia="en-IN"/>
        </w:rPr>
        <w:t>Vingerling</w:t>
      </w:r>
      <w:proofErr w:type="spellEnd"/>
      <w:r w:rsidRPr="00B16709">
        <w:rPr>
          <w:rFonts w:ascii="Times New Roman" w:eastAsia="Times New Roman" w:hAnsi="Times New Roman" w:cs="Times New Roman"/>
          <w:sz w:val="24"/>
          <w:szCs w:val="24"/>
          <w:lang w:eastAsia="en-IN"/>
        </w:rPr>
        <w:t xml:space="preserve">, J. R., </w:t>
      </w:r>
      <w:proofErr w:type="spellStart"/>
      <w:r w:rsidRPr="00B16709">
        <w:rPr>
          <w:rFonts w:ascii="Times New Roman" w:eastAsia="Times New Roman" w:hAnsi="Times New Roman" w:cs="Times New Roman"/>
          <w:sz w:val="24"/>
          <w:szCs w:val="24"/>
          <w:lang w:eastAsia="en-IN"/>
        </w:rPr>
        <w:t>Jaddoe</w:t>
      </w:r>
      <w:proofErr w:type="spellEnd"/>
      <w:r w:rsidRPr="00B16709">
        <w:rPr>
          <w:rFonts w:ascii="Times New Roman" w:eastAsia="Times New Roman" w:hAnsi="Times New Roman" w:cs="Times New Roman"/>
          <w:sz w:val="24"/>
          <w:szCs w:val="24"/>
          <w:lang w:eastAsia="en-IN"/>
        </w:rPr>
        <w:t xml:space="preserve">, V. W. V., Williams, C., Guggenheim, J. A., &amp; </w:t>
      </w:r>
      <w:proofErr w:type="spellStart"/>
      <w:r w:rsidRPr="00B16709">
        <w:rPr>
          <w:rFonts w:ascii="Times New Roman" w:eastAsia="Times New Roman" w:hAnsi="Times New Roman" w:cs="Times New Roman"/>
          <w:sz w:val="24"/>
          <w:szCs w:val="24"/>
          <w:lang w:eastAsia="en-IN"/>
        </w:rPr>
        <w:t>Klaver</w:t>
      </w:r>
      <w:proofErr w:type="spellEnd"/>
      <w:r w:rsidRPr="00B16709">
        <w:rPr>
          <w:rFonts w:ascii="Times New Roman" w:eastAsia="Times New Roman" w:hAnsi="Times New Roman" w:cs="Times New Roman"/>
          <w:sz w:val="24"/>
          <w:szCs w:val="24"/>
          <w:lang w:eastAsia="en-IN"/>
        </w:rPr>
        <w:t xml:space="preserve">, C. C. W. (2016). Axial length growth and the risk of developing myopia in European children. </w:t>
      </w:r>
      <w:proofErr w:type="spellStart"/>
      <w:r w:rsidRPr="00B16709">
        <w:rPr>
          <w:rFonts w:ascii="Times New Roman" w:eastAsia="Times New Roman" w:hAnsi="Times New Roman" w:cs="Times New Roman"/>
          <w:i/>
          <w:iCs/>
          <w:sz w:val="24"/>
          <w:szCs w:val="24"/>
          <w:lang w:eastAsia="en-IN"/>
        </w:rPr>
        <w:t>Acta</w:t>
      </w:r>
      <w:proofErr w:type="spellEnd"/>
      <w:r w:rsidRPr="00B16709">
        <w:rPr>
          <w:rFonts w:ascii="Times New Roman" w:eastAsia="Times New Roman" w:hAnsi="Times New Roman" w:cs="Times New Roman"/>
          <w:i/>
          <w:iCs/>
          <w:sz w:val="24"/>
          <w:szCs w:val="24"/>
          <w:lang w:eastAsia="en-IN"/>
        </w:rPr>
        <w:t xml:space="preserve"> </w:t>
      </w:r>
      <w:proofErr w:type="spellStart"/>
      <w:r w:rsidRPr="00B16709">
        <w:rPr>
          <w:rFonts w:ascii="Times New Roman" w:eastAsia="Times New Roman" w:hAnsi="Times New Roman" w:cs="Times New Roman"/>
          <w:i/>
          <w:iCs/>
          <w:sz w:val="24"/>
          <w:szCs w:val="24"/>
          <w:lang w:eastAsia="en-IN"/>
        </w:rPr>
        <w:t>Ophthalmologica</w:t>
      </w:r>
      <w:proofErr w:type="spellEnd"/>
      <w:r w:rsidRPr="00B16709">
        <w:rPr>
          <w:rFonts w:ascii="Times New Roman" w:eastAsia="Times New Roman" w:hAnsi="Times New Roman" w:cs="Times New Roman"/>
          <w:i/>
          <w:iCs/>
          <w:sz w:val="24"/>
          <w:szCs w:val="24"/>
          <w:lang w:eastAsia="en-IN"/>
        </w:rPr>
        <w:t>, 96</w:t>
      </w:r>
      <w:r w:rsidRPr="00B16709">
        <w:rPr>
          <w:rFonts w:ascii="Times New Roman" w:eastAsia="Times New Roman" w:hAnsi="Times New Roman" w:cs="Times New Roman"/>
          <w:sz w:val="24"/>
          <w:szCs w:val="24"/>
          <w:lang w:eastAsia="en-IN"/>
        </w:rPr>
        <w:t>(3), 301–309. https://doi.org/10.1111/aos.13603</w:t>
      </w:r>
    </w:p>
    <w:p w:rsidR="00B16709" w:rsidRPr="00B16709" w:rsidRDefault="00B16709" w:rsidP="00B16709">
      <w:pPr>
        <w:pStyle w:val="ListParagraph"/>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B16709">
        <w:rPr>
          <w:rFonts w:ascii="Times New Roman" w:eastAsia="Times New Roman" w:hAnsi="Times New Roman" w:cs="Times New Roman"/>
          <w:sz w:val="24"/>
          <w:szCs w:val="24"/>
          <w:lang w:eastAsia="en-IN"/>
        </w:rPr>
        <w:t>Topol</w:t>
      </w:r>
      <w:proofErr w:type="spellEnd"/>
      <w:r w:rsidRPr="00B16709">
        <w:rPr>
          <w:rFonts w:ascii="Times New Roman" w:eastAsia="Times New Roman" w:hAnsi="Times New Roman" w:cs="Times New Roman"/>
          <w:sz w:val="24"/>
          <w:szCs w:val="24"/>
          <w:lang w:eastAsia="en-IN"/>
        </w:rPr>
        <w:t xml:space="preserve">, E. J. (2019). High-performance medicine: The convergence of human and artificial intelligence. </w:t>
      </w:r>
      <w:r w:rsidRPr="00B16709">
        <w:rPr>
          <w:rFonts w:ascii="Times New Roman" w:eastAsia="Times New Roman" w:hAnsi="Times New Roman" w:cs="Times New Roman"/>
          <w:i/>
          <w:iCs/>
          <w:sz w:val="24"/>
          <w:szCs w:val="24"/>
          <w:lang w:eastAsia="en-IN"/>
        </w:rPr>
        <w:t>Nature Medicine, 25</w:t>
      </w:r>
      <w:r w:rsidRPr="00B16709">
        <w:rPr>
          <w:rFonts w:ascii="Times New Roman" w:eastAsia="Times New Roman" w:hAnsi="Times New Roman" w:cs="Times New Roman"/>
          <w:sz w:val="24"/>
          <w:szCs w:val="24"/>
          <w:lang w:eastAsia="en-IN"/>
        </w:rPr>
        <w:t xml:space="preserve">(1), 44–56. </w:t>
      </w:r>
      <w:hyperlink r:id="rId5" w:tgtFrame="_new" w:history="1">
        <w:r w:rsidRPr="00B16709">
          <w:rPr>
            <w:rFonts w:ascii="Times New Roman" w:eastAsia="Times New Roman" w:hAnsi="Times New Roman" w:cs="Times New Roman"/>
            <w:color w:val="0000FF"/>
            <w:sz w:val="24"/>
            <w:szCs w:val="24"/>
            <w:u w:val="single"/>
            <w:lang w:eastAsia="en-IN"/>
          </w:rPr>
          <w:t>https://doi.org/10.1038/s41591-018-0300-7</w:t>
        </w:r>
      </w:hyperlink>
    </w:p>
    <w:p w:rsidR="002D5401" w:rsidRDefault="002D5401"/>
    <w:sectPr w:rsidR="002D54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37B7F11"/>
    <w:multiLevelType w:val="hybridMultilevel"/>
    <w:tmpl w:val="58BE03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160"/>
    <w:rsid w:val="002D5401"/>
    <w:rsid w:val="009D5160"/>
    <w:rsid w:val="00B167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703A8F3-FCEF-460B-B19E-F6B4657E4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1670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B1670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70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B16709"/>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B16709"/>
    <w:rPr>
      <w:b/>
      <w:bCs/>
    </w:rPr>
  </w:style>
  <w:style w:type="paragraph" w:styleId="NormalWeb">
    <w:name w:val="Normal (Web)"/>
    <w:basedOn w:val="Normal"/>
    <w:uiPriority w:val="99"/>
    <w:semiHidden/>
    <w:unhideWhenUsed/>
    <w:rsid w:val="00B1670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B16709"/>
    <w:rPr>
      <w:i/>
      <w:iCs/>
    </w:rPr>
  </w:style>
  <w:style w:type="character" w:styleId="Hyperlink">
    <w:name w:val="Hyperlink"/>
    <w:basedOn w:val="DefaultParagraphFont"/>
    <w:uiPriority w:val="99"/>
    <w:semiHidden/>
    <w:unhideWhenUsed/>
    <w:rsid w:val="00B16709"/>
    <w:rPr>
      <w:color w:val="0000FF"/>
      <w:u w:val="single"/>
    </w:rPr>
  </w:style>
  <w:style w:type="paragraph" w:styleId="ListParagraph">
    <w:name w:val="List Paragraph"/>
    <w:basedOn w:val="Normal"/>
    <w:uiPriority w:val="34"/>
    <w:qFormat/>
    <w:rsid w:val="00B1670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8729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38/s41591-018-0300-7"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685</Words>
  <Characters>3907</Characters>
  <Application>Microsoft Office Word</Application>
  <DocSecurity>0</DocSecurity>
  <Lines>32</Lines>
  <Paragraphs>9</Paragraphs>
  <ScaleCrop>false</ScaleCrop>
  <Company/>
  <LinksUpToDate>false</LinksUpToDate>
  <CharactersWithSpaces>4583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CHARUSAT</dc:creator>
  <cp:keywords/>
  <dc:description/>
  <cp:lastModifiedBy>CHARUSAT</cp:lastModifiedBy>
  <cp:revision>2</cp:revision>
  <dcterms:created xsi:type="dcterms:W3CDTF">2025-12-20T08:28:00Z</dcterms:created>
  <dcterms:modified xsi:type="dcterms:W3CDTF">2025-12-20T08:28:00Z</dcterms:modified>
</cp:coreProperties>
</file>