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4A77C" w14:textId="77777777" w:rsidR="00146A37" w:rsidRPr="00495FF8" w:rsidRDefault="00146A37">
      <w:pPr>
        <w:spacing w:before="1400"/>
        <w:jc w:val="center"/>
        <w:rPr>
          <w:rFonts w:ascii="Times New Roman" w:hAnsi="Times New Roman" w:cs="Times New Roman"/>
          <w:b/>
          <w:color w:val="12355B"/>
          <w:sz w:val="58"/>
        </w:rPr>
      </w:pPr>
    </w:p>
    <w:p w14:paraId="7459534C" w14:textId="60EC5A64" w:rsidR="00EB6344" w:rsidRPr="00495FF8" w:rsidRDefault="00F04F3F">
      <w:pPr>
        <w:spacing w:before="1400"/>
        <w:jc w:val="center"/>
        <w:rPr>
          <w:rFonts w:ascii="Times New Roman" w:hAnsi="Times New Roman" w:cs="Times New Roman"/>
        </w:rPr>
      </w:pPr>
      <w:r w:rsidRPr="00495FF8">
        <w:rPr>
          <w:rFonts w:ascii="Times New Roman" w:hAnsi="Times New Roman" w:cs="Times New Roman"/>
          <w:b/>
          <w:color w:val="12355B"/>
          <w:sz w:val="58"/>
        </w:rPr>
        <w:t>DATA COLLECTION</w:t>
      </w:r>
      <w:r w:rsidRPr="00495FF8">
        <w:rPr>
          <w:rFonts w:ascii="Times New Roman" w:hAnsi="Times New Roman" w:cs="Times New Roman"/>
          <w:b/>
          <w:color w:val="12355B"/>
          <w:sz w:val="58"/>
        </w:rPr>
        <w:br/>
        <w:t>STRATEGY DESIGN</w:t>
      </w:r>
    </w:p>
    <w:p w14:paraId="21DD7097" w14:textId="77777777" w:rsidR="00EB6344" w:rsidRPr="00495FF8" w:rsidRDefault="00F04F3F">
      <w:pPr>
        <w:jc w:val="center"/>
        <w:rPr>
          <w:rFonts w:ascii="Times New Roman" w:hAnsi="Times New Roman" w:cs="Times New Roman"/>
        </w:rPr>
      </w:pPr>
      <w:r w:rsidRPr="00495FF8">
        <w:rPr>
          <w:rFonts w:ascii="Times New Roman" w:hAnsi="Times New Roman" w:cs="Times New Roman"/>
          <w:b/>
          <w:color w:val="1F5A85"/>
          <w:sz w:val="36"/>
        </w:rPr>
        <w:t>Green Jobs and Sustainability in India</w:t>
      </w:r>
    </w:p>
    <w:p w14:paraId="397E2771" w14:textId="2530647E" w:rsidR="00146A37" w:rsidRPr="00495FF8" w:rsidRDefault="00F04F3F" w:rsidP="00146A37">
      <w:pPr>
        <w:jc w:val="center"/>
        <w:rPr>
          <w:rFonts w:ascii="Times New Roman" w:hAnsi="Times New Roman" w:cs="Times New Roman"/>
        </w:rPr>
      </w:pPr>
      <w:r w:rsidRPr="00495FF8">
        <w:rPr>
          <w:rFonts w:ascii="Times New Roman" w:hAnsi="Times New Roman" w:cs="Times New Roman"/>
          <w:i/>
          <w:sz w:val="22"/>
        </w:rPr>
        <w:t>A methodological plan for collecting reliable, comparable and decision-relevant secondary data</w:t>
      </w:r>
    </w:p>
    <w:p w14:paraId="4D45C808" w14:textId="2E0DFCC3" w:rsidR="00146A37" w:rsidRPr="00495FF8" w:rsidRDefault="00146A37">
      <w:pPr>
        <w:rPr>
          <w:rFonts w:ascii="Times New Roman" w:hAnsi="Times New Roman" w:cs="Times New Roman"/>
        </w:rPr>
      </w:pPr>
    </w:p>
    <w:p w14:paraId="69A694DC" w14:textId="77777777" w:rsidR="00146A37" w:rsidRPr="00495FF8" w:rsidRDefault="00146A3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880"/>
        <w:gridCol w:w="4773"/>
      </w:tblGrid>
      <w:tr w:rsidR="00EB6344" w:rsidRPr="00495FF8" w14:paraId="1D9795AF" w14:textId="77777777" w:rsidTr="00146A37">
        <w:trPr>
          <w:jc w:val="center"/>
        </w:trPr>
        <w:tc>
          <w:tcPr>
            <w:tcW w:w="2880" w:type="dxa"/>
            <w:shd w:val="clear" w:color="auto" w:fill="12355B"/>
          </w:tcPr>
          <w:p w14:paraId="29543496"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8"/>
              </w:rPr>
              <w:t>Report details</w:t>
            </w:r>
          </w:p>
        </w:tc>
        <w:tc>
          <w:tcPr>
            <w:tcW w:w="4773" w:type="dxa"/>
            <w:shd w:val="clear" w:color="auto" w:fill="12355B"/>
          </w:tcPr>
          <w:p w14:paraId="1E722F91"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8"/>
              </w:rPr>
              <w:t>Information</w:t>
            </w:r>
          </w:p>
        </w:tc>
      </w:tr>
      <w:tr w:rsidR="00EB6344" w:rsidRPr="00495FF8" w14:paraId="15DC10EC" w14:textId="77777777" w:rsidTr="00146A37">
        <w:trPr>
          <w:jc w:val="center"/>
        </w:trPr>
        <w:tc>
          <w:tcPr>
            <w:tcW w:w="2880" w:type="dxa"/>
            <w:vAlign w:val="center"/>
          </w:tcPr>
          <w:p w14:paraId="5B56236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8"/>
              </w:rPr>
              <w:t>Internship programme</w:t>
            </w:r>
          </w:p>
        </w:tc>
        <w:tc>
          <w:tcPr>
            <w:tcW w:w="4773" w:type="dxa"/>
            <w:vAlign w:val="center"/>
          </w:tcPr>
          <w:p w14:paraId="1299158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8"/>
              </w:rPr>
              <w:t xml:space="preserve">Junior Data Analyst – Green Jobs &amp; </w:t>
            </w:r>
            <w:r w:rsidRPr="00495FF8">
              <w:rPr>
                <w:rFonts w:ascii="Times New Roman" w:hAnsi="Times New Roman" w:cs="Times New Roman"/>
                <w:sz w:val="18"/>
              </w:rPr>
              <w:t>Sustainability</w:t>
            </w:r>
          </w:p>
        </w:tc>
      </w:tr>
      <w:tr w:rsidR="00EB6344" w:rsidRPr="00495FF8" w14:paraId="1206FF61" w14:textId="77777777" w:rsidTr="00146A37">
        <w:trPr>
          <w:jc w:val="center"/>
        </w:trPr>
        <w:tc>
          <w:tcPr>
            <w:tcW w:w="2880" w:type="dxa"/>
            <w:shd w:val="clear" w:color="auto" w:fill="F0F5F9"/>
            <w:vAlign w:val="center"/>
          </w:tcPr>
          <w:p w14:paraId="3681F3A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8"/>
              </w:rPr>
              <w:t>Task</w:t>
            </w:r>
          </w:p>
        </w:tc>
        <w:tc>
          <w:tcPr>
            <w:tcW w:w="4773" w:type="dxa"/>
            <w:shd w:val="clear" w:color="auto" w:fill="F0F5F9"/>
            <w:vAlign w:val="center"/>
          </w:tcPr>
          <w:p w14:paraId="326CC67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8"/>
              </w:rPr>
              <w:t>Week 2: Data Collection Strategy Design</w:t>
            </w:r>
          </w:p>
        </w:tc>
      </w:tr>
      <w:tr w:rsidR="00EB6344" w:rsidRPr="00495FF8" w14:paraId="0FF566FC" w14:textId="77777777" w:rsidTr="00146A37">
        <w:trPr>
          <w:jc w:val="center"/>
        </w:trPr>
        <w:tc>
          <w:tcPr>
            <w:tcW w:w="2880" w:type="dxa"/>
            <w:vAlign w:val="center"/>
          </w:tcPr>
          <w:p w14:paraId="317FE38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8"/>
              </w:rPr>
              <w:t>Prepared by</w:t>
            </w:r>
          </w:p>
        </w:tc>
        <w:tc>
          <w:tcPr>
            <w:tcW w:w="4773" w:type="dxa"/>
            <w:vAlign w:val="center"/>
          </w:tcPr>
          <w:p w14:paraId="1248DA8F" w14:textId="3ED0BCB5" w:rsidR="00EB6344" w:rsidRPr="00495FF8" w:rsidRDefault="00F04F3F">
            <w:pPr>
              <w:spacing w:before="40" w:after="40"/>
              <w:rPr>
                <w:rFonts w:ascii="Times New Roman" w:hAnsi="Times New Roman" w:cs="Times New Roman"/>
              </w:rPr>
            </w:pPr>
            <w:r w:rsidRPr="00495FF8">
              <w:rPr>
                <w:rFonts w:ascii="Times New Roman" w:hAnsi="Times New Roman" w:cs="Times New Roman"/>
                <w:sz w:val="18"/>
              </w:rPr>
              <w:t>Unnimaya</w:t>
            </w:r>
            <w:r w:rsidR="002B0EB3">
              <w:rPr>
                <w:rFonts w:ascii="Times New Roman" w:hAnsi="Times New Roman" w:cs="Times New Roman"/>
                <w:sz w:val="18"/>
              </w:rPr>
              <w:t xml:space="preserve"> C</w:t>
            </w:r>
          </w:p>
        </w:tc>
      </w:tr>
    </w:tbl>
    <w:p w14:paraId="5075DBE4" w14:textId="43C202DB" w:rsidR="00146A37" w:rsidRPr="00495FF8" w:rsidRDefault="00146A37">
      <w:pPr>
        <w:pStyle w:val="Heading1"/>
        <w:rPr>
          <w:rFonts w:ascii="Times New Roman" w:hAnsi="Times New Roman" w:cs="Times New Roman"/>
        </w:rPr>
      </w:pPr>
    </w:p>
    <w:p w14:paraId="0027A847" w14:textId="77777777" w:rsidR="00146A37" w:rsidRPr="00495FF8" w:rsidRDefault="00146A37">
      <w:pPr>
        <w:rPr>
          <w:rFonts w:ascii="Times New Roman" w:hAnsi="Times New Roman" w:cs="Times New Roman"/>
        </w:rPr>
      </w:pPr>
    </w:p>
    <w:p w14:paraId="18F822E7" w14:textId="77777777" w:rsidR="00146A37" w:rsidRPr="00495FF8" w:rsidRDefault="00146A37">
      <w:pPr>
        <w:rPr>
          <w:rFonts w:ascii="Times New Roman" w:hAnsi="Times New Roman" w:cs="Times New Roman"/>
        </w:rPr>
      </w:pPr>
    </w:p>
    <w:p w14:paraId="56249A4D" w14:textId="77777777" w:rsidR="00146A37" w:rsidRPr="00495FF8" w:rsidRDefault="00146A37">
      <w:pPr>
        <w:rPr>
          <w:rFonts w:ascii="Times New Roman" w:hAnsi="Times New Roman" w:cs="Times New Roman"/>
        </w:rPr>
      </w:pPr>
    </w:p>
    <w:p w14:paraId="5BC1F7CE" w14:textId="77777777" w:rsidR="00146A37" w:rsidRPr="00495FF8" w:rsidRDefault="00146A37">
      <w:pPr>
        <w:rPr>
          <w:rFonts w:ascii="Times New Roman" w:hAnsi="Times New Roman" w:cs="Times New Roman"/>
        </w:rPr>
      </w:pPr>
    </w:p>
    <w:p w14:paraId="08739C78" w14:textId="77777777" w:rsidR="00146A37" w:rsidRPr="00495FF8" w:rsidRDefault="00146A37">
      <w:pPr>
        <w:rPr>
          <w:rFonts w:ascii="Times New Roman" w:hAnsi="Times New Roman" w:cs="Times New Roman"/>
        </w:rPr>
      </w:pPr>
    </w:p>
    <w:p w14:paraId="7D12B148" w14:textId="77777777" w:rsidR="00146A37" w:rsidRPr="00495FF8" w:rsidRDefault="00146A37">
      <w:pPr>
        <w:rPr>
          <w:rFonts w:ascii="Times New Roman" w:hAnsi="Times New Roman" w:cs="Times New Roman"/>
        </w:rPr>
      </w:pPr>
    </w:p>
    <w:p w14:paraId="2B70F455" w14:textId="77777777" w:rsidR="00146A37" w:rsidRPr="00495FF8" w:rsidRDefault="00146A37">
      <w:pPr>
        <w:rPr>
          <w:rFonts w:ascii="Times New Roman" w:hAnsi="Times New Roman" w:cs="Times New Roman"/>
        </w:rPr>
      </w:pPr>
    </w:p>
    <w:p w14:paraId="7731FB6A" w14:textId="77777777" w:rsidR="00146A37" w:rsidRPr="00495FF8" w:rsidRDefault="00146A37">
      <w:pPr>
        <w:rPr>
          <w:rFonts w:ascii="Times New Roman" w:hAnsi="Times New Roman" w:cs="Times New Roman"/>
        </w:rPr>
      </w:pPr>
    </w:p>
    <w:p w14:paraId="6F2BC163" w14:textId="77777777" w:rsidR="00146A37" w:rsidRPr="00495FF8" w:rsidRDefault="00146A37">
      <w:pPr>
        <w:rPr>
          <w:rFonts w:ascii="Times New Roman" w:hAnsi="Times New Roman" w:cs="Times New Roman"/>
        </w:rPr>
      </w:pPr>
    </w:p>
    <w:p w14:paraId="068FC1FA" w14:textId="77777777" w:rsidR="00146A37" w:rsidRPr="00495FF8" w:rsidRDefault="00146A37">
      <w:pPr>
        <w:rPr>
          <w:rFonts w:ascii="Times New Roman" w:hAnsi="Times New Roman" w:cs="Times New Roman"/>
        </w:rPr>
      </w:pPr>
    </w:p>
    <w:p w14:paraId="3EC81E09" w14:textId="68D98B23" w:rsidR="00146A37" w:rsidRDefault="00146A37" w:rsidP="00146A37">
      <w:pPr>
        <w:pStyle w:val="Heading1"/>
        <w:rPr>
          <w:rFonts w:ascii="Times New Roman" w:hAnsi="Times New Roman" w:cs="Times New Roman"/>
        </w:rPr>
      </w:pPr>
      <w:r w:rsidRPr="00495FF8">
        <w:rPr>
          <w:rFonts w:ascii="Times New Roman" w:hAnsi="Times New Roman" w:cs="Times New Roman"/>
        </w:rPr>
        <w:lastRenderedPageBreak/>
        <w:t>Executive Summary</w:t>
      </w:r>
    </w:p>
    <w:p w14:paraId="7CBBB78B" w14:textId="77777777" w:rsidR="00495FF8" w:rsidRPr="00495FF8" w:rsidRDefault="00495FF8" w:rsidP="00495FF8"/>
    <w:p w14:paraId="1E352579" w14:textId="77777777" w:rsidR="00146A37" w:rsidRPr="00495FF8" w:rsidRDefault="00146A37" w:rsidP="00146A37">
      <w:pPr>
        <w:rPr>
          <w:rFonts w:ascii="Times New Roman" w:hAnsi="Times New Roman" w:cs="Times New Roman"/>
        </w:rPr>
      </w:pPr>
      <w:r w:rsidRPr="00495FF8">
        <w:rPr>
          <w:rFonts w:ascii="Times New Roman" w:hAnsi="Times New Roman" w:cs="Times New Roman"/>
        </w:rPr>
        <w:t>This report proposes a structured strategy for collecting publicly available data to study green jobs and sustainability in India. It is designed for a junior data analyst who needs to gather information that is reliable, traceable and useful for decision-making. The strategy combines labour-market information, renewable-energy statistics, environmental indicators and policy research. Priority is given to official and intergovernmental sources, including the Ministry of Statistics and Programme Implementation (MoSPI), the Ministry of New and Renewable Energy (MNRE), the International Labour Organization (ILO), the International Renewable Energy Agency (IRENA), and the Government of India’s Open Government Data platform.</w:t>
      </w:r>
    </w:p>
    <w:p w14:paraId="5A52AE56" w14:textId="627559D5" w:rsidR="00EB6344" w:rsidRPr="00495FF8" w:rsidRDefault="00146A37" w:rsidP="00146A37">
      <w:pPr>
        <w:rPr>
          <w:rFonts w:ascii="Times New Roman" w:hAnsi="Times New Roman" w:cs="Times New Roman"/>
        </w:rPr>
      </w:pPr>
      <w:r w:rsidRPr="00495FF8">
        <w:rPr>
          <w:rFonts w:ascii="Times New Roman" w:hAnsi="Times New Roman" w:cs="Times New Roman"/>
        </w:rPr>
        <w:t xml:space="preserve">The plan defines the proposed indicators, source-selection criteria, collection steps, sampling approach, update schedule and quality-assurance checks. It also separates direct employment measures from contextual indicators such as </w:t>
      </w:r>
      <w:r w:rsidRPr="00495FF8">
        <w:rPr>
          <w:rFonts w:ascii="Times New Roman" w:hAnsi="Times New Roman" w:cs="Times New Roman"/>
        </w:rPr>
        <w:t>renewable-energy capacity. This</w:t>
      </w:r>
      <w:r w:rsidR="000274B3">
        <w:rPr>
          <w:rFonts w:ascii="Times New Roman" w:hAnsi="Times New Roman" w:cs="Times New Roman"/>
          <w:color w:val="FFFFFF" w:themeColor="background1"/>
        </w:rPr>
        <w:t xml:space="preserve"> </w:t>
      </w:r>
      <w:r w:rsidRPr="00495FF8">
        <w:rPr>
          <w:rFonts w:ascii="Times New Roman" w:hAnsi="Times New Roman" w:cs="Times New Roman"/>
        </w:rPr>
        <w:t xml:space="preserve">distinction is important: growth in renewable-energy capacity may indicate </w:t>
      </w:r>
      <w:r w:rsidR="00F04F3F" w:rsidRPr="00495FF8">
        <w:rPr>
          <w:rFonts w:ascii="Times New Roman" w:hAnsi="Times New Roman" w:cs="Times New Roman"/>
        </w:rPr>
        <w:t>a change in energy infrastructure, but it does not by itself establish how many jobs were created or whet</w:t>
      </w:r>
      <w:r w:rsidR="00F04F3F" w:rsidRPr="00495FF8">
        <w:rPr>
          <w:rFonts w:ascii="Times New Roman" w:hAnsi="Times New Roman" w:cs="Times New Roman"/>
        </w:rPr>
        <w:t>her those jobs provide decent working conditions.</w:t>
      </w:r>
    </w:p>
    <w:p w14:paraId="30F6EFC9" w14:textId="77777777" w:rsidR="00EB6344" w:rsidRPr="00495FF8" w:rsidRDefault="00F04F3F">
      <w:pPr>
        <w:rPr>
          <w:rFonts w:ascii="Times New Roman" w:hAnsi="Times New Roman" w:cs="Times New Roman"/>
        </w:rPr>
      </w:pPr>
      <w:r w:rsidRPr="00495FF8">
        <w:rPr>
          <w:rFonts w:ascii="Times New Roman" w:hAnsi="Times New Roman" w:cs="Times New Roman"/>
        </w:rPr>
        <w:t>The method uses a source register, a data dictionary, saved raw files and a quality log to make decisions reproducible. It acknowledges limitations including inconsistent definitions of green jobs, incomple</w:t>
      </w:r>
      <w:r w:rsidRPr="00495FF8">
        <w:rPr>
          <w:rFonts w:ascii="Times New Roman" w:hAnsi="Times New Roman" w:cs="Times New Roman"/>
        </w:rPr>
        <w:t>te state-level information, different reporting periods and missing data. These gaps will be documented rather than filled with unsupported estimates.</w:t>
      </w:r>
    </w:p>
    <w:p w14:paraId="0C59C3FF"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1. Introduction and Background</w:t>
      </w:r>
    </w:p>
    <w:p w14:paraId="6AC0B62C" w14:textId="77777777" w:rsidR="00EB6344" w:rsidRPr="00495FF8" w:rsidRDefault="00F04F3F">
      <w:pPr>
        <w:pStyle w:val="Heading2"/>
        <w:rPr>
          <w:rFonts w:ascii="Times New Roman" w:hAnsi="Times New Roman" w:cs="Times New Roman"/>
        </w:rPr>
      </w:pPr>
      <w:r w:rsidRPr="00495FF8">
        <w:rPr>
          <w:rFonts w:ascii="Times New Roman" w:hAnsi="Times New Roman" w:cs="Times New Roman"/>
        </w:rPr>
        <w:t>1.1 Context</w:t>
      </w:r>
    </w:p>
    <w:p w14:paraId="7E199A16" w14:textId="77777777" w:rsidR="00EB6344" w:rsidRPr="00495FF8" w:rsidRDefault="00F04F3F">
      <w:pPr>
        <w:rPr>
          <w:rFonts w:ascii="Times New Roman" w:hAnsi="Times New Roman" w:cs="Times New Roman"/>
        </w:rPr>
      </w:pPr>
      <w:r w:rsidRPr="00495FF8">
        <w:rPr>
          <w:rFonts w:ascii="Times New Roman" w:hAnsi="Times New Roman" w:cs="Times New Roman"/>
        </w:rPr>
        <w:t>The transition towards a lower-carbon and more resource-effici</w:t>
      </w:r>
      <w:r w:rsidRPr="00495FF8">
        <w:rPr>
          <w:rFonts w:ascii="Times New Roman" w:hAnsi="Times New Roman" w:cs="Times New Roman"/>
        </w:rPr>
        <w:t>ent economy can affect employment in several ways. Renewable energy, energy efficiency, sustainable transport, waste management, environmental protection and ecosystem restoration may create new work, change existing occupations or reduce demand in some ca</w:t>
      </w:r>
      <w:r w:rsidRPr="00495FF8">
        <w:rPr>
          <w:rFonts w:ascii="Times New Roman" w:hAnsi="Times New Roman" w:cs="Times New Roman"/>
        </w:rPr>
        <w:t>rbon-intensive activities. However, not every job in an environmentally relevant industry is automatically a green job, and job growth alone does not establish that employment is secure, fairly paid or accessible to different groups.</w:t>
      </w:r>
    </w:p>
    <w:p w14:paraId="3739319B" w14:textId="77777777" w:rsidR="00EB6344" w:rsidRPr="00495FF8" w:rsidRDefault="00F04F3F">
      <w:pPr>
        <w:rPr>
          <w:rFonts w:ascii="Times New Roman" w:hAnsi="Times New Roman" w:cs="Times New Roman"/>
        </w:rPr>
      </w:pPr>
      <w:r w:rsidRPr="00495FF8">
        <w:rPr>
          <w:rFonts w:ascii="Times New Roman" w:hAnsi="Times New Roman" w:cs="Times New Roman"/>
        </w:rPr>
        <w:t>A useful data strategy</w:t>
      </w:r>
      <w:r w:rsidRPr="00495FF8">
        <w:rPr>
          <w:rFonts w:ascii="Times New Roman" w:hAnsi="Times New Roman" w:cs="Times New Roman"/>
        </w:rPr>
        <w:t xml:space="preserve"> must therefore consider employment quantity alongside job quality, skills, inclusion and the environmental activity being measured. ILO work on green jobs and just transition in India provides relevant policy context, while broader green-employment diagno</w:t>
      </w:r>
      <w:r w:rsidRPr="00495FF8">
        <w:rPr>
          <w:rFonts w:ascii="Times New Roman" w:hAnsi="Times New Roman" w:cs="Times New Roman"/>
        </w:rPr>
        <w:t>stic approaches support examining labour-market and social dimensions together [1, 2].</w:t>
      </w:r>
    </w:p>
    <w:p w14:paraId="2830EBA4" w14:textId="77777777" w:rsidR="00EB6344" w:rsidRPr="00495FF8" w:rsidRDefault="00F04F3F">
      <w:pPr>
        <w:pStyle w:val="Heading2"/>
        <w:rPr>
          <w:rFonts w:ascii="Times New Roman" w:hAnsi="Times New Roman" w:cs="Times New Roman"/>
        </w:rPr>
      </w:pPr>
      <w:r w:rsidRPr="00495FF8">
        <w:rPr>
          <w:rFonts w:ascii="Times New Roman" w:hAnsi="Times New Roman" w:cs="Times New Roman"/>
        </w:rPr>
        <w:t>1.2 Purpose and objectives</w:t>
      </w:r>
    </w:p>
    <w:p w14:paraId="77CCAE5E" w14:textId="77777777" w:rsidR="00EB6344" w:rsidRPr="00495FF8" w:rsidRDefault="00F04F3F">
      <w:pPr>
        <w:rPr>
          <w:rFonts w:ascii="Times New Roman" w:hAnsi="Times New Roman" w:cs="Times New Roman"/>
        </w:rPr>
      </w:pPr>
      <w:r w:rsidRPr="00495FF8">
        <w:rPr>
          <w:rFonts w:ascii="Times New Roman" w:hAnsi="Times New Roman" w:cs="Times New Roman"/>
        </w:rPr>
        <w:t>The purpose of this report is to explain how a junior data analyst could identify, collect, document and validate public data for a study of g</w:t>
      </w:r>
      <w:r w:rsidRPr="00495FF8">
        <w:rPr>
          <w:rFonts w:ascii="Times New Roman" w:hAnsi="Times New Roman" w:cs="Times New Roman"/>
        </w:rPr>
        <w:t>reen jobs and sustainability in India. This is a methodological plan; it does not claim that a complete dataset has already been downloaded or analysed.</w:t>
      </w:r>
    </w:p>
    <w:p w14:paraId="024A4A68"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Identify credible public sources for employment, renewable energy and selected sustainability indicator</w:t>
      </w:r>
      <w:r w:rsidRPr="00495FF8">
        <w:rPr>
          <w:rFonts w:ascii="Times New Roman" w:hAnsi="Times New Roman" w:cs="Times New Roman"/>
        </w:rPr>
        <w:t>s.</w:t>
      </w:r>
    </w:p>
    <w:p w14:paraId="77152DCD"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Define variables that support comparisons across years, sectors and states where comparable data are available.</w:t>
      </w:r>
    </w:p>
    <w:p w14:paraId="028B1042"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Set out repeatable procedures for source selection, data collection, storage and updating.</w:t>
      </w:r>
    </w:p>
    <w:p w14:paraId="2BFB650E"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Establish quality checks for missing values, dupli</w:t>
      </w:r>
      <w:r w:rsidRPr="00495FF8">
        <w:rPr>
          <w:rFonts w:ascii="Times New Roman" w:hAnsi="Times New Roman" w:cs="Times New Roman"/>
        </w:rPr>
        <w:t>cates, inconsistent units and changing definitions.</w:t>
      </w:r>
    </w:p>
    <w:p w14:paraId="6660A2F4"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Document limitations and ethical considerations so that findings are interpreted responsibly.</w:t>
      </w:r>
    </w:p>
    <w:p w14:paraId="24584575"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2. Research Questions and Scope</w:t>
      </w:r>
    </w:p>
    <w:p w14:paraId="696D52AC"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How have selected green-related sectors and renewable-energy activities change</w:t>
      </w:r>
      <w:r w:rsidRPr="00495FF8">
        <w:rPr>
          <w:rFonts w:ascii="Times New Roman" w:hAnsi="Times New Roman" w:cs="Times New Roman"/>
        </w:rPr>
        <w:t>d over time?</w:t>
      </w:r>
    </w:p>
    <w:p w14:paraId="22098107"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Where state-level data exist, how do employment-related and renewable-energy indicators vary across states?</w:t>
      </w:r>
    </w:p>
    <w:p w14:paraId="61A7BCA3"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lastRenderedPageBreak/>
        <w:t>What information is available about gender, worker categories, wages, skills and other dimensions of decent work?</w:t>
      </w:r>
    </w:p>
    <w:p w14:paraId="7AFCA3E9"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Which environmental i</w:t>
      </w:r>
      <w:r w:rsidRPr="00495FF8">
        <w:rPr>
          <w:rFonts w:ascii="Times New Roman" w:hAnsi="Times New Roman" w:cs="Times New Roman"/>
        </w:rPr>
        <w:t>ndicators can be compared alongside employment indicators without implying unsupported causality?</w:t>
      </w:r>
    </w:p>
    <w:p w14:paraId="492914A9"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What gaps in definitions, geographic detail or reporting frequency limit reliable comparisons?</w:t>
      </w:r>
    </w:p>
    <w:p w14:paraId="480A6A57" w14:textId="77777777" w:rsidR="00EB6344" w:rsidRPr="00495FF8" w:rsidRDefault="00F04F3F">
      <w:pPr>
        <w:rPr>
          <w:rFonts w:ascii="Times New Roman" w:hAnsi="Times New Roman" w:cs="Times New Roman"/>
        </w:rPr>
      </w:pPr>
      <w:r w:rsidRPr="00495FF8">
        <w:rPr>
          <w:rFonts w:ascii="Times New Roman" w:hAnsi="Times New Roman" w:cs="Times New Roman"/>
        </w:rPr>
        <w:t>The primary geographic focus is India. State-level analysis, in</w:t>
      </w:r>
      <w:r w:rsidRPr="00495FF8">
        <w:rPr>
          <w:rFonts w:ascii="Times New Roman" w:hAnsi="Times New Roman" w:cs="Times New Roman"/>
        </w:rPr>
        <w:t>cluding Kerala, will be attempted only when sufficiently consistent observations are available. The preferred period is the latest five complete years available for each source, with a longer series used when it improves trend interpretation and definition</w:t>
      </w:r>
      <w:r w:rsidRPr="00495FF8">
        <w:rPr>
          <w:rFonts w:ascii="Times New Roman" w:hAnsi="Times New Roman" w:cs="Times New Roman"/>
        </w:rPr>
        <w:t>s remain comparable. Calendar years, financial years and survey periods will be recorded separately rather than silently treated as equivalent.</w:t>
      </w:r>
    </w:p>
    <w:p w14:paraId="529E685E"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3. Data Sources and Rationale</w:t>
      </w:r>
    </w:p>
    <w:p w14:paraId="2216B30B" w14:textId="77777777" w:rsidR="00EB6344" w:rsidRPr="00495FF8" w:rsidRDefault="00F04F3F">
      <w:pPr>
        <w:rPr>
          <w:rFonts w:ascii="Times New Roman" w:hAnsi="Times New Roman" w:cs="Times New Roman"/>
        </w:rPr>
      </w:pPr>
      <w:r w:rsidRPr="00495FF8">
        <w:rPr>
          <w:rFonts w:ascii="Times New Roman" w:hAnsi="Times New Roman" w:cs="Times New Roman"/>
        </w:rPr>
        <w:t xml:space="preserve">The study will use secondary data: information already collected and published by </w:t>
      </w:r>
      <w:r w:rsidRPr="00495FF8">
        <w:rPr>
          <w:rFonts w:ascii="Times New Roman" w:hAnsi="Times New Roman" w:cs="Times New Roman"/>
        </w:rPr>
        <w:t>public agencies, research institutions or intergovernmental organisations. Official sources are prioritised because they are more likely to provide definitions, methodology notes and reference periods. Reports can provide context, but figures extracted fro</w:t>
      </w:r>
      <w:r w:rsidRPr="00495FF8">
        <w:rPr>
          <w:rFonts w:ascii="Times New Roman" w:hAnsi="Times New Roman" w:cs="Times New Roman"/>
        </w:rPr>
        <w:t>m reports must be distinguished from downloadable datasets.</w:t>
      </w:r>
    </w:p>
    <w:tbl>
      <w:tblPr>
        <w:tblStyle w:val="TableGrid"/>
        <w:tblW w:w="10319" w:type="dxa"/>
        <w:jc w:val="center"/>
        <w:tblLook w:val="04A0" w:firstRow="1" w:lastRow="0" w:firstColumn="1" w:lastColumn="0" w:noHBand="0" w:noVBand="1"/>
      </w:tblPr>
      <w:tblGrid>
        <w:gridCol w:w="2184"/>
        <w:gridCol w:w="2561"/>
        <w:gridCol w:w="3013"/>
        <w:gridCol w:w="2561"/>
      </w:tblGrid>
      <w:tr w:rsidR="00EB6344" w:rsidRPr="00495FF8" w14:paraId="3C1AD667" w14:textId="77777777" w:rsidTr="00092E71">
        <w:trPr>
          <w:trHeight w:val="412"/>
          <w:jc w:val="center"/>
        </w:trPr>
        <w:tc>
          <w:tcPr>
            <w:tcW w:w="2184" w:type="dxa"/>
            <w:shd w:val="clear" w:color="auto" w:fill="12355B"/>
          </w:tcPr>
          <w:p w14:paraId="5BDF7F1E"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Source</w:t>
            </w:r>
          </w:p>
        </w:tc>
        <w:tc>
          <w:tcPr>
            <w:tcW w:w="2561" w:type="dxa"/>
            <w:shd w:val="clear" w:color="auto" w:fill="12355B"/>
          </w:tcPr>
          <w:p w14:paraId="281C7EBD"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Information to seek</w:t>
            </w:r>
          </w:p>
        </w:tc>
        <w:tc>
          <w:tcPr>
            <w:tcW w:w="3013" w:type="dxa"/>
            <w:shd w:val="clear" w:color="auto" w:fill="12355B"/>
          </w:tcPr>
          <w:p w14:paraId="6836CE28"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Rationale and use</w:t>
            </w:r>
          </w:p>
        </w:tc>
        <w:tc>
          <w:tcPr>
            <w:tcW w:w="2561" w:type="dxa"/>
            <w:shd w:val="clear" w:color="auto" w:fill="12355B"/>
          </w:tcPr>
          <w:p w14:paraId="198FC8E6"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Caution</w:t>
            </w:r>
          </w:p>
        </w:tc>
      </w:tr>
      <w:tr w:rsidR="00EB6344" w:rsidRPr="00495FF8" w14:paraId="4321C9FB" w14:textId="77777777" w:rsidTr="00092E71">
        <w:trPr>
          <w:trHeight w:val="879"/>
          <w:jc w:val="center"/>
        </w:trPr>
        <w:tc>
          <w:tcPr>
            <w:tcW w:w="2184" w:type="dxa"/>
            <w:vAlign w:val="center"/>
          </w:tcPr>
          <w:p w14:paraId="6CA005C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MoSPI – Periodic Labour Force Survey (PLFS) and labour statistics [3]</w:t>
            </w:r>
          </w:p>
        </w:tc>
        <w:tc>
          <w:tcPr>
            <w:tcW w:w="2561" w:type="dxa"/>
            <w:vAlign w:val="center"/>
          </w:tcPr>
          <w:p w14:paraId="5209C33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Employment status, labour-force participation and published worker </w:t>
            </w:r>
            <w:r w:rsidRPr="00495FF8">
              <w:rPr>
                <w:rFonts w:ascii="Times New Roman" w:hAnsi="Times New Roman" w:cs="Times New Roman"/>
                <w:sz w:val="15"/>
              </w:rPr>
              <w:t>categories</w:t>
            </w:r>
          </w:p>
        </w:tc>
        <w:tc>
          <w:tcPr>
            <w:tcW w:w="3013" w:type="dxa"/>
            <w:vAlign w:val="center"/>
          </w:tcPr>
          <w:p w14:paraId="5B93B408"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Provides a national statistical basis for labour-market context.</w:t>
            </w:r>
          </w:p>
        </w:tc>
        <w:tc>
          <w:tcPr>
            <w:tcW w:w="2561" w:type="dxa"/>
            <w:vAlign w:val="center"/>
          </w:tcPr>
          <w:p w14:paraId="4C6E6B93"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General labour categories do not directly identify all green jobs.</w:t>
            </w:r>
          </w:p>
        </w:tc>
      </w:tr>
      <w:tr w:rsidR="00EB6344" w:rsidRPr="00495FF8" w14:paraId="7C4CE889" w14:textId="77777777" w:rsidTr="00092E71">
        <w:trPr>
          <w:trHeight w:val="879"/>
          <w:jc w:val="center"/>
        </w:trPr>
        <w:tc>
          <w:tcPr>
            <w:tcW w:w="2184" w:type="dxa"/>
            <w:shd w:val="clear" w:color="auto" w:fill="F0F5F9"/>
            <w:vAlign w:val="center"/>
          </w:tcPr>
          <w:p w14:paraId="024E8B63"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MNRE – Renewable Energy Statistics [4]</w:t>
            </w:r>
          </w:p>
        </w:tc>
        <w:tc>
          <w:tcPr>
            <w:tcW w:w="2561" w:type="dxa"/>
            <w:shd w:val="clear" w:color="auto" w:fill="F0F5F9"/>
            <w:vAlign w:val="center"/>
          </w:tcPr>
          <w:p w14:paraId="1A460958"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Installed capacity and generation by technology; state breakdowns where a</w:t>
            </w:r>
            <w:r w:rsidRPr="00495FF8">
              <w:rPr>
                <w:rFonts w:ascii="Times New Roman" w:hAnsi="Times New Roman" w:cs="Times New Roman"/>
                <w:sz w:val="15"/>
              </w:rPr>
              <w:t>vailable</w:t>
            </w:r>
          </w:p>
        </w:tc>
        <w:tc>
          <w:tcPr>
            <w:tcW w:w="3013" w:type="dxa"/>
            <w:shd w:val="clear" w:color="auto" w:fill="F0F5F9"/>
            <w:vAlign w:val="center"/>
          </w:tcPr>
          <w:p w14:paraId="0BE1272D"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Official measures of renewable-energy activity.</w:t>
            </w:r>
          </w:p>
        </w:tc>
        <w:tc>
          <w:tcPr>
            <w:tcW w:w="2561" w:type="dxa"/>
            <w:shd w:val="clear" w:color="auto" w:fill="F0F5F9"/>
            <w:vAlign w:val="center"/>
          </w:tcPr>
          <w:p w14:paraId="57A8A84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Capacity and generation are not direct job counts.</w:t>
            </w:r>
          </w:p>
        </w:tc>
      </w:tr>
      <w:tr w:rsidR="00EB6344" w:rsidRPr="00495FF8" w14:paraId="6E5440E3" w14:textId="77777777" w:rsidTr="00092E71">
        <w:trPr>
          <w:trHeight w:val="879"/>
          <w:jc w:val="center"/>
        </w:trPr>
        <w:tc>
          <w:tcPr>
            <w:tcW w:w="2184" w:type="dxa"/>
            <w:vAlign w:val="center"/>
          </w:tcPr>
          <w:p w14:paraId="2D81BED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IRENA and ILO – Renewable energy and jobs: Annual review [5]</w:t>
            </w:r>
          </w:p>
        </w:tc>
        <w:tc>
          <w:tcPr>
            <w:tcW w:w="2561" w:type="dxa"/>
            <w:vAlign w:val="center"/>
          </w:tcPr>
          <w:p w14:paraId="658212E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International estimates and discussion of renewable-energy employment</w:t>
            </w:r>
          </w:p>
        </w:tc>
        <w:tc>
          <w:tcPr>
            <w:tcW w:w="3013" w:type="dxa"/>
            <w:vAlign w:val="center"/>
          </w:tcPr>
          <w:p w14:paraId="4A1BB328"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Useful for </w:t>
            </w:r>
            <w:r w:rsidRPr="00495FF8">
              <w:rPr>
                <w:rFonts w:ascii="Times New Roman" w:hAnsi="Times New Roman" w:cs="Times New Roman"/>
                <w:sz w:val="15"/>
              </w:rPr>
              <w:t>global context and understanding methods.</w:t>
            </w:r>
          </w:p>
        </w:tc>
        <w:tc>
          <w:tcPr>
            <w:tcW w:w="2561" w:type="dxa"/>
            <w:vAlign w:val="center"/>
          </w:tcPr>
          <w:p w14:paraId="23B4E8D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Do not present global figures as India-specific data.</w:t>
            </w:r>
          </w:p>
        </w:tc>
      </w:tr>
      <w:tr w:rsidR="00EB6344" w:rsidRPr="00495FF8" w14:paraId="75D7EC2F" w14:textId="77777777" w:rsidTr="00092E71">
        <w:trPr>
          <w:trHeight w:val="879"/>
          <w:jc w:val="center"/>
        </w:trPr>
        <w:tc>
          <w:tcPr>
            <w:tcW w:w="2184" w:type="dxa"/>
            <w:shd w:val="clear" w:color="auto" w:fill="F0F5F9"/>
            <w:vAlign w:val="center"/>
          </w:tcPr>
          <w:p w14:paraId="314A2FB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ILO – Green jobs and just transition policy readiness in India [1]</w:t>
            </w:r>
          </w:p>
        </w:tc>
        <w:tc>
          <w:tcPr>
            <w:tcW w:w="2561" w:type="dxa"/>
            <w:shd w:val="clear" w:color="auto" w:fill="F0F5F9"/>
            <w:vAlign w:val="center"/>
          </w:tcPr>
          <w:p w14:paraId="06144A1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Policy context, institutional readiness and data gaps</w:t>
            </w:r>
          </w:p>
        </w:tc>
        <w:tc>
          <w:tcPr>
            <w:tcW w:w="3013" w:type="dxa"/>
            <w:shd w:val="clear" w:color="auto" w:fill="F0F5F9"/>
            <w:vAlign w:val="center"/>
          </w:tcPr>
          <w:p w14:paraId="536AC49F"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Helps frame the Indian green-jobs cont</w:t>
            </w:r>
            <w:r w:rsidRPr="00495FF8">
              <w:rPr>
                <w:rFonts w:ascii="Times New Roman" w:hAnsi="Times New Roman" w:cs="Times New Roman"/>
                <w:sz w:val="15"/>
              </w:rPr>
              <w:t>ext.</w:t>
            </w:r>
          </w:p>
        </w:tc>
        <w:tc>
          <w:tcPr>
            <w:tcW w:w="2561" w:type="dxa"/>
            <w:shd w:val="clear" w:color="auto" w:fill="F0F5F9"/>
            <w:vAlign w:val="center"/>
          </w:tcPr>
          <w:p w14:paraId="4205DC0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A policy assessment is not a continuously updated employment dataset.</w:t>
            </w:r>
          </w:p>
        </w:tc>
      </w:tr>
      <w:tr w:rsidR="00EB6344" w:rsidRPr="00495FF8" w14:paraId="304B3ED2" w14:textId="77777777" w:rsidTr="00092E71">
        <w:trPr>
          <w:trHeight w:val="879"/>
          <w:jc w:val="center"/>
        </w:trPr>
        <w:tc>
          <w:tcPr>
            <w:tcW w:w="2184" w:type="dxa"/>
            <w:vAlign w:val="center"/>
          </w:tcPr>
          <w:p w14:paraId="778CC4E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Government of India Open Government Data Platform, data.gov.in [6]</w:t>
            </w:r>
          </w:p>
        </w:tc>
        <w:tc>
          <w:tcPr>
            <w:tcW w:w="2561" w:type="dxa"/>
            <w:vAlign w:val="center"/>
          </w:tcPr>
          <w:p w14:paraId="6E69C4AD"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Relevant datasets published by government agencies</w:t>
            </w:r>
          </w:p>
        </w:tc>
        <w:tc>
          <w:tcPr>
            <w:tcW w:w="3013" w:type="dxa"/>
            <w:vAlign w:val="center"/>
          </w:tcPr>
          <w:p w14:paraId="6AAB121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Helps discover downloadable public datasets.</w:t>
            </w:r>
          </w:p>
        </w:tc>
        <w:tc>
          <w:tcPr>
            <w:tcW w:w="2561" w:type="dxa"/>
            <w:vAlign w:val="center"/>
          </w:tcPr>
          <w:p w14:paraId="3FE0DB5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Check the </w:t>
            </w:r>
            <w:r w:rsidRPr="00495FF8">
              <w:rPr>
                <w:rFonts w:ascii="Times New Roman" w:hAnsi="Times New Roman" w:cs="Times New Roman"/>
                <w:sz w:val="15"/>
              </w:rPr>
              <w:t>original publisher, metadata, update date and reuse terms.</w:t>
            </w:r>
          </w:p>
        </w:tc>
      </w:tr>
      <w:tr w:rsidR="00EB6344" w:rsidRPr="00495FF8" w14:paraId="5B828E01" w14:textId="77777777" w:rsidTr="00092E71">
        <w:trPr>
          <w:trHeight w:val="625"/>
          <w:jc w:val="center"/>
        </w:trPr>
        <w:tc>
          <w:tcPr>
            <w:tcW w:w="2184" w:type="dxa"/>
            <w:shd w:val="clear" w:color="auto" w:fill="F0F5F9"/>
            <w:vAlign w:val="center"/>
          </w:tcPr>
          <w:p w14:paraId="51B5CA3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Central Pollution Control Board (CPCB) [7]</w:t>
            </w:r>
          </w:p>
        </w:tc>
        <w:tc>
          <w:tcPr>
            <w:tcW w:w="2561" w:type="dxa"/>
            <w:shd w:val="clear" w:color="auto" w:fill="F0F5F9"/>
            <w:vAlign w:val="center"/>
          </w:tcPr>
          <w:p w14:paraId="461A93B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Selected environmental quality, pollution or waste indicators</w:t>
            </w:r>
          </w:p>
        </w:tc>
        <w:tc>
          <w:tcPr>
            <w:tcW w:w="3013" w:type="dxa"/>
            <w:shd w:val="clear" w:color="auto" w:fill="F0F5F9"/>
            <w:vAlign w:val="center"/>
          </w:tcPr>
          <w:p w14:paraId="04A1AC2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May provide environmental context for sustainability questions.</w:t>
            </w:r>
          </w:p>
        </w:tc>
        <w:tc>
          <w:tcPr>
            <w:tcW w:w="2561" w:type="dxa"/>
            <w:shd w:val="clear" w:color="auto" w:fill="F0F5F9"/>
            <w:vAlign w:val="center"/>
          </w:tcPr>
          <w:p w14:paraId="4954F688"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Use only indicators with co</w:t>
            </w:r>
            <w:r w:rsidRPr="00495FF8">
              <w:rPr>
                <w:rFonts w:ascii="Times New Roman" w:hAnsi="Times New Roman" w:cs="Times New Roman"/>
                <w:sz w:val="15"/>
              </w:rPr>
              <w:t>mpatible definitions and geographic coverage.</w:t>
            </w:r>
          </w:p>
        </w:tc>
      </w:tr>
      <w:tr w:rsidR="00EB6344" w:rsidRPr="00495FF8" w14:paraId="39B4E470" w14:textId="77777777" w:rsidTr="00092E71">
        <w:trPr>
          <w:trHeight w:val="625"/>
          <w:jc w:val="center"/>
        </w:trPr>
        <w:tc>
          <w:tcPr>
            <w:tcW w:w="2184" w:type="dxa"/>
            <w:vAlign w:val="center"/>
          </w:tcPr>
          <w:p w14:paraId="3A8EAAF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NITI Aayog – SDG India Index and related reports [8]</w:t>
            </w:r>
          </w:p>
        </w:tc>
        <w:tc>
          <w:tcPr>
            <w:tcW w:w="2561" w:type="dxa"/>
            <w:vAlign w:val="center"/>
          </w:tcPr>
          <w:p w14:paraId="0E4156B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State-level sustainable-development indicators</w:t>
            </w:r>
          </w:p>
        </w:tc>
        <w:tc>
          <w:tcPr>
            <w:tcW w:w="3013" w:type="dxa"/>
            <w:vAlign w:val="center"/>
          </w:tcPr>
          <w:p w14:paraId="7BA9736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Can support broader comparisons of state-level development.</w:t>
            </w:r>
          </w:p>
        </w:tc>
        <w:tc>
          <w:tcPr>
            <w:tcW w:w="2561" w:type="dxa"/>
            <w:vAlign w:val="center"/>
          </w:tcPr>
          <w:p w14:paraId="2EBD92C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Composite scores are not direct measures of green</w:t>
            </w:r>
            <w:r w:rsidRPr="00495FF8">
              <w:rPr>
                <w:rFonts w:ascii="Times New Roman" w:hAnsi="Times New Roman" w:cs="Times New Roman"/>
                <w:sz w:val="15"/>
              </w:rPr>
              <w:t xml:space="preserve"> employment.</w:t>
            </w:r>
          </w:p>
        </w:tc>
      </w:tr>
    </w:tbl>
    <w:p w14:paraId="6BAC7819" w14:textId="77777777" w:rsidR="00EB6344" w:rsidRPr="00495FF8" w:rsidRDefault="00EB6344">
      <w:pPr>
        <w:rPr>
          <w:rFonts w:ascii="Times New Roman" w:hAnsi="Times New Roman" w:cs="Times New Roman"/>
        </w:rPr>
      </w:pPr>
    </w:p>
    <w:p w14:paraId="52884800" w14:textId="77777777" w:rsidR="00EB6344" w:rsidRPr="00495FF8" w:rsidRDefault="00F04F3F">
      <w:pPr>
        <w:rPr>
          <w:rFonts w:ascii="Times New Roman" w:hAnsi="Times New Roman" w:cs="Times New Roman"/>
        </w:rPr>
      </w:pPr>
      <w:r w:rsidRPr="00495FF8">
        <w:rPr>
          <w:rFonts w:ascii="Times New Roman" w:hAnsi="Times New Roman" w:cs="Times New Roman"/>
        </w:rPr>
        <w:t>Each source will be retained only when the publisher, date, geographic coverage, reference period, definitions and units can be identified. Where a portal links to another agency’s dataset, the original publication will be checked where poss</w:t>
      </w:r>
      <w:r w:rsidRPr="00495FF8">
        <w:rPr>
          <w:rFonts w:ascii="Times New Roman" w:hAnsi="Times New Roman" w:cs="Times New Roman"/>
        </w:rPr>
        <w:t>ible. If sources disagree, the discrepancy will be logged and investigated rather than resolved by selecting a preferred figure without explanation.</w:t>
      </w:r>
    </w:p>
    <w:p w14:paraId="513EF7A6"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lastRenderedPageBreak/>
        <w:t>4. Key Indicators and Variables</w:t>
      </w:r>
    </w:p>
    <w:p w14:paraId="77AF785D" w14:textId="77777777" w:rsidR="00EB6344" w:rsidRPr="00495FF8" w:rsidRDefault="00F04F3F">
      <w:pPr>
        <w:rPr>
          <w:rFonts w:ascii="Times New Roman" w:hAnsi="Times New Roman" w:cs="Times New Roman"/>
        </w:rPr>
      </w:pPr>
      <w:r w:rsidRPr="00495FF8">
        <w:rPr>
          <w:rFonts w:ascii="Times New Roman" w:hAnsi="Times New Roman" w:cs="Times New Roman"/>
        </w:rPr>
        <w:t xml:space="preserve">Indicators will be selected according to the research question and the </w:t>
      </w:r>
      <w:r w:rsidRPr="00495FF8">
        <w:rPr>
          <w:rFonts w:ascii="Times New Roman" w:hAnsi="Times New Roman" w:cs="Times New Roman"/>
        </w:rPr>
        <w:t>information the source actually publishes. The framework below separates employment outcomes from environmental and contextual measures.</w:t>
      </w:r>
    </w:p>
    <w:tbl>
      <w:tblPr>
        <w:tblStyle w:val="TableGrid"/>
        <w:tblW w:w="0" w:type="auto"/>
        <w:jc w:val="center"/>
        <w:tblLook w:val="04A0" w:firstRow="1" w:lastRow="0" w:firstColumn="1" w:lastColumn="0" w:noHBand="0" w:noVBand="1"/>
      </w:tblPr>
      <w:tblGrid>
        <w:gridCol w:w="1800"/>
        <w:gridCol w:w="3168"/>
        <w:gridCol w:w="2088"/>
        <w:gridCol w:w="2808"/>
      </w:tblGrid>
      <w:tr w:rsidR="00EB6344" w:rsidRPr="00495FF8" w14:paraId="35722170" w14:textId="77777777">
        <w:trPr>
          <w:jc w:val="center"/>
        </w:trPr>
        <w:tc>
          <w:tcPr>
            <w:tcW w:w="1800" w:type="dxa"/>
            <w:shd w:val="clear" w:color="auto" w:fill="12355B"/>
          </w:tcPr>
          <w:p w14:paraId="21A9788E"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Indicator group</w:t>
            </w:r>
          </w:p>
        </w:tc>
        <w:tc>
          <w:tcPr>
            <w:tcW w:w="3168" w:type="dxa"/>
            <w:shd w:val="clear" w:color="auto" w:fill="12355B"/>
          </w:tcPr>
          <w:p w14:paraId="7D82A14B"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Example variables</w:t>
            </w:r>
          </w:p>
        </w:tc>
        <w:tc>
          <w:tcPr>
            <w:tcW w:w="2088" w:type="dxa"/>
            <w:shd w:val="clear" w:color="auto" w:fill="12355B"/>
          </w:tcPr>
          <w:p w14:paraId="1772C5EA"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Units / breakdown</w:t>
            </w:r>
          </w:p>
        </w:tc>
        <w:tc>
          <w:tcPr>
            <w:tcW w:w="2808" w:type="dxa"/>
            <w:shd w:val="clear" w:color="auto" w:fill="12355B"/>
          </w:tcPr>
          <w:p w14:paraId="291F6BAA"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Interpretation note</w:t>
            </w:r>
          </w:p>
        </w:tc>
      </w:tr>
      <w:tr w:rsidR="00EB6344" w:rsidRPr="00495FF8" w14:paraId="2EC14F13" w14:textId="77777777">
        <w:trPr>
          <w:jc w:val="center"/>
        </w:trPr>
        <w:tc>
          <w:tcPr>
            <w:tcW w:w="1800" w:type="dxa"/>
            <w:vAlign w:val="center"/>
          </w:tcPr>
          <w:p w14:paraId="7679A6D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Employment</w:t>
            </w:r>
          </w:p>
        </w:tc>
        <w:tc>
          <w:tcPr>
            <w:tcW w:w="3168" w:type="dxa"/>
            <w:vAlign w:val="center"/>
          </w:tcPr>
          <w:p w14:paraId="3403830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Number employed; labour-force indic</w:t>
            </w:r>
            <w:r w:rsidRPr="00495FF8">
              <w:rPr>
                <w:rFonts w:ascii="Times New Roman" w:hAnsi="Times New Roman" w:cs="Times New Roman"/>
                <w:sz w:val="15"/>
              </w:rPr>
              <w:t>ators; worker category</w:t>
            </w:r>
          </w:p>
        </w:tc>
        <w:tc>
          <w:tcPr>
            <w:tcW w:w="2088" w:type="dxa"/>
            <w:vAlign w:val="center"/>
          </w:tcPr>
          <w:p w14:paraId="05C7022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Persons or percentages; year, state, sector, sex where available</w:t>
            </w:r>
          </w:p>
        </w:tc>
        <w:tc>
          <w:tcPr>
            <w:tcW w:w="2808" w:type="dxa"/>
            <w:vAlign w:val="center"/>
          </w:tcPr>
          <w:p w14:paraId="3EAA851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Record the survey definition and population base.</w:t>
            </w:r>
          </w:p>
        </w:tc>
      </w:tr>
      <w:tr w:rsidR="00EB6344" w:rsidRPr="00495FF8" w14:paraId="076AA830" w14:textId="77777777">
        <w:trPr>
          <w:jc w:val="center"/>
        </w:trPr>
        <w:tc>
          <w:tcPr>
            <w:tcW w:w="1800" w:type="dxa"/>
            <w:shd w:val="clear" w:color="auto" w:fill="F0F5F9"/>
            <w:vAlign w:val="center"/>
          </w:tcPr>
          <w:p w14:paraId="490365D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Job quality and inclusion</w:t>
            </w:r>
          </w:p>
        </w:tc>
        <w:tc>
          <w:tcPr>
            <w:tcW w:w="3168" w:type="dxa"/>
            <w:shd w:val="clear" w:color="auto" w:fill="F0F5F9"/>
            <w:vAlign w:val="center"/>
          </w:tcPr>
          <w:p w14:paraId="2265DB9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Earnings or wages, formal/informal status, sex, age, occupation or skill category where </w:t>
            </w:r>
            <w:r w:rsidRPr="00495FF8">
              <w:rPr>
                <w:rFonts w:ascii="Times New Roman" w:hAnsi="Times New Roman" w:cs="Times New Roman"/>
                <w:sz w:val="15"/>
              </w:rPr>
              <w:t>published</w:t>
            </w:r>
          </w:p>
        </w:tc>
        <w:tc>
          <w:tcPr>
            <w:tcW w:w="2088" w:type="dxa"/>
            <w:shd w:val="clear" w:color="auto" w:fill="F0F5F9"/>
            <w:vAlign w:val="center"/>
          </w:tcPr>
          <w:p w14:paraId="38A51EF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Currency and period; percentage; categories</w:t>
            </w:r>
          </w:p>
        </w:tc>
        <w:tc>
          <w:tcPr>
            <w:tcW w:w="2808" w:type="dxa"/>
            <w:shd w:val="clear" w:color="auto" w:fill="F0F5F9"/>
            <w:vAlign w:val="center"/>
          </w:tcPr>
          <w:p w14:paraId="31A0F88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Do not assume a green-related job is automatically decent work.</w:t>
            </w:r>
          </w:p>
        </w:tc>
      </w:tr>
      <w:tr w:rsidR="00EB6344" w:rsidRPr="00495FF8" w14:paraId="78B59EEC" w14:textId="77777777">
        <w:trPr>
          <w:jc w:val="center"/>
        </w:trPr>
        <w:tc>
          <w:tcPr>
            <w:tcW w:w="1800" w:type="dxa"/>
            <w:vAlign w:val="center"/>
          </w:tcPr>
          <w:p w14:paraId="21C2F0D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Green-sector activity</w:t>
            </w:r>
          </w:p>
        </w:tc>
        <w:tc>
          <w:tcPr>
            <w:tcW w:w="3168" w:type="dxa"/>
            <w:vAlign w:val="center"/>
          </w:tcPr>
          <w:p w14:paraId="4E9D17F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Renewable-energy technology, sector, project or activity type</w:t>
            </w:r>
          </w:p>
        </w:tc>
        <w:tc>
          <w:tcPr>
            <w:tcW w:w="2088" w:type="dxa"/>
            <w:vAlign w:val="center"/>
          </w:tcPr>
          <w:p w14:paraId="7BACD4E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Category; state; year</w:t>
            </w:r>
          </w:p>
        </w:tc>
        <w:tc>
          <w:tcPr>
            <w:tcW w:w="2808" w:type="dxa"/>
            <w:vAlign w:val="center"/>
          </w:tcPr>
          <w:p w14:paraId="3070F6B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Use a clear operational </w:t>
            </w:r>
            <w:r w:rsidRPr="00495FF8">
              <w:rPr>
                <w:rFonts w:ascii="Times New Roman" w:hAnsi="Times New Roman" w:cs="Times New Roman"/>
                <w:sz w:val="15"/>
              </w:rPr>
              <w:t>definition of green-related activities.</w:t>
            </w:r>
          </w:p>
        </w:tc>
      </w:tr>
      <w:tr w:rsidR="00EB6344" w:rsidRPr="00495FF8" w14:paraId="2DC31C23" w14:textId="77777777">
        <w:trPr>
          <w:jc w:val="center"/>
        </w:trPr>
        <w:tc>
          <w:tcPr>
            <w:tcW w:w="1800" w:type="dxa"/>
            <w:shd w:val="clear" w:color="auto" w:fill="F0F5F9"/>
            <w:vAlign w:val="center"/>
          </w:tcPr>
          <w:p w14:paraId="6A9EB8C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Energy transition</w:t>
            </w:r>
          </w:p>
        </w:tc>
        <w:tc>
          <w:tcPr>
            <w:tcW w:w="3168" w:type="dxa"/>
            <w:shd w:val="clear" w:color="auto" w:fill="F0F5F9"/>
            <w:vAlign w:val="center"/>
          </w:tcPr>
          <w:p w14:paraId="6623534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Installed renewable capacity; electricity generation by technology</w:t>
            </w:r>
          </w:p>
        </w:tc>
        <w:tc>
          <w:tcPr>
            <w:tcW w:w="2088" w:type="dxa"/>
            <w:shd w:val="clear" w:color="auto" w:fill="F0F5F9"/>
            <w:vAlign w:val="center"/>
          </w:tcPr>
          <w:p w14:paraId="743EB25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MW/GW; GWh/TWh; state and year where available</w:t>
            </w:r>
          </w:p>
        </w:tc>
        <w:tc>
          <w:tcPr>
            <w:tcW w:w="2808" w:type="dxa"/>
            <w:shd w:val="clear" w:color="auto" w:fill="F0F5F9"/>
            <w:vAlign w:val="center"/>
          </w:tcPr>
          <w:p w14:paraId="244CB4D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Keep capacity and generation separate.</w:t>
            </w:r>
          </w:p>
        </w:tc>
      </w:tr>
      <w:tr w:rsidR="00EB6344" w:rsidRPr="00495FF8" w14:paraId="6B824C45" w14:textId="77777777">
        <w:trPr>
          <w:jc w:val="center"/>
        </w:trPr>
        <w:tc>
          <w:tcPr>
            <w:tcW w:w="1800" w:type="dxa"/>
            <w:vAlign w:val="center"/>
          </w:tcPr>
          <w:p w14:paraId="311B37B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Environmental context</w:t>
            </w:r>
          </w:p>
        </w:tc>
        <w:tc>
          <w:tcPr>
            <w:tcW w:w="3168" w:type="dxa"/>
            <w:vAlign w:val="center"/>
          </w:tcPr>
          <w:p w14:paraId="7C36435F"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Selected emissions, </w:t>
            </w:r>
            <w:r w:rsidRPr="00495FF8">
              <w:rPr>
                <w:rFonts w:ascii="Times New Roman" w:hAnsi="Times New Roman" w:cs="Times New Roman"/>
                <w:sz w:val="15"/>
              </w:rPr>
              <w:t>waste, pollution or resource-use indicators</w:t>
            </w:r>
          </w:p>
        </w:tc>
        <w:tc>
          <w:tcPr>
            <w:tcW w:w="2088" w:type="dxa"/>
            <w:vAlign w:val="center"/>
          </w:tcPr>
          <w:p w14:paraId="48C37B1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Source-specific unit and geography</w:t>
            </w:r>
          </w:p>
        </w:tc>
        <w:tc>
          <w:tcPr>
            <w:tcW w:w="2808" w:type="dxa"/>
            <w:vAlign w:val="center"/>
          </w:tcPr>
          <w:p w14:paraId="0E54EFD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Compare only if methods and periods are sufficiently compatible.</w:t>
            </w:r>
          </w:p>
        </w:tc>
      </w:tr>
      <w:tr w:rsidR="00EB6344" w:rsidRPr="00495FF8" w14:paraId="5B1A956A" w14:textId="77777777">
        <w:trPr>
          <w:jc w:val="center"/>
        </w:trPr>
        <w:tc>
          <w:tcPr>
            <w:tcW w:w="1800" w:type="dxa"/>
            <w:shd w:val="clear" w:color="auto" w:fill="F0F5F9"/>
            <w:vAlign w:val="center"/>
          </w:tcPr>
          <w:p w14:paraId="00B4D74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Skills and training</w:t>
            </w:r>
          </w:p>
        </w:tc>
        <w:tc>
          <w:tcPr>
            <w:tcW w:w="3168" w:type="dxa"/>
            <w:shd w:val="clear" w:color="auto" w:fill="F0F5F9"/>
            <w:vAlign w:val="center"/>
          </w:tcPr>
          <w:p w14:paraId="34B2602F"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Training participation, qualifications, occupations or skill demand where published</w:t>
            </w:r>
          </w:p>
        </w:tc>
        <w:tc>
          <w:tcPr>
            <w:tcW w:w="2088" w:type="dxa"/>
            <w:shd w:val="clear" w:color="auto" w:fill="F0F5F9"/>
            <w:vAlign w:val="center"/>
          </w:tcPr>
          <w:p w14:paraId="3A20ABD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Persons</w:t>
            </w:r>
            <w:r w:rsidRPr="00495FF8">
              <w:rPr>
                <w:rFonts w:ascii="Times New Roman" w:hAnsi="Times New Roman" w:cs="Times New Roman"/>
                <w:sz w:val="15"/>
              </w:rPr>
              <w:t>, percentage or category</w:t>
            </w:r>
          </w:p>
        </w:tc>
        <w:tc>
          <w:tcPr>
            <w:tcW w:w="2808" w:type="dxa"/>
            <w:shd w:val="clear" w:color="auto" w:fill="F0F5F9"/>
            <w:vAlign w:val="center"/>
          </w:tcPr>
          <w:p w14:paraId="126C2D8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Coverage may be incomplete; report gaps clearly.</w:t>
            </w:r>
          </w:p>
        </w:tc>
      </w:tr>
      <w:tr w:rsidR="00EB6344" w:rsidRPr="00495FF8" w14:paraId="62059AAC" w14:textId="77777777">
        <w:trPr>
          <w:jc w:val="center"/>
        </w:trPr>
        <w:tc>
          <w:tcPr>
            <w:tcW w:w="1800" w:type="dxa"/>
            <w:vAlign w:val="center"/>
          </w:tcPr>
          <w:p w14:paraId="25E2DE6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Provenance</w:t>
            </w:r>
          </w:p>
        </w:tc>
        <w:tc>
          <w:tcPr>
            <w:tcW w:w="3168" w:type="dxa"/>
            <w:vAlign w:val="center"/>
          </w:tcPr>
          <w:p w14:paraId="0B7AAF3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Source title, publisher, URL, download date, release date, reference period, version</w:t>
            </w:r>
          </w:p>
        </w:tc>
        <w:tc>
          <w:tcPr>
            <w:tcW w:w="2088" w:type="dxa"/>
            <w:vAlign w:val="center"/>
          </w:tcPr>
          <w:p w14:paraId="7C9FD738"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Text/date fields</w:t>
            </w:r>
          </w:p>
        </w:tc>
        <w:tc>
          <w:tcPr>
            <w:tcW w:w="2808" w:type="dxa"/>
            <w:vAlign w:val="center"/>
          </w:tcPr>
          <w:p w14:paraId="1B10792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Required for traceability and reproducibility.</w:t>
            </w:r>
          </w:p>
        </w:tc>
      </w:tr>
    </w:tbl>
    <w:p w14:paraId="0C0BA4D6" w14:textId="77777777" w:rsidR="00EB6344" w:rsidRPr="00495FF8" w:rsidRDefault="00EB6344">
      <w:pPr>
        <w:rPr>
          <w:rFonts w:ascii="Times New Roman" w:hAnsi="Times New Roman" w:cs="Times New Roman"/>
        </w:rPr>
      </w:pPr>
    </w:p>
    <w:p w14:paraId="35BF4BE2"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 xml:space="preserve">5. Operational </w:t>
      </w:r>
      <w:r w:rsidRPr="00495FF8">
        <w:rPr>
          <w:rFonts w:ascii="Times New Roman" w:hAnsi="Times New Roman" w:cs="Times New Roman"/>
        </w:rPr>
        <w:t>Definition of Green Jobs</w:t>
      </w:r>
    </w:p>
    <w:p w14:paraId="06CEE20A" w14:textId="77777777" w:rsidR="00EB6344" w:rsidRPr="00495FF8" w:rsidRDefault="00F04F3F">
      <w:pPr>
        <w:rPr>
          <w:rFonts w:ascii="Times New Roman" w:hAnsi="Times New Roman" w:cs="Times New Roman"/>
        </w:rPr>
      </w:pPr>
      <w:r w:rsidRPr="00495FF8">
        <w:rPr>
          <w:rFonts w:ascii="Times New Roman" w:hAnsi="Times New Roman" w:cs="Times New Roman"/>
        </w:rPr>
        <w:t>For this project, “green jobs” will be treated as a research category that must be defined before counting begins. The initial scope will prioritise activities with a clear environmental purpose, such as renewable-energy production</w:t>
      </w:r>
      <w:r w:rsidRPr="00495FF8">
        <w:rPr>
          <w:rFonts w:ascii="Times New Roman" w:hAnsi="Times New Roman" w:cs="Times New Roman"/>
        </w:rPr>
        <w:t xml:space="preserve"> and deployment, energy efficiency, environmental protection, waste and resource management, and ecosystem-related work where the source permits identification. This is a practical working definition, not a claim that every job in a broad industry is green</w:t>
      </w:r>
      <w:r w:rsidRPr="00495FF8">
        <w:rPr>
          <w:rFonts w:ascii="Times New Roman" w:hAnsi="Times New Roman" w:cs="Times New Roman"/>
        </w:rPr>
        <w:t>.</w:t>
      </w:r>
    </w:p>
    <w:p w14:paraId="49C2514E" w14:textId="77777777" w:rsidR="00EB6344" w:rsidRPr="00495FF8" w:rsidRDefault="00F04F3F">
      <w:pPr>
        <w:rPr>
          <w:rFonts w:ascii="Times New Roman" w:hAnsi="Times New Roman" w:cs="Times New Roman"/>
        </w:rPr>
      </w:pPr>
      <w:r w:rsidRPr="00495FF8">
        <w:rPr>
          <w:rFonts w:ascii="Times New Roman" w:hAnsi="Times New Roman" w:cs="Times New Roman"/>
        </w:rPr>
        <w:t>The dataset will distinguish (1) direct employment in a defined green activity, (2) indirect or supply-chain employment where a source explicitly estimates it, and (3) general employment in a sector that may contain both green and non-green work. These c</w:t>
      </w:r>
      <w:r w:rsidRPr="00495FF8">
        <w:rPr>
          <w:rFonts w:ascii="Times New Roman" w:hAnsi="Times New Roman" w:cs="Times New Roman"/>
        </w:rPr>
        <w:t>ategories will not be added together unless the source methodology confirms that they are mutually exclusive. If a source does not identify green jobs directly, its indicators will be used as context rather than presented as a direct green-job count.</w:t>
      </w:r>
    </w:p>
    <w:p w14:paraId="3EB5F59A"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6. Da</w:t>
      </w:r>
      <w:r w:rsidRPr="00495FF8">
        <w:rPr>
          <w:rFonts w:ascii="Times New Roman" w:hAnsi="Times New Roman" w:cs="Times New Roman"/>
        </w:rPr>
        <w:t>ta Collection Methodology</w:t>
      </w:r>
    </w:p>
    <w:p w14:paraId="659BEDBC" w14:textId="77777777" w:rsidR="00EB6344" w:rsidRPr="00495FF8" w:rsidRDefault="00F04F3F">
      <w:pPr>
        <w:pStyle w:val="Heading2"/>
        <w:rPr>
          <w:rFonts w:ascii="Times New Roman" w:hAnsi="Times New Roman" w:cs="Times New Roman"/>
        </w:rPr>
      </w:pPr>
      <w:r w:rsidRPr="00495FF8">
        <w:rPr>
          <w:rFonts w:ascii="Times New Roman" w:hAnsi="Times New Roman" w:cs="Times New Roman"/>
        </w:rPr>
        <w:t>6.1 Collection design</w:t>
      </w:r>
    </w:p>
    <w:p w14:paraId="29FC2881" w14:textId="77777777" w:rsidR="00EB6344" w:rsidRPr="00495FF8" w:rsidRDefault="00F04F3F">
      <w:pPr>
        <w:rPr>
          <w:rFonts w:ascii="Times New Roman" w:hAnsi="Times New Roman" w:cs="Times New Roman"/>
        </w:rPr>
      </w:pPr>
      <w:r w:rsidRPr="00495FF8">
        <w:rPr>
          <w:rFonts w:ascii="Times New Roman" w:hAnsi="Times New Roman" w:cs="Times New Roman"/>
        </w:rPr>
        <w:t>The proposed approach is structured secondary-data collection with purposive source selection. Sources will be selected because they address the research objectives and have identifiable documentation. Within</w:t>
      </w:r>
      <w:r w:rsidRPr="00495FF8">
        <w:rPr>
          <w:rFonts w:ascii="Times New Roman" w:hAnsi="Times New Roman" w:cs="Times New Roman"/>
        </w:rPr>
        <w:t xml:space="preserve"> each source, all available observations meeting the agreed criteria for the selected years and geographic scope will be collected where practical, rather than selecting records based on whether they support a preferred conclusion.</w:t>
      </w:r>
    </w:p>
    <w:p w14:paraId="49AAA338" w14:textId="77777777" w:rsidR="00EB6344" w:rsidRPr="00495FF8" w:rsidRDefault="00F04F3F">
      <w:pPr>
        <w:pStyle w:val="Heading2"/>
        <w:rPr>
          <w:rFonts w:ascii="Times New Roman" w:hAnsi="Times New Roman" w:cs="Times New Roman"/>
        </w:rPr>
      </w:pPr>
      <w:r w:rsidRPr="00495FF8">
        <w:rPr>
          <w:rFonts w:ascii="Times New Roman" w:hAnsi="Times New Roman" w:cs="Times New Roman"/>
        </w:rPr>
        <w:t>6.2 Inclusion and exclus</w:t>
      </w:r>
      <w:r w:rsidRPr="00495FF8">
        <w:rPr>
          <w:rFonts w:ascii="Times New Roman" w:hAnsi="Times New Roman" w:cs="Times New Roman"/>
        </w:rPr>
        <w:t>ion criteria</w:t>
      </w:r>
    </w:p>
    <w:p w14:paraId="32448AB0"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Include official government datasets, official statistical reports, intergovernmental publications and clearly documented open datasets relevant to employment, renewable energy or sustainability.</w:t>
      </w:r>
    </w:p>
    <w:p w14:paraId="0A8958A2"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Prefer sources with transparent definitions, re</w:t>
      </w:r>
      <w:r w:rsidRPr="00495FF8">
        <w:rPr>
          <w:rFonts w:ascii="Times New Roman" w:hAnsi="Times New Roman" w:cs="Times New Roman"/>
        </w:rPr>
        <w:t>ference periods, units, geographic coverage and methodology notes.</w:t>
      </w:r>
    </w:p>
    <w:p w14:paraId="5219F865"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Include the latest five complete years where comparable data are available; extend the period only when definitions remain comparable.</w:t>
      </w:r>
    </w:p>
    <w:p w14:paraId="495B27B6"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lastRenderedPageBreak/>
        <w:t>Exclude unsourced social-media figures, anonymous char</w:t>
      </w:r>
      <w:r w:rsidRPr="00495FF8">
        <w:rPr>
          <w:rFonts w:ascii="Times New Roman" w:hAnsi="Times New Roman" w:cs="Times New Roman"/>
        </w:rPr>
        <w:t>ts, duplicate copies and sources whose key metadata cannot be established.</w:t>
      </w:r>
    </w:p>
    <w:p w14:paraId="490F55F8"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Do not combine estimates measuring different populations, periods or concepts simply because their labels appear similar.</w:t>
      </w:r>
    </w:p>
    <w:p w14:paraId="6C61F7AA" w14:textId="77777777" w:rsidR="00EB6344" w:rsidRPr="00495FF8" w:rsidRDefault="00F04F3F">
      <w:pPr>
        <w:pStyle w:val="Heading2"/>
        <w:rPr>
          <w:rFonts w:ascii="Times New Roman" w:hAnsi="Times New Roman" w:cs="Times New Roman"/>
        </w:rPr>
      </w:pPr>
      <w:r w:rsidRPr="00495FF8">
        <w:rPr>
          <w:rFonts w:ascii="Times New Roman" w:hAnsi="Times New Roman" w:cs="Times New Roman"/>
        </w:rPr>
        <w:t>6.3 Sampling strategy</w:t>
      </w:r>
    </w:p>
    <w:p w14:paraId="0567162B" w14:textId="77777777" w:rsidR="00EB6344" w:rsidRPr="00495FF8" w:rsidRDefault="00F04F3F">
      <w:pPr>
        <w:rPr>
          <w:rFonts w:ascii="Times New Roman" w:hAnsi="Times New Roman" w:cs="Times New Roman"/>
        </w:rPr>
      </w:pPr>
      <w:r w:rsidRPr="00495FF8">
        <w:rPr>
          <w:rFonts w:ascii="Times New Roman" w:hAnsi="Times New Roman" w:cs="Times New Roman"/>
        </w:rPr>
        <w:t>Because this project uses published s</w:t>
      </w:r>
      <w:r w:rsidRPr="00495FF8">
        <w:rPr>
          <w:rFonts w:ascii="Times New Roman" w:hAnsi="Times New Roman" w:cs="Times New Roman"/>
        </w:rPr>
        <w:t xml:space="preserve">econdary data, the sampling unit is a data observation available from a source—for example, state–year–technology—not an individual recruited by the analyst. The preferred strategy is to collect all eligible published observations for the selected period. </w:t>
      </w:r>
      <w:r w:rsidRPr="00495FF8">
        <w:rPr>
          <w:rFonts w:ascii="Times New Roman" w:hAnsi="Times New Roman" w:cs="Times New Roman"/>
        </w:rPr>
        <w:t>If a source is too large to process in full, a documented stratified approach can group records by state, year and sector or technology to avoid overrepresenting one group. The number of observations included and excluded, with reasons, will be recorded.</w:t>
      </w:r>
    </w:p>
    <w:p w14:paraId="5ECA2831" w14:textId="77777777" w:rsidR="00EB6344" w:rsidRPr="00495FF8" w:rsidRDefault="00F04F3F">
      <w:pPr>
        <w:pStyle w:val="Heading2"/>
        <w:rPr>
          <w:rFonts w:ascii="Times New Roman" w:hAnsi="Times New Roman" w:cs="Times New Roman"/>
        </w:rPr>
      </w:pPr>
      <w:r w:rsidRPr="00495FF8">
        <w:rPr>
          <w:rFonts w:ascii="Times New Roman" w:hAnsi="Times New Roman" w:cs="Times New Roman"/>
        </w:rPr>
        <w:t>6</w:t>
      </w:r>
      <w:r w:rsidRPr="00495FF8">
        <w:rPr>
          <w:rFonts w:ascii="Times New Roman" w:hAnsi="Times New Roman" w:cs="Times New Roman"/>
        </w:rPr>
        <w:t>.4 Step-by-step procedure</w:t>
      </w:r>
    </w:p>
    <w:p w14:paraId="0C74BEF7"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Define the research questions, period, geographic scope and working definition of green-related activities.</w:t>
      </w:r>
    </w:p>
    <w:p w14:paraId="75CEB111"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Search official agency portals and publication pages using consistent terms such as employment, labour force, renewable en</w:t>
      </w:r>
      <w:r w:rsidRPr="00495FF8">
        <w:rPr>
          <w:rFonts w:ascii="Times New Roman" w:hAnsi="Times New Roman" w:cs="Times New Roman"/>
        </w:rPr>
        <w:t>ergy, installed capacity, generation and sustainability indicators.</w:t>
      </w:r>
    </w:p>
    <w:p w14:paraId="156BC0E1"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Create a source register containing title, publisher, URL, release date, access date, reference period, units, coverage, definitions, file type and licence or terms of use.</w:t>
      </w:r>
    </w:p>
    <w:p w14:paraId="61D33A33"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 xml:space="preserve">Download </w:t>
      </w:r>
      <w:r w:rsidRPr="00495FF8">
        <w:rPr>
          <w:rFonts w:ascii="Times New Roman" w:hAnsi="Times New Roman" w:cs="Times New Roman"/>
        </w:rPr>
        <w:t>machine-readable CSV or XLSX files where available. If information appears only in a PDF or report table, record the page/table number and verify extracted figures twice.</w:t>
      </w:r>
    </w:p>
    <w:p w14:paraId="7F6C94C9"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 xml:space="preserve">Save an unchanged raw copy of each file. Perform cleaning on a separate working copy </w:t>
      </w:r>
      <w:r w:rsidRPr="00495FF8">
        <w:rPr>
          <w:rFonts w:ascii="Times New Roman" w:hAnsi="Times New Roman" w:cs="Times New Roman"/>
        </w:rPr>
        <w:t>and keep a log of changes.</w:t>
      </w:r>
    </w:p>
    <w:p w14:paraId="0394D032"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Inspect metadata before combining datasets. Confirm whether each observation refers to a calendar year, financial year or survey period.</w:t>
      </w:r>
    </w:p>
    <w:p w14:paraId="7F03B44D"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Create a data dictionary and map source-specific field names to standard names while retaini</w:t>
      </w:r>
      <w:r w:rsidRPr="00495FF8">
        <w:rPr>
          <w:rFonts w:ascii="Times New Roman" w:hAnsi="Times New Roman" w:cs="Times New Roman"/>
        </w:rPr>
        <w:t>ng the original field names.</w:t>
      </w:r>
    </w:p>
    <w:p w14:paraId="4C28D945"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Run quality checks, document missing values and investigate outliers or changes in definitions.</w:t>
      </w:r>
    </w:p>
    <w:p w14:paraId="56240A1A"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Combine datasets only when geography, period, units and concepts are sufficiently compatible. Keep separate tables where a join wou</w:t>
      </w:r>
      <w:r w:rsidRPr="00495FF8">
        <w:rPr>
          <w:rFonts w:ascii="Times New Roman" w:hAnsi="Times New Roman" w:cs="Times New Roman"/>
        </w:rPr>
        <w:t>ld create a misleading comparison.</w:t>
      </w:r>
    </w:p>
    <w:p w14:paraId="3FA45FB6" w14:textId="77777777" w:rsidR="00EB6344" w:rsidRPr="00495FF8" w:rsidRDefault="00F04F3F">
      <w:pPr>
        <w:pStyle w:val="ListNumber"/>
        <w:rPr>
          <w:rFonts w:ascii="Times New Roman" w:hAnsi="Times New Roman" w:cs="Times New Roman"/>
        </w:rPr>
      </w:pPr>
      <w:r w:rsidRPr="00495FF8">
        <w:rPr>
          <w:rFonts w:ascii="Times New Roman" w:hAnsi="Times New Roman" w:cs="Times New Roman"/>
        </w:rPr>
        <w:t>Record collection decisions and prepare a handover note describing coverage, limitations and unresolved gaps.</w:t>
      </w:r>
    </w:p>
    <w:p w14:paraId="1FF8A1E9" w14:textId="77777777" w:rsidR="00EB6344" w:rsidRPr="00495FF8" w:rsidRDefault="00F04F3F">
      <w:pPr>
        <w:pStyle w:val="Heading2"/>
        <w:rPr>
          <w:rFonts w:ascii="Times New Roman" w:hAnsi="Times New Roman" w:cs="Times New Roman"/>
        </w:rPr>
      </w:pPr>
      <w:r w:rsidRPr="00495FF8">
        <w:rPr>
          <w:rFonts w:ascii="Times New Roman" w:hAnsi="Times New Roman" w:cs="Times New Roman"/>
        </w:rPr>
        <w:t>6.5 Tools and file organisation</w:t>
      </w:r>
    </w:p>
    <w:p w14:paraId="2068247D" w14:textId="77777777" w:rsidR="00EB6344" w:rsidRPr="00495FF8" w:rsidRDefault="00F04F3F">
      <w:pPr>
        <w:rPr>
          <w:rFonts w:ascii="Times New Roman" w:hAnsi="Times New Roman" w:cs="Times New Roman"/>
        </w:rPr>
      </w:pPr>
      <w:r w:rsidRPr="00495FF8">
        <w:rPr>
          <w:rFonts w:ascii="Times New Roman" w:hAnsi="Times New Roman" w:cs="Times New Roman"/>
        </w:rPr>
        <w:t xml:space="preserve">Excel or Google Sheets can be used for source registers, data dictionaries and </w:t>
      </w:r>
      <w:r w:rsidRPr="00495FF8">
        <w:rPr>
          <w:rFonts w:ascii="Times New Roman" w:hAnsi="Times New Roman" w:cs="Times New Roman"/>
        </w:rPr>
        <w:t>small tables. Python with pandas is suitable for repeatable imports, validation and transformation when datasets are larger or updates are repeated. Power BI or Tableau may be used later for reporting, but visualisation should begin only after quality chec</w:t>
      </w:r>
      <w:r w:rsidRPr="00495FF8">
        <w:rPr>
          <w:rFonts w:ascii="Times New Roman" w:hAnsi="Times New Roman" w:cs="Times New Roman"/>
        </w:rPr>
        <w:t>ks. The selected tools should match the scale of the data; the plan does not require every tool to be used.</w:t>
      </w:r>
    </w:p>
    <w:tbl>
      <w:tblPr>
        <w:tblStyle w:val="TableGrid"/>
        <w:tblW w:w="0" w:type="auto"/>
        <w:jc w:val="center"/>
        <w:tblLook w:val="04A0" w:firstRow="1" w:lastRow="0" w:firstColumn="1" w:lastColumn="0" w:noHBand="0" w:noVBand="1"/>
      </w:tblPr>
      <w:tblGrid>
        <w:gridCol w:w="2880"/>
        <w:gridCol w:w="6768"/>
      </w:tblGrid>
      <w:tr w:rsidR="00EB6344" w:rsidRPr="00495FF8" w14:paraId="3836248D" w14:textId="77777777">
        <w:trPr>
          <w:jc w:val="center"/>
        </w:trPr>
        <w:tc>
          <w:tcPr>
            <w:tcW w:w="2880" w:type="dxa"/>
            <w:shd w:val="clear" w:color="auto" w:fill="12355B"/>
          </w:tcPr>
          <w:p w14:paraId="564C95C4"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File or folder</w:t>
            </w:r>
          </w:p>
        </w:tc>
        <w:tc>
          <w:tcPr>
            <w:tcW w:w="6768" w:type="dxa"/>
            <w:shd w:val="clear" w:color="auto" w:fill="12355B"/>
          </w:tcPr>
          <w:p w14:paraId="531A6F8C"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Purpose</w:t>
            </w:r>
          </w:p>
        </w:tc>
      </w:tr>
      <w:tr w:rsidR="00EB6344" w:rsidRPr="00495FF8" w14:paraId="5043B194" w14:textId="77777777">
        <w:trPr>
          <w:jc w:val="center"/>
        </w:trPr>
        <w:tc>
          <w:tcPr>
            <w:tcW w:w="2880" w:type="dxa"/>
            <w:vAlign w:val="center"/>
          </w:tcPr>
          <w:p w14:paraId="1025152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01_source_register.xlsx</w:t>
            </w:r>
          </w:p>
        </w:tc>
        <w:tc>
          <w:tcPr>
            <w:tcW w:w="6768" w:type="dxa"/>
            <w:vAlign w:val="center"/>
          </w:tcPr>
          <w:p w14:paraId="79A8800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Source titles, URLs, dates, definitions and inclusion decisions.</w:t>
            </w:r>
          </w:p>
        </w:tc>
      </w:tr>
      <w:tr w:rsidR="00EB6344" w:rsidRPr="00495FF8" w14:paraId="1882A606" w14:textId="77777777">
        <w:trPr>
          <w:jc w:val="center"/>
        </w:trPr>
        <w:tc>
          <w:tcPr>
            <w:tcW w:w="2880" w:type="dxa"/>
            <w:shd w:val="clear" w:color="auto" w:fill="F0F5F9"/>
            <w:vAlign w:val="center"/>
          </w:tcPr>
          <w:p w14:paraId="5000677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02_raw_data/</w:t>
            </w:r>
          </w:p>
        </w:tc>
        <w:tc>
          <w:tcPr>
            <w:tcW w:w="6768" w:type="dxa"/>
            <w:shd w:val="clear" w:color="auto" w:fill="F0F5F9"/>
            <w:vAlign w:val="center"/>
          </w:tcPr>
          <w:p w14:paraId="3A8EEF6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 xml:space="preserve">Unmodified copies of </w:t>
            </w:r>
            <w:r w:rsidRPr="00495FF8">
              <w:rPr>
                <w:rFonts w:ascii="Times New Roman" w:hAnsi="Times New Roman" w:cs="Times New Roman"/>
                <w:sz w:val="16"/>
              </w:rPr>
              <w:t>downloaded source files.</w:t>
            </w:r>
          </w:p>
        </w:tc>
      </w:tr>
      <w:tr w:rsidR="00EB6344" w:rsidRPr="00495FF8" w14:paraId="4CCFF8EC" w14:textId="77777777">
        <w:trPr>
          <w:jc w:val="center"/>
        </w:trPr>
        <w:tc>
          <w:tcPr>
            <w:tcW w:w="2880" w:type="dxa"/>
            <w:vAlign w:val="center"/>
          </w:tcPr>
          <w:p w14:paraId="6727EDB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03_working_data/</w:t>
            </w:r>
          </w:p>
        </w:tc>
        <w:tc>
          <w:tcPr>
            <w:tcW w:w="6768" w:type="dxa"/>
            <w:vAlign w:val="center"/>
          </w:tcPr>
          <w:p w14:paraId="01D7BF3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Cleaned or transformed copies and documented processing steps.</w:t>
            </w:r>
          </w:p>
        </w:tc>
      </w:tr>
      <w:tr w:rsidR="00EB6344" w:rsidRPr="00495FF8" w14:paraId="336A6F41" w14:textId="77777777">
        <w:trPr>
          <w:jc w:val="center"/>
        </w:trPr>
        <w:tc>
          <w:tcPr>
            <w:tcW w:w="2880" w:type="dxa"/>
            <w:shd w:val="clear" w:color="auto" w:fill="F0F5F9"/>
            <w:vAlign w:val="center"/>
          </w:tcPr>
          <w:p w14:paraId="618D624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04_data_dictionary.xlsx</w:t>
            </w:r>
          </w:p>
        </w:tc>
        <w:tc>
          <w:tcPr>
            <w:tcW w:w="6768" w:type="dxa"/>
            <w:shd w:val="clear" w:color="auto" w:fill="F0F5F9"/>
            <w:vAlign w:val="center"/>
          </w:tcPr>
          <w:p w14:paraId="080142C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Variable names, definitions, units and permitted categories.</w:t>
            </w:r>
          </w:p>
        </w:tc>
      </w:tr>
      <w:tr w:rsidR="00EB6344" w:rsidRPr="00495FF8" w14:paraId="034830FE" w14:textId="77777777">
        <w:trPr>
          <w:jc w:val="center"/>
        </w:trPr>
        <w:tc>
          <w:tcPr>
            <w:tcW w:w="2880" w:type="dxa"/>
            <w:vAlign w:val="center"/>
          </w:tcPr>
          <w:p w14:paraId="153AF09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05_quality_log.xlsx</w:t>
            </w:r>
          </w:p>
        </w:tc>
        <w:tc>
          <w:tcPr>
            <w:tcW w:w="6768" w:type="dxa"/>
            <w:vAlign w:val="center"/>
          </w:tcPr>
          <w:p w14:paraId="112CEB3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Validation checks, issues found, correction</w:t>
            </w:r>
            <w:r w:rsidRPr="00495FF8">
              <w:rPr>
                <w:rFonts w:ascii="Times New Roman" w:hAnsi="Times New Roman" w:cs="Times New Roman"/>
                <w:sz w:val="16"/>
              </w:rPr>
              <w:t>s and unresolved concerns.</w:t>
            </w:r>
          </w:p>
        </w:tc>
      </w:tr>
      <w:tr w:rsidR="00EB6344" w:rsidRPr="00495FF8" w14:paraId="48ADB7B8" w14:textId="77777777">
        <w:trPr>
          <w:jc w:val="center"/>
        </w:trPr>
        <w:tc>
          <w:tcPr>
            <w:tcW w:w="2880" w:type="dxa"/>
            <w:shd w:val="clear" w:color="auto" w:fill="F0F5F9"/>
            <w:vAlign w:val="center"/>
          </w:tcPr>
          <w:p w14:paraId="038C207F"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06_documentation/</w:t>
            </w:r>
          </w:p>
        </w:tc>
        <w:tc>
          <w:tcPr>
            <w:tcW w:w="6768" w:type="dxa"/>
            <w:shd w:val="clear" w:color="auto" w:fill="F0F5F9"/>
            <w:vAlign w:val="center"/>
          </w:tcPr>
          <w:p w14:paraId="31C75FA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Method notes, citations and final deliverables.</w:t>
            </w:r>
          </w:p>
        </w:tc>
      </w:tr>
    </w:tbl>
    <w:p w14:paraId="4B6DD690" w14:textId="77777777" w:rsidR="00EB6344" w:rsidRPr="00495FF8" w:rsidRDefault="00EB6344">
      <w:pPr>
        <w:rPr>
          <w:rFonts w:ascii="Times New Roman" w:hAnsi="Times New Roman" w:cs="Times New Roman"/>
        </w:rPr>
      </w:pPr>
    </w:p>
    <w:p w14:paraId="4FCD23D5"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lastRenderedPageBreak/>
        <w:t>7. Data Quality Assurance and Validity</w:t>
      </w:r>
    </w:p>
    <w:p w14:paraId="0BE49433" w14:textId="77777777" w:rsidR="00EB6344" w:rsidRPr="00495FF8" w:rsidRDefault="00F04F3F">
      <w:pPr>
        <w:rPr>
          <w:rFonts w:ascii="Times New Roman" w:hAnsi="Times New Roman" w:cs="Times New Roman"/>
        </w:rPr>
      </w:pPr>
      <w:r w:rsidRPr="00495FF8">
        <w:rPr>
          <w:rFonts w:ascii="Times New Roman" w:hAnsi="Times New Roman" w:cs="Times New Roman"/>
        </w:rPr>
        <w:t xml:space="preserve">Quality assurance will be applied before analysis and repeated whenever a source is updated. A figure is not </w:t>
      </w:r>
      <w:r w:rsidRPr="00495FF8">
        <w:rPr>
          <w:rFonts w:ascii="Times New Roman" w:hAnsi="Times New Roman" w:cs="Times New Roman"/>
        </w:rPr>
        <w:t>automatically reliable merely because it appears on an official-looking webpage; the analyst must confirm what it measures and how it was produced.</w:t>
      </w:r>
    </w:p>
    <w:tbl>
      <w:tblPr>
        <w:tblStyle w:val="TableGrid"/>
        <w:tblW w:w="0" w:type="auto"/>
        <w:jc w:val="center"/>
        <w:tblLook w:val="04A0" w:firstRow="1" w:lastRow="0" w:firstColumn="1" w:lastColumn="0" w:noHBand="0" w:noVBand="1"/>
      </w:tblPr>
      <w:tblGrid>
        <w:gridCol w:w="1728"/>
        <w:gridCol w:w="4320"/>
        <w:gridCol w:w="3600"/>
      </w:tblGrid>
      <w:tr w:rsidR="00EB6344" w:rsidRPr="00495FF8" w14:paraId="6FE5767E" w14:textId="77777777">
        <w:trPr>
          <w:jc w:val="center"/>
        </w:trPr>
        <w:tc>
          <w:tcPr>
            <w:tcW w:w="1728" w:type="dxa"/>
            <w:shd w:val="clear" w:color="auto" w:fill="12355B"/>
          </w:tcPr>
          <w:p w14:paraId="5B1618A1"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Check</w:t>
            </w:r>
          </w:p>
        </w:tc>
        <w:tc>
          <w:tcPr>
            <w:tcW w:w="4320" w:type="dxa"/>
            <w:shd w:val="clear" w:color="auto" w:fill="12355B"/>
          </w:tcPr>
          <w:p w14:paraId="79BBC9DA"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Procedure</w:t>
            </w:r>
          </w:p>
        </w:tc>
        <w:tc>
          <w:tcPr>
            <w:tcW w:w="3600" w:type="dxa"/>
            <w:shd w:val="clear" w:color="auto" w:fill="12355B"/>
          </w:tcPr>
          <w:p w14:paraId="343BA995"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Example issue detected</w:t>
            </w:r>
          </w:p>
        </w:tc>
      </w:tr>
      <w:tr w:rsidR="00EB6344" w:rsidRPr="00495FF8" w14:paraId="79B036E0" w14:textId="77777777">
        <w:trPr>
          <w:jc w:val="center"/>
        </w:trPr>
        <w:tc>
          <w:tcPr>
            <w:tcW w:w="1728" w:type="dxa"/>
            <w:vAlign w:val="center"/>
          </w:tcPr>
          <w:p w14:paraId="50FFB6E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Source authenticity</w:t>
            </w:r>
          </w:p>
        </w:tc>
        <w:tc>
          <w:tcPr>
            <w:tcW w:w="4320" w:type="dxa"/>
            <w:vAlign w:val="center"/>
          </w:tcPr>
          <w:p w14:paraId="7D18DB4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Confirm publisher and trace the information to t</w:t>
            </w:r>
            <w:r w:rsidRPr="00495FF8">
              <w:rPr>
                <w:rFonts w:ascii="Times New Roman" w:hAnsi="Times New Roman" w:cs="Times New Roman"/>
                <w:sz w:val="15"/>
              </w:rPr>
              <w:t>he original agency or report.</w:t>
            </w:r>
          </w:p>
        </w:tc>
        <w:tc>
          <w:tcPr>
            <w:tcW w:w="3600" w:type="dxa"/>
            <w:vAlign w:val="center"/>
          </w:tcPr>
          <w:p w14:paraId="3DA18D2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A website repeats a statistic without the underlying methodology.</w:t>
            </w:r>
          </w:p>
        </w:tc>
      </w:tr>
      <w:tr w:rsidR="00EB6344" w:rsidRPr="00495FF8" w14:paraId="57BB39EA" w14:textId="77777777">
        <w:trPr>
          <w:jc w:val="center"/>
        </w:trPr>
        <w:tc>
          <w:tcPr>
            <w:tcW w:w="1728" w:type="dxa"/>
            <w:shd w:val="clear" w:color="auto" w:fill="F0F5F9"/>
            <w:vAlign w:val="center"/>
          </w:tcPr>
          <w:p w14:paraId="7836344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Completeness</w:t>
            </w:r>
          </w:p>
        </w:tc>
        <w:tc>
          <w:tcPr>
            <w:tcW w:w="4320" w:type="dxa"/>
            <w:shd w:val="clear" w:color="auto" w:fill="F0F5F9"/>
            <w:vAlign w:val="center"/>
          </w:tcPr>
          <w:p w14:paraId="52812A7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Count missing values by variable, year and state; distinguish unavailable, not applicable and suppressed values where possible.</w:t>
            </w:r>
          </w:p>
        </w:tc>
        <w:tc>
          <w:tcPr>
            <w:tcW w:w="3600" w:type="dxa"/>
            <w:shd w:val="clear" w:color="auto" w:fill="F0F5F9"/>
            <w:vAlign w:val="center"/>
          </w:tcPr>
          <w:p w14:paraId="4045FB0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A state has no obs</w:t>
            </w:r>
            <w:r w:rsidRPr="00495FF8">
              <w:rPr>
                <w:rFonts w:ascii="Times New Roman" w:hAnsi="Times New Roman" w:cs="Times New Roman"/>
                <w:sz w:val="15"/>
              </w:rPr>
              <w:t>ervation for a particular year.</w:t>
            </w:r>
          </w:p>
        </w:tc>
      </w:tr>
      <w:tr w:rsidR="00EB6344" w:rsidRPr="00495FF8" w14:paraId="247C11EB" w14:textId="77777777">
        <w:trPr>
          <w:jc w:val="center"/>
        </w:trPr>
        <w:tc>
          <w:tcPr>
            <w:tcW w:w="1728" w:type="dxa"/>
            <w:vAlign w:val="center"/>
          </w:tcPr>
          <w:p w14:paraId="44A9BD1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Duplicates</w:t>
            </w:r>
          </w:p>
        </w:tc>
        <w:tc>
          <w:tcPr>
            <w:tcW w:w="4320" w:type="dxa"/>
            <w:vAlign w:val="center"/>
          </w:tcPr>
          <w:p w14:paraId="3EC7271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Check unique keys such as state + year + technology before aggregation.</w:t>
            </w:r>
          </w:p>
        </w:tc>
        <w:tc>
          <w:tcPr>
            <w:tcW w:w="3600" w:type="dxa"/>
            <w:vAlign w:val="center"/>
          </w:tcPr>
          <w:p w14:paraId="7932949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The same record appears twice after files are appended.</w:t>
            </w:r>
          </w:p>
        </w:tc>
      </w:tr>
      <w:tr w:rsidR="00EB6344" w:rsidRPr="00495FF8" w14:paraId="6228519F" w14:textId="77777777">
        <w:trPr>
          <w:jc w:val="center"/>
        </w:trPr>
        <w:tc>
          <w:tcPr>
            <w:tcW w:w="1728" w:type="dxa"/>
            <w:shd w:val="clear" w:color="auto" w:fill="F0F5F9"/>
            <w:vAlign w:val="center"/>
          </w:tcPr>
          <w:p w14:paraId="46C837E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Range and logic</w:t>
            </w:r>
          </w:p>
        </w:tc>
        <w:tc>
          <w:tcPr>
            <w:tcW w:w="4320" w:type="dxa"/>
            <w:shd w:val="clear" w:color="auto" w:fill="F0F5F9"/>
            <w:vAlign w:val="center"/>
          </w:tcPr>
          <w:p w14:paraId="0A15FA28"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Check non-negative counts/capacity and valid percentages; </w:t>
            </w:r>
            <w:r w:rsidRPr="00495FF8">
              <w:rPr>
                <w:rFonts w:ascii="Times New Roman" w:hAnsi="Times New Roman" w:cs="Times New Roman"/>
                <w:sz w:val="15"/>
              </w:rPr>
              <w:t>investigate rather than automatically delete unusual values.</w:t>
            </w:r>
          </w:p>
        </w:tc>
        <w:tc>
          <w:tcPr>
            <w:tcW w:w="3600" w:type="dxa"/>
            <w:shd w:val="clear" w:color="auto" w:fill="F0F5F9"/>
            <w:vAlign w:val="center"/>
          </w:tcPr>
          <w:p w14:paraId="082A847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A percentage is entered as 65 instead of 0.65.</w:t>
            </w:r>
          </w:p>
        </w:tc>
      </w:tr>
      <w:tr w:rsidR="00EB6344" w:rsidRPr="00495FF8" w14:paraId="136B344C" w14:textId="77777777">
        <w:trPr>
          <w:jc w:val="center"/>
        </w:trPr>
        <w:tc>
          <w:tcPr>
            <w:tcW w:w="1728" w:type="dxa"/>
            <w:vAlign w:val="center"/>
          </w:tcPr>
          <w:p w14:paraId="3FD027C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Unit consistency</w:t>
            </w:r>
          </w:p>
        </w:tc>
        <w:tc>
          <w:tcPr>
            <w:tcW w:w="4320" w:type="dxa"/>
            <w:vAlign w:val="center"/>
          </w:tcPr>
          <w:p w14:paraId="2F9340D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Record original units and apply documented conversion rules.</w:t>
            </w:r>
          </w:p>
        </w:tc>
        <w:tc>
          <w:tcPr>
            <w:tcW w:w="3600" w:type="dxa"/>
            <w:vAlign w:val="center"/>
          </w:tcPr>
          <w:p w14:paraId="3F2BEE8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One file reports MW and another reports GW.</w:t>
            </w:r>
          </w:p>
        </w:tc>
      </w:tr>
      <w:tr w:rsidR="00EB6344" w:rsidRPr="00495FF8" w14:paraId="5FFEC481" w14:textId="77777777">
        <w:trPr>
          <w:jc w:val="center"/>
        </w:trPr>
        <w:tc>
          <w:tcPr>
            <w:tcW w:w="1728" w:type="dxa"/>
            <w:shd w:val="clear" w:color="auto" w:fill="F0F5F9"/>
            <w:vAlign w:val="center"/>
          </w:tcPr>
          <w:p w14:paraId="12C20D5F"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Time consistency</w:t>
            </w:r>
          </w:p>
        </w:tc>
        <w:tc>
          <w:tcPr>
            <w:tcW w:w="4320" w:type="dxa"/>
            <w:shd w:val="clear" w:color="auto" w:fill="F0F5F9"/>
            <w:vAlign w:val="center"/>
          </w:tcPr>
          <w:p w14:paraId="3987AD1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Record </w:t>
            </w:r>
            <w:r w:rsidRPr="00495FF8">
              <w:rPr>
                <w:rFonts w:ascii="Times New Roman" w:hAnsi="Times New Roman" w:cs="Times New Roman"/>
                <w:sz w:val="15"/>
              </w:rPr>
              <w:t>reference periods and distinguish calendar years from financial years.</w:t>
            </w:r>
          </w:p>
        </w:tc>
        <w:tc>
          <w:tcPr>
            <w:tcW w:w="3600" w:type="dxa"/>
            <w:shd w:val="clear" w:color="auto" w:fill="F0F5F9"/>
            <w:vAlign w:val="center"/>
          </w:tcPr>
          <w:p w14:paraId="2508DC7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A trend joins observations covering different periods.</w:t>
            </w:r>
          </w:p>
        </w:tc>
      </w:tr>
      <w:tr w:rsidR="00EB6344" w:rsidRPr="00495FF8" w14:paraId="5C466185" w14:textId="77777777">
        <w:trPr>
          <w:jc w:val="center"/>
        </w:trPr>
        <w:tc>
          <w:tcPr>
            <w:tcW w:w="1728" w:type="dxa"/>
            <w:vAlign w:val="center"/>
          </w:tcPr>
          <w:p w14:paraId="4BC56BB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Definition consistency</w:t>
            </w:r>
          </w:p>
        </w:tc>
        <w:tc>
          <w:tcPr>
            <w:tcW w:w="4320" w:type="dxa"/>
            <w:vAlign w:val="center"/>
          </w:tcPr>
          <w:p w14:paraId="6FC1558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Read metadata for classification changes or breaks in series.</w:t>
            </w:r>
          </w:p>
        </w:tc>
        <w:tc>
          <w:tcPr>
            <w:tcW w:w="3600" w:type="dxa"/>
            <w:vAlign w:val="center"/>
          </w:tcPr>
          <w:p w14:paraId="66FB931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An occupation category changes between </w:t>
            </w:r>
            <w:r w:rsidRPr="00495FF8">
              <w:rPr>
                <w:rFonts w:ascii="Times New Roman" w:hAnsi="Times New Roman" w:cs="Times New Roman"/>
                <w:sz w:val="15"/>
              </w:rPr>
              <w:t>survey rounds.</w:t>
            </w:r>
          </w:p>
        </w:tc>
      </w:tr>
      <w:tr w:rsidR="00EB6344" w:rsidRPr="00495FF8" w14:paraId="5E90B850" w14:textId="77777777">
        <w:trPr>
          <w:jc w:val="center"/>
        </w:trPr>
        <w:tc>
          <w:tcPr>
            <w:tcW w:w="1728" w:type="dxa"/>
            <w:shd w:val="clear" w:color="auto" w:fill="F0F5F9"/>
            <w:vAlign w:val="center"/>
          </w:tcPr>
          <w:p w14:paraId="131823C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Cross-source checks</w:t>
            </w:r>
          </w:p>
        </w:tc>
        <w:tc>
          <w:tcPr>
            <w:tcW w:w="4320" w:type="dxa"/>
            <w:shd w:val="clear" w:color="auto" w:fill="F0F5F9"/>
            <w:vAlign w:val="center"/>
          </w:tcPr>
          <w:p w14:paraId="20224C5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Compare overlapping values only when their scope and definitions match.</w:t>
            </w:r>
          </w:p>
        </w:tc>
        <w:tc>
          <w:tcPr>
            <w:tcW w:w="3600" w:type="dxa"/>
            <w:shd w:val="clear" w:color="auto" w:fill="F0F5F9"/>
            <w:vAlign w:val="center"/>
          </w:tcPr>
          <w:p w14:paraId="5ED64E8F"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Two estimates differ because their coverage or revision dates differ.</w:t>
            </w:r>
          </w:p>
        </w:tc>
      </w:tr>
      <w:tr w:rsidR="00EB6344" w:rsidRPr="00495FF8" w14:paraId="3C8E171C" w14:textId="77777777">
        <w:trPr>
          <w:jc w:val="center"/>
        </w:trPr>
        <w:tc>
          <w:tcPr>
            <w:tcW w:w="1728" w:type="dxa"/>
            <w:vAlign w:val="center"/>
          </w:tcPr>
          <w:p w14:paraId="70FBB24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Reproducibility</w:t>
            </w:r>
          </w:p>
        </w:tc>
        <w:tc>
          <w:tcPr>
            <w:tcW w:w="4320" w:type="dxa"/>
            <w:vAlign w:val="center"/>
          </w:tcPr>
          <w:p w14:paraId="02F2FFC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Keep raw files, scripts/formulas, version notes and a decisio</w:t>
            </w:r>
            <w:r w:rsidRPr="00495FF8">
              <w:rPr>
                <w:rFonts w:ascii="Times New Roman" w:hAnsi="Times New Roman" w:cs="Times New Roman"/>
                <w:sz w:val="15"/>
              </w:rPr>
              <w:t>n log.</w:t>
            </w:r>
          </w:p>
        </w:tc>
        <w:tc>
          <w:tcPr>
            <w:tcW w:w="3600" w:type="dxa"/>
            <w:vAlign w:val="center"/>
          </w:tcPr>
          <w:p w14:paraId="3F4B086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A result cannot be recreated after editing.</w:t>
            </w:r>
          </w:p>
        </w:tc>
      </w:tr>
    </w:tbl>
    <w:p w14:paraId="321966CA" w14:textId="77777777" w:rsidR="00EB6344" w:rsidRPr="00495FF8" w:rsidRDefault="00EB6344">
      <w:pPr>
        <w:rPr>
          <w:rFonts w:ascii="Times New Roman" w:hAnsi="Times New Roman" w:cs="Times New Roman"/>
        </w:rPr>
      </w:pPr>
    </w:p>
    <w:p w14:paraId="13891027" w14:textId="77777777" w:rsidR="00EB6344" w:rsidRPr="00495FF8" w:rsidRDefault="00F04F3F">
      <w:pPr>
        <w:rPr>
          <w:rFonts w:ascii="Times New Roman" w:hAnsi="Times New Roman" w:cs="Times New Roman"/>
        </w:rPr>
      </w:pPr>
      <w:r w:rsidRPr="00495FF8">
        <w:rPr>
          <w:rFonts w:ascii="Times New Roman" w:hAnsi="Times New Roman" w:cs="Times New Roman"/>
        </w:rPr>
        <w:t xml:space="preserve">Corrections will not be made merely to make a chart appear consistent. If an unusual observation cannot be verified, it will be flagged and either retained with a note or excluded under a stated rule. </w:t>
      </w:r>
      <w:r w:rsidRPr="00495FF8">
        <w:rPr>
          <w:rFonts w:ascii="Times New Roman" w:hAnsi="Times New Roman" w:cs="Times New Roman"/>
        </w:rPr>
        <w:t>Where missingness is substantial, the report will describe its likely effect and avoid presenting a partial series as a complete national picture.</w:t>
      </w:r>
    </w:p>
    <w:p w14:paraId="0C3D6790"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8. Frequency of Updates</w:t>
      </w:r>
    </w:p>
    <w:p w14:paraId="2ABAA60D" w14:textId="77777777" w:rsidR="00EB6344" w:rsidRPr="00495FF8" w:rsidRDefault="00F04F3F">
      <w:pPr>
        <w:rPr>
          <w:rFonts w:ascii="Times New Roman" w:hAnsi="Times New Roman" w:cs="Times New Roman"/>
        </w:rPr>
      </w:pPr>
      <w:r w:rsidRPr="00495FF8">
        <w:rPr>
          <w:rFonts w:ascii="Times New Roman" w:hAnsi="Times New Roman" w:cs="Times New Roman"/>
        </w:rPr>
        <w:t>Update frequency will follow the publishing schedule of each source rather than an as</w:t>
      </w:r>
      <w:r w:rsidRPr="00495FF8">
        <w:rPr>
          <w:rFonts w:ascii="Times New Roman" w:hAnsi="Times New Roman" w:cs="Times New Roman"/>
        </w:rPr>
        <w:t>sumed universal schedule. The source register will be checked quarterly for new releases, while the dataset will be refreshed when the relevant agency publishes a new version. Each refresh will record the old and new publication dates, any revisions, and c</w:t>
      </w:r>
      <w:r w:rsidRPr="00495FF8">
        <w:rPr>
          <w:rFonts w:ascii="Times New Roman" w:hAnsi="Times New Roman" w:cs="Times New Roman"/>
        </w:rPr>
        <w:t>hanges in definitions or coverage.</w:t>
      </w:r>
    </w:p>
    <w:tbl>
      <w:tblPr>
        <w:tblStyle w:val="TableGrid"/>
        <w:tblW w:w="0" w:type="auto"/>
        <w:jc w:val="center"/>
        <w:tblLook w:val="04A0" w:firstRow="1" w:lastRow="0" w:firstColumn="1" w:lastColumn="0" w:noHBand="0" w:noVBand="1"/>
      </w:tblPr>
      <w:tblGrid>
        <w:gridCol w:w="2592"/>
        <w:gridCol w:w="3528"/>
        <w:gridCol w:w="3528"/>
      </w:tblGrid>
      <w:tr w:rsidR="00EB6344" w:rsidRPr="00495FF8" w14:paraId="682086E1" w14:textId="77777777">
        <w:trPr>
          <w:jc w:val="center"/>
        </w:trPr>
        <w:tc>
          <w:tcPr>
            <w:tcW w:w="2592" w:type="dxa"/>
            <w:shd w:val="clear" w:color="auto" w:fill="12355B"/>
          </w:tcPr>
          <w:p w14:paraId="5581170A"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Data type</w:t>
            </w:r>
          </w:p>
        </w:tc>
        <w:tc>
          <w:tcPr>
            <w:tcW w:w="3528" w:type="dxa"/>
            <w:shd w:val="clear" w:color="auto" w:fill="12355B"/>
          </w:tcPr>
          <w:p w14:paraId="545DBE10"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Proposed monitoring frequency</w:t>
            </w:r>
          </w:p>
        </w:tc>
        <w:tc>
          <w:tcPr>
            <w:tcW w:w="3528" w:type="dxa"/>
            <w:shd w:val="clear" w:color="auto" w:fill="12355B"/>
          </w:tcPr>
          <w:p w14:paraId="2B514714"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Reason</w:t>
            </w:r>
          </w:p>
        </w:tc>
      </w:tr>
      <w:tr w:rsidR="00EB6344" w:rsidRPr="00495FF8" w14:paraId="44D90BD5" w14:textId="77777777">
        <w:trPr>
          <w:jc w:val="center"/>
        </w:trPr>
        <w:tc>
          <w:tcPr>
            <w:tcW w:w="2592" w:type="dxa"/>
            <w:vAlign w:val="center"/>
          </w:tcPr>
          <w:p w14:paraId="42E363E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Labour-force and employment statistics</w:t>
            </w:r>
          </w:p>
        </w:tc>
        <w:tc>
          <w:tcPr>
            <w:tcW w:w="3528" w:type="dxa"/>
            <w:vAlign w:val="center"/>
          </w:tcPr>
          <w:p w14:paraId="287D03B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At each official release; review at least annually</w:t>
            </w:r>
          </w:p>
        </w:tc>
        <w:tc>
          <w:tcPr>
            <w:tcW w:w="3528" w:type="dxa"/>
            <w:vAlign w:val="center"/>
          </w:tcPr>
          <w:p w14:paraId="5F04590C"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Survey and report release schedules may differ from other sources.</w:t>
            </w:r>
          </w:p>
        </w:tc>
      </w:tr>
      <w:tr w:rsidR="00EB6344" w:rsidRPr="00495FF8" w14:paraId="29E5AC41" w14:textId="77777777">
        <w:trPr>
          <w:jc w:val="center"/>
        </w:trPr>
        <w:tc>
          <w:tcPr>
            <w:tcW w:w="2592" w:type="dxa"/>
            <w:shd w:val="clear" w:color="auto" w:fill="F0F5F9"/>
            <w:vAlign w:val="center"/>
          </w:tcPr>
          <w:p w14:paraId="55A7C87D"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Renewable-energ</w:t>
            </w:r>
            <w:r w:rsidRPr="00495FF8">
              <w:rPr>
                <w:rFonts w:ascii="Times New Roman" w:hAnsi="Times New Roman" w:cs="Times New Roman"/>
                <w:sz w:val="16"/>
              </w:rPr>
              <w:t>y capacity and generation</w:t>
            </w:r>
          </w:p>
        </w:tc>
        <w:tc>
          <w:tcPr>
            <w:tcW w:w="3528" w:type="dxa"/>
            <w:shd w:val="clear" w:color="auto" w:fill="F0F5F9"/>
            <w:vAlign w:val="center"/>
          </w:tcPr>
          <w:p w14:paraId="20C342A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Quarterly source check; refresh when official figures are released</w:t>
            </w:r>
          </w:p>
        </w:tc>
        <w:tc>
          <w:tcPr>
            <w:tcW w:w="3528" w:type="dxa"/>
            <w:shd w:val="clear" w:color="auto" w:fill="F0F5F9"/>
            <w:vAlign w:val="center"/>
          </w:tcPr>
          <w:p w14:paraId="7DE0889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Capacity and generation may be updated on different schedules.</w:t>
            </w:r>
          </w:p>
        </w:tc>
      </w:tr>
      <w:tr w:rsidR="00EB6344" w:rsidRPr="00495FF8" w14:paraId="740A5ED1" w14:textId="77777777">
        <w:trPr>
          <w:jc w:val="center"/>
        </w:trPr>
        <w:tc>
          <w:tcPr>
            <w:tcW w:w="2592" w:type="dxa"/>
            <w:vAlign w:val="center"/>
          </w:tcPr>
          <w:p w14:paraId="6B0DFC8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Green-jobs research and policy reports</w:t>
            </w:r>
          </w:p>
        </w:tc>
        <w:tc>
          <w:tcPr>
            <w:tcW w:w="3528" w:type="dxa"/>
            <w:vAlign w:val="center"/>
          </w:tcPr>
          <w:p w14:paraId="129D826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Quarterly literature/source check</w:t>
            </w:r>
          </w:p>
        </w:tc>
        <w:tc>
          <w:tcPr>
            <w:tcW w:w="3528" w:type="dxa"/>
            <w:vAlign w:val="center"/>
          </w:tcPr>
          <w:p w14:paraId="3F9FE46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 xml:space="preserve">New studies may clarify </w:t>
            </w:r>
            <w:r w:rsidRPr="00495FF8">
              <w:rPr>
                <w:rFonts w:ascii="Times New Roman" w:hAnsi="Times New Roman" w:cs="Times New Roman"/>
                <w:sz w:val="16"/>
              </w:rPr>
              <w:t>definitions or methods.</w:t>
            </w:r>
          </w:p>
        </w:tc>
      </w:tr>
      <w:tr w:rsidR="00EB6344" w:rsidRPr="00495FF8" w14:paraId="7DA24957" w14:textId="77777777">
        <w:trPr>
          <w:jc w:val="center"/>
        </w:trPr>
        <w:tc>
          <w:tcPr>
            <w:tcW w:w="2592" w:type="dxa"/>
            <w:shd w:val="clear" w:color="auto" w:fill="F0F5F9"/>
            <w:vAlign w:val="center"/>
          </w:tcPr>
          <w:p w14:paraId="4CE46D7D"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Environmental indicators</w:t>
            </w:r>
          </w:p>
        </w:tc>
        <w:tc>
          <w:tcPr>
            <w:tcW w:w="3528" w:type="dxa"/>
            <w:shd w:val="clear" w:color="auto" w:fill="F0F5F9"/>
            <w:vAlign w:val="center"/>
          </w:tcPr>
          <w:p w14:paraId="72492E1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Follow the source’s published interval</w:t>
            </w:r>
          </w:p>
        </w:tc>
        <w:tc>
          <w:tcPr>
            <w:tcW w:w="3528" w:type="dxa"/>
            <w:shd w:val="clear" w:color="auto" w:fill="F0F5F9"/>
            <w:vAlign w:val="center"/>
          </w:tcPr>
          <w:p w14:paraId="7C7A5F2D"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Monitoring frequency varies by indicator and agency.</w:t>
            </w:r>
          </w:p>
        </w:tc>
      </w:tr>
    </w:tbl>
    <w:p w14:paraId="55E48285" w14:textId="77777777" w:rsidR="00EB6344" w:rsidRPr="00495FF8" w:rsidRDefault="00EB6344">
      <w:pPr>
        <w:rPr>
          <w:rFonts w:ascii="Times New Roman" w:hAnsi="Times New Roman" w:cs="Times New Roman"/>
        </w:rPr>
      </w:pPr>
    </w:p>
    <w:p w14:paraId="3A700228"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9. Alignment with Sustainability Indicators</w:t>
      </w:r>
    </w:p>
    <w:p w14:paraId="760F8A33" w14:textId="77777777" w:rsidR="00EB6344" w:rsidRPr="00495FF8" w:rsidRDefault="00F04F3F">
      <w:pPr>
        <w:rPr>
          <w:rFonts w:ascii="Times New Roman" w:hAnsi="Times New Roman" w:cs="Times New Roman"/>
        </w:rPr>
      </w:pPr>
      <w:r w:rsidRPr="00495FF8">
        <w:rPr>
          <w:rFonts w:ascii="Times New Roman" w:hAnsi="Times New Roman" w:cs="Times New Roman"/>
        </w:rPr>
        <w:t>The proposed variables support a multidimensional view of sustainabi</w:t>
      </w:r>
      <w:r w:rsidRPr="00495FF8">
        <w:rPr>
          <w:rFonts w:ascii="Times New Roman" w:hAnsi="Times New Roman" w:cs="Times New Roman"/>
        </w:rPr>
        <w:t>lity. Employment indicators connect conceptually to SDG 8 (Decent Work and Economic Growth); renewable-energy indicators to SDG 7 (Affordable and Clean Energy); selected waste and resource measures to SDG 12 (Responsible Consumption and Production); climat</w:t>
      </w:r>
      <w:r w:rsidRPr="00495FF8">
        <w:rPr>
          <w:rFonts w:ascii="Times New Roman" w:hAnsi="Times New Roman" w:cs="Times New Roman"/>
        </w:rPr>
        <w:t>e measures to SDG 13 (Climate Action); and gender-disaggregated employment information to SDG 5 (Gender Equality). The precise alignment must be checked against the official definition of each indicator.</w:t>
      </w:r>
    </w:p>
    <w:p w14:paraId="4D35C648" w14:textId="77777777" w:rsidR="00EB6344" w:rsidRPr="00495FF8" w:rsidRDefault="00F04F3F">
      <w:pPr>
        <w:rPr>
          <w:rFonts w:ascii="Times New Roman" w:hAnsi="Times New Roman" w:cs="Times New Roman"/>
        </w:rPr>
      </w:pPr>
      <w:r w:rsidRPr="00495FF8">
        <w:rPr>
          <w:rFonts w:ascii="Times New Roman" w:hAnsi="Times New Roman" w:cs="Times New Roman"/>
        </w:rPr>
        <w:lastRenderedPageBreak/>
        <w:t>Installed renewable capacity and electricity generat</w:t>
      </w:r>
      <w:r w:rsidRPr="00495FF8">
        <w:rPr>
          <w:rFonts w:ascii="Times New Roman" w:hAnsi="Times New Roman" w:cs="Times New Roman"/>
        </w:rPr>
        <w:t>ion can describe the scale and development of renewable-energy activity. They cannot, by themselves, establish how many jobs were created or whether those jobs are secure and fairly paid. Employment outcomes should be measured separately, and any relations</w:t>
      </w:r>
      <w:r w:rsidRPr="00495FF8">
        <w:rPr>
          <w:rFonts w:ascii="Times New Roman" w:hAnsi="Times New Roman" w:cs="Times New Roman"/>
        </w:rPr>
        <w:t>hip between employment and energy indicators should be described as an association unless the research design supports causal inference.</w:t>
      </w:r>
    </w:p>
    <w:p w14:paraId="23048675"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10. Practical Example of How Evidence Will Be Recorded</w:t>
      </w:r>
    </w:p>
    <w:p w14:paraId="7FA70939" w14:textId="77777777" w:rsidR="00EB6344" w:rsidRPr="00495FF8" w:rsidRDefault="00F04F3F">
      <w:pPr>
        <w:rPr>
          <w:rFonts w:ascii="Times New Roman" w:hAnsi="Times New Roman" w:cs="Times New Roman"/>
        </w:rPr>
      </w:pPr>
      <w:r w:rsidRPr="00495FF8">
        <w:rPr>
          <w:rFonts w:ascii="Times New Roman" w:hAnsi="Times New Roman" w:cs="Times New Roman"/>
        </w:rPr>
        <w:t>IRENA and ILO’s Renewable Energy and Jobs: Annual Review 2025 is</w:t>
      </w:r>
      <w:r w:rsidRPr="00495FF8">
        <w:rPr>
          <w:rFonts w:ascii="Times New Roman" w:hAnsi="Times New Roman" w:cs="Times New Roman"/>
        </w:rPr>
        <w:t xml:space="preserve"> an example of an international publication that can be used for context [5]. When extracting a statistic from this or any other report, the analyst should record the exact figure as published, its unit, reference year, geographic scope, publication date a</w:t>
      </w:r>
      <w:r w:rsidRPr="00495FF8">
        <w:rPr>
          <w:rFonts w:ascii="Times New Roman" w:hAnsi="Times New Roman" w:cs="Times New Roman"/>
        </w:rPr>
        <w:t>nd page or table reference. A global estimate must not be entered into an India-only table as though it were a national figure.</w:t>
      </w:r>
    </w:p>
    <w:p w14:paraId="4619BDED" w14:textId="626FBE09" w:rsidR="00EB6344" w:rsidRDefault="00F04F3F">
      <w:pPr>
        <w:rPr>
          <w:rFonts w:ascii="Times New Roman" w:hAnsi="Times New Roman" w:cs="Times New Roman"/>
        </w:rPr>
      </w:pPr>
      <w:r w:rsidRPr="00495FF8">
        <w:rPr>
          <w:rFonts w:ascii="Times New Roman" w:hAnsi="Times New Roman" w:cs="Times New Roman"/>
        </w:rPr>
        <w:t>A source-register entry should include publisher, report title, indicator name, reported value and unit, reference year, geograp</w:t>
      </w:r>
      <w:r w:rsidRPr="00495FF8">
        <w:rPr>
          <w:rFonts w:ascii="Times New Roman" w:hAnsi="Times New Roman" w:cs="Times New Roman"/>
        </w:rPr>
        <w:t>hic scope, publication date, URL, page/table and any qualification used by the publisher (for example, “estimated” or “at least”). If an India-specific figure is required, the analyst must locate and validate a national source rather than derive a value by</w:t>
      </w:r>
      <w:r w:rsidRPr="00495FF8">
        <w:rPr>
          <w:rFonts w:ascii="Times New Roman" w:hAnsi="Times New Roman" w:cs="Times New Roman"/>
        </w:rPr>
        <w:t xml:space="preserve"> scaling a global estimate.</w:t>
      </w:r>
    </w:p>
    <w:p w14:paraId="5A7C7DC3" w14:textId="77777777" w:rsidR="000274B3" w:rsidRPr="00DE0432" w:rsidRDefault="000274B3" w:rsidP="000274B3">
      <w:pPr>
        <w:pStyle w:val="NormalWeb"/>
        <w:rPr>
          <w:sz w:val="21"/>
          <w:szCs w:val="21"/>
        </w:rPr>
      </w:pPr>
      <w:r w:rsidRPr="00DE0432">
        <w:rPr>
          <w:bCs/>
          <w:sz w:val="21"/>
          <w:szCs w:val="21"/>
        </w:rPr>
        <w:t>Illustrative evidence record:</w:t>
      </w:r>
      <w:r w:rsidRPr="00DE0432">
        <w:rPr>
          <w:sz w:val="21"/>
          <w:szCs w:val="21"/>
        </w:rPr>
        <w:t xml:space="preserve"> The IRENA and ILO </w:t>
      </w:r>
      <w:r w:rsidRPr="00DE0432">
        <w:rPr>
          <w:i/>
          <w:iCs/>
          <w:sz w:val="21"/>
          <w:szCs w:val="21"/>
        </w:rPr>
        <w:t>Renewable Energy and Jobs: Annual Review 2025</w:t>
      </w:r>
      <w:r w:rsidRPr="00DE0432">
        <w:rPr>
          <w:sz w:val="21"/>
          <w:szCs w:val="21"/>
        </w:rPr>
        <w:t xml:space="preserve"> estimates that India had 304,340 solar PV jobs in 2024. The unit is estimated jobs, the reference year is 2024, and the geographic coverage is India. The figure should be recorded as an estimate and cited to the relevant section of the report. Before using it in analysis, the analyst should verify the exact page or table in the downloaded report and retain the source URL and access date.</w:t>
      </w:r>
    </w:p>
    <w:p w14:paraId="73DA5521" w14:textId="77777777" w:rsidR="000274B3" w:rsidRPr="00495FF8" w:rsidRDefault="000274B3">
      <w:pPr>
        <w:rPr>
          <w:rFonts w:ascii="Times New Roman" w:hAnsi="Times New Roman" w:cs="Times New Roman"/>
        </w:rPr>
      </w:pPr>
    </w:p>
    <w:p w14:paraId="64980E6D"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11. Potential Challenges and Proposed Solutions</w:t>
      </w:r>
    </w:p>
    <w:tbl>
      <w:tblPr>
        <w:tblStyle w:val="TableGrid"/>
        <w:tblW w:w="0" w:type="auto"/>
        <w:jc w:val="center"/>
        <w:tblLook w:val="04A0" w:firstRow="1" w:lastRow="0" w:firstColumn="1" w:lastColumn="0" w:noHBand="0" w:noVBand="1"/>
      </w:tblPr>
      <w:tblGrid>
        <w:gridCol w:w="2088"/>
        <w:gridCol w:w="3096"/>
        <w:gridCol w:w="4320"/>
      </w:tblGrid>
      <w:tr w:rsidR="00EB6344" w:rsidRPr="00495FF8" w14:paraId="5810A989" w14:textId="77777777">
        <w:trPr>
          <w:jc w:val="center"/>
        </w:trPr>
        <w:tc>
          <w:tcPr>
            <w:tcW w:w="2088" w:type="dxa"/>
            <w:shd w:val="clear" w:color="auto" w:fill="12355B"/>
          </w:tcPr>
          <w:p w14:paraId="386E69ED"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Challenge</w:t>
            </w:r>
          </w:p>
        </w:tc>
        <w:tc>
          <w:tcPr>
            <w:tcW w:w="3096" w:type="dxa"/>
            <w:shd w:val="clear" w:color="auto" w:fill="12355B"/>
          </w:tcPr>
          <w:p w14:paraId="7EE28C60"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Why it matters</w:t>
            </w:r>
          </w:p>
        </w:tc>
        <w:tc>
          <w:tcPr>
            <w:tcW w:w="4320" w:type="dxa"/>
            <w:shd w:val="clear" w:color="auto" w:fill="12355B"/>
          </w:tcPr>
          <w:p w14:paraId="54303290"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5"/>
              </w:rPr>
              <w:t>Proposed solution</w:t>
            </w:r>
          </w:p>
        </w:tc>
      </w:tr>
      <w:tr w:rsidR="00EB6344" w:rsidRPr="00495FF8" w14:paraId="753B6524" w14:textId="77777777">
        <w:trPr>
          <w:jc w:val="center"/>
        </w:trPr>
        <w:tc>
          <w:tcPr>
            <w:tcW w:w="2088" w:type="dxa"/>
            <w:vAlign w:val="center"/>
          </w:tcPr>
          <w:p w14:paraId="1244C3D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No single operational definition</w:t>
            </w:r>
          </w:p>
        </w:tc>
        <w:tc>
          <w:tcPr>
            <w:tcW w:w="3096" w:type="dxa"/>
            <w:vAlign w:val="center"/>
          </w:tcPr>
          <w:p w14:paraId="7319C52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Different studies may count different activities and occupations.</w:t>
            </w:r>
          </w:p>
        </w:tc>
        <w:tc>
          <w:tcPr>
            <w:tcW w:w="4320" w:type="dxa"/>
            <w:vAlign w:val="center"/>
          </w:tcPr>
          <w:p w14:paraId="3EAC5B6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Publish a working definition and tag </w:t>
            </w:r>
            <w:r w:rsidRPr="00495FF8">
              <w:rPr>
                <w:rFonts w:ascii="Times New Roman" w:hAnsi="Times New Roman" w:cs="Times New Roman"/>
                <w:sz w:val="15"/>
              </w:rPr>
              <w:t>direct, indirect and context-only measures separately.</w:t>
            </w:r>
          </w:p>
        </w:tc>
      </w:tr>
      <w:tr w:rsidR="00EB6344" w:rsidRPr="00495FF8" w14:paraId="602788E8" w14:textId="77777777">
        <w:trPr>
          <w:jc w:val="center"/>
        </w:trPr>
        <w:tc>
          <w:tcPr>
            <w:tcW w:w="2088" w:type="dxa"/>
            <w:shd w:val="clear" w:color="auto" w:fill="F0F5F9"/>
            <w:vAlign w:val="center"/>
          </w:tcPr>
          <w:p w14:paraId="02A4176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Limited state or occupation detail</w:t>
            </w:r>
          </w:p>
        </w:tc>
        <w:tc>
          <w:tcPr>
            <w:tcW w:w="3096" w:type="dxa"/>
            <w:shd w:val="clear" w:color="auto" w:fill="F0F5F9"/>
            <w:vAlign w:val="center"/>
          </w:tcPr>
          <w:p w14:paraId="6C22B80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National totals may hide regional or demographic differences.</w:t>
            </w:r>
          </w:p>
        </w:tc>
        <w:tc>
          <w:tcPr>
            <w:tcW w:w="4320" w:type="dxa"/>
            <w:shd w:val="clear" w:color="auto" w:fill="F0F5F9"/>
            <w:vAlign w:val="center"/>
          </w:tcPr>
          <w:p w14:paraId="0AFB2783"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Report the finest reliable level available and clearly mark gaps.</w:t>
            </w:r>
          </w:p>
        </w:tc>
      </w:tr>
      <w:tr w:rsidR="00EB6344" w:rsidRPr="00495FF8" w14:paraId="35DDF91F" w14:textId="77777777">
        <w:trPr>
          <w:jc w:val="center"/>
        </w:trPr>
        <w:tc>
          <w:tcPr>
            <w:tcW w:w="2088" w:type="dxa"/>
            <w:vAlign w:val="center"/>
          </w:tcPr>
          <w:p w14:paraId="67BC0E9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Different reporting periods</w:t>
            </w:r>
          </w:p>
        </w:tc>
        <w:tc>
          <w:tcPr>
            <w:tcW w:w="3096" w:type="dxa"/>
            <w:vAlign w:val="center"/>
          </w:tcPr>
          <w:p w14:paraId="3488765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Calendar</w:t>
            </w:r>
            <w:r w:rsidRPr="00495FF8">
              <w:rPr>
                <w:rFonts w:ascii="Times New Roman" w:hAnsi="Times New Roman" w:cs="Times New Roman"/>
                <w:sz w:val="15"/>
              </w:rPr>
              <w:t xml:space="preserve"> years, financial years and survey rounds may not align.</w:t>
            </w:r>
          </w:p>
        </w:tc>
        <w:tc>
          <w:tcPr>
            <w:tcW w:w="4320" w:type="dxa"/>
            <w:vAlign w:val="center"/>
          </w:tcPr>
          <w:p w14:paraId="722FFBD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Keep reference periods in separate fields and compare only compatible observations.</w:t>
            </w:r>
          </w:p>
        </w:tc>
      </w:tr>
      <w:tr w:rsidR="00EB6344" w:rsidRPr="00495FF8" w14:paraId="0DF7E38A" w14:textId="77777777">
        <w:trPr>
          <w:jc w:val="center"/>
        </w:trPr>
        <w:tc>
          <w:tcPr>
            <w:tcW w:w="2088" w:type="dxa"/>
            <w:shd w:val="clear" w:color="auto" w:fill="F0F5F9"/>
            <w:vAlign w:val="center"/>
          </w:tcPr>
          <w:p w14:paraId="1FAAD7C8"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Changes in methodology</w:t>
            </w:r>
          </w:p>
        </w:tc>
        <w:tc>
          <w:tcPr>
            <w:tcW w:w="3096" w:type="dxa"/>
            <w:shd w:val="clear" w:color="auto" w:fill="F0F5F9"/>
            <w:vAlign w:val="center"/>
          </w:tcPr>
          <w:p w14:paraId="7824CC0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Apparent trends may reflect revised definitions rather than real change.</w:t>
            </w:r>
          </w:p>
        </w:tc>
        <w:tc>
          <w:tcPr>
            <w:tcW w:w="4320" w:type="dxa"/>
            <w:shd w:val="clear" w:color="auto" w:fill="F0F5F9"/>
            <w:vAlign w:val="center"/>
          </w:tcPr>
          <w:p w14:paraId="36B30C9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Read metadata and </w:t>
            </w:r>
            <w:r w:rsidRPr="00495FF8">
              <w:rPr>
                <w:rFonts w:ascii="Times New Roman" w:hAnsi="Times New Roman" w:cs="Times New Roman"/>
                <w:sz w:val="15"/>
              </w:rPr>
              <w:t>identify breaks in a series where necessary.</w:t>
            </w:r>
          </w:p>
        </w:tc>
      </w:tr>
      <w:tr w:rsidR="00EB6344" w:rsidRPr="00495FF8" w14:paraId="1CC89BD9" w14:textId="77777777">
        <w:trPr>
          <w:jc w:val="center"/>
        </w:trPr>
        <w:tc>
          <w:tcPr>
            <w:tcW w:w="2088" w:type="dxa"/>
            <w:vAlign w:val="center"/>
          </w:tcPr>
          <w:p w14:paraId="79E0EC5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PDF-only data</w:t>
            </w:r>
          </w:p>
        </w:tc>
        <w:tc>
          <w:tcPr>
            <w:tcW w:w="3096" w:type="dxa"/>
            <w:vAlign w:val="center"/>
          </w:tcPr>
          <w:p w14:paraId="44D6A85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Manual extraction creates transcription risk.</w:t>
            </w:r>
          </w:p>
        </w:tc>
        <w:tc>
          <w:tcPr>
            <w:tcW w:w="4320" w:type="dxa"/>
            <w:vAlign w:val="center"/>
          </w:tcPr>
          <w:p w14:paraId="7A0494AD"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Record page/table references and verify values twice.</w:t>
            </w:r>
          </w:p>
        </w:tc>
      </w:tr>
      <w:tr w:rsidR="00EB6344" w:rsidRPr="00495FF8" w14:paraId="6BBAFFE2" w14:textId="77777777">
        <w:trPr>
          <w:jc w:val="center"/>
        </w:trPr>
        <w:tc>
          <w:tcPr>
            <w:tcW w:w="2088" w:type="dxa"/>
            <w:shd w:val="clear" w:color="auto" w:fill="F0F5F9"/>
            <w:vAlign w:val="center"/>
          </w:tcPr>
          <w:p w14:paraId="570F95F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Missing or suppressed data</w:t>
            </w:r>
          </w:p>
        </w:tc>
        <w:tc>
          <w:tcPr>
            <w:tcW w:w="3096" w:type="dxa"/>
            <w:shd w:val="clear" w:color="auto" w:fill="F0F5F9"/>
            <w:vAlign w:val="center"/>
          </w:tcPr>
          <w:p w14:paraId="0BFA1A0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Coverage may be uneven across states or groups.</w:t>
            </w:r>
          </w:p>
        </w:tc>
        <w:tc>
          <w:tcPr>
            <w:tcW w:w="4320" w:type="dxa"/>
            <w:shd w:val="clear" w:color="auto" w:fill="F0F5F9"/>
            <w:vAlign w:val="center"/>
          </w:tcPr>
          <w:p w14:paraId="14C52F7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 xml:space="preserve">Record known </w:t>
            </w:r>
            <w:r w:rsidRPr="00495FF8">
              <w:rPr>
                <w:rFonts w:ascii="Times New Roman" w:hAnsi="Times New Roman" w:cs="Times New Roman"/>
                <w:sz w:val="15"/>
              </w:rPr>
              <w:t>reasons; avoid automatic imputation unless justified.</w:t>
            </w:r>
          </w:p>
        </w:tc>
      </w:tr>
      <w:tr w:rsidR="00EB6344" w:rsidRPr="00495FF8" w14:paraId="7DC15693" w14:textId="77777777">
        <w:trPr>
          <w:jc w:val="center"/>
        </w:trPr>
        <w:tc>
          <w:tcPr>
            <w:tcW w:w="2088" w:type="dxa"/>
            <w:vAlign w:val="center"/>
          </w:tcPr>
          <w:p w14:paraId="7FF77383"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Conflicting estimates</w:t>
            </w:r>
          </w:p>
        </w:tc>
        <w:tc>
          <w:tcPr>
            <w:tcW w:w="3096" w:type="dxa"/>
            <w:vAlign w:val="center"/>
          </w:tcPr>
          <w:p w14:paraId="531776E1"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Sources may use different scopes, models or revisions.</w:t>
            </w:r>
          </w:p>
        </w:tc>
        <w:tc>
          <w:tcPr>
            <w:tcW w:w="4320" w:type="dxa"/>
            <w:vAlign w:val="center"/>
          </w:tcPr>
          <w:p w14:paraId="46386D2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Compare methods, retain source records and explain the choice for each question.</w:t>
            </w:r>
          </w:p>
        </w:tc>
      </w:tr>
      <w:tr w:rsidR="00EB6344" w:rsidRPr="00495FF8" w14:paraId="1DA4DDC7" w14:textId="77777777">
        <w:trPr>
          <w:jc w:val="center"/>
        </w:trPr>
        <w:tc>
          <w:tcPr>
            <w:tcW w:w="2088" w:type="dxa"/>
            <w:shd w:val="clear" w:color="auto" w:fill="F0F5F9"/>
            <w:vAlign w:val="center"/>
          </w:tcPr>
          <w:p w14:paraId="7D232F93"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Overstating causality</w:t>
            </w:r>
          </w:p>
        </w:tc>
        <w:tc>
          <w:tcPr>
            <w:tcW w:w="3096" w:type="dxa"/>
            <w:shd w:val="clear" w:color="auto" w:fill="F0F5F9"/>
            <w:vAlign w:val="center"/>
          </w:tcPr>
          <w:p w14:paraId="49E5031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Employment and renew</w:t>
            </w:r>
            <w:r w:rsidRPr="00495FF8">
              <w:rPr>
                <w:rFonts w:ascii="Times New Roman" w:hAnsi="Times New Roman" w:cs="Times New Roman"/>
                <w:sz w:val="15"/>
              </w:rPr>
              <w:t>able capacity can move together for multiple reasons.</w:t>
            </w:r>
          </w:p>
        </w:tc>
        <w:tc>
          <w:tcPr>
            <w:tcW w:w="4320" w:type="dxa"/>
            <w:shd w:val="clear" w:color="auto" w:fill="F0F5F9"/>
            <w:vAlign w:val="center"/>
          </w:tcPr>
          <w:p w14:paraId="71B3E6A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Use cautious language and distinguish descriptive trends from causal claims.</w:t>
            </w:r>
          </w:p>
        </w:tc>
      </w:tr>
      <w:tr w:rsidR="00EB6344" w:rsidRPr="00495FF8" w14:paraId="304A23CA" w14:textId="77777777">
        <w:trPr>
          <w:jc w:val="center"/>
        </w:trPr>
        <w:tc>
          <w:tcPr>
            <w:tcW w:w="2088" w:type="dxa"/>
            <w:vAlign w:val="center"/>
          </w:tcPr>
          <w:p w14:paraId="58DCE2D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Reuse and access constraints</w:t>
            </w:r>
          </w:p>
        </w:tc>
        <w:tc>
          <w:tcPr>
            <w:tcW w:w="3096" w:type="dxa"/>
            <w:vAlign w:val="center"/>
          </w:tcPr>
          <w:p w14:paraId="2CF78A9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Public information may have licensing or format restrictions.</w:t>
            </w:r>
          </w:p>
        </w:tc>
        <w:tc>
          <w:tcPr>
            <w:tcW w:w="4320" w:type="dxa"/>
            <w:vAlign w:val="center"/>
          </w:tcPr>
          <w:p w14:paraId="2F8C314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5"/>
              </w:rPr>
              <w:t>Check terms, cite the publisher a</w:t>
            </w:r>
            <w:r w:rsidRPr="00495FF8">
              <w:rPr>
                <w:rFonts w:ascii="Times New Roman" w:hAnsi="Times New Roman" w:cs="Times New Roman"/>
                <w:sz w:val="15"/>
              </w:rPr>
              <w:t>nd record access dates.</w:t>
            </w:r>
          </w:p>
        </w:tc>
      </w:tr>
    </w:tbl>
    <w:p w14:paraId="274BD76C" w14:textId="77777777" w:rsidR="00EB6344" w:rsidRPr="00495FF8" w:rsidRDefault="00EB6344">
      <w:pPr>
        <w:rPr>
          <w:rFonts w:ascii="Times New Roman" w:hAnsi="Times New Roman" w:cs="Times New Roman"/>
        </w:rPr>
      </w:pPr>
    </w:p>
    <w:p w14:paraId="23941850"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12. Ethical Considerations</w:t>
      </w:r>
    </w:p>
    <w:p w14:paraId="037572E2" w14:textId="77777777" w:rsidR="00EB6344" w:rsidRPr="00495FF8" w:rsidRDefault="00F04F3F">
      <w:pPr>
        <w:rPr>
          <w:rFonts w:ascii="Times New Roman" w:hAnsi="Times New Roman" w:cs="Times New Roman"/>
        </w:rPr>
      </w:pPr>
      <w:r w:rsidRPr="00495FF8">
        <w:rPr>
          <w:rFonts w:ascii="Times New Roman" w:hAnsi="Times New Roman" w:cs="Times New Roman"/>
        </w:rPr>
        <w:t xml:space="preserve">The proposed method uses public secondary data and does not require collecting personal identifiers or contacting individuals. Data will be used for the stated research purpose, with attribution to </w:t>
      </w:r>
      <w:r w:rsidRPr="00495FF8">
        <w:rPr>
          <w:rFonts w:ascii="Times New Roman" w:hAnsi="Times New Roman" w:cs="Times New Roman"/>
        </w:rPr>
        <w:t xml:space="preserve">original publishers and respect for </w:t>
      </w:r>
      <w:r w:rsidRPr="00495FF8">
        <w:rPr>
          <w:rFonts w:ascii="Times New Roman" w:hAnsi="Times New Roman" w:cs="Times New Roman"/>
        </w:rPr>
        <w:lastRenderedPageBreak/>
        <w:t>reuse terms. If a dataset contains small subgroup counts or potentially identifying details, these will not be republished in a way that could expose individuals.</w:t>
      </w:r>
    </w:p>
    <w:p w14:paraId="4BC4F5F5" w14:textId="77777777" w:rsidR="00EB6344" w:rsidRPr="00495FF8" w:rsidRDefault="00F04F3F">
      <w:pPr>
        <w:rPr>
          <w:rFonts w:ascii="Times New Roman" w:hAnsi="Times New Roman" w:cs="Times New Roman"/>
        </w:rPr>
      </w:pPr>
      <w:r w:rsidRPr="00495FF8">
        <w:rPr>
          <w:rFonts w:ascii="Times New Roman" w:hAnsi="Times New Roman" w:cs="Times New Roman"/>
        </w:rPr>
        <w:t>The report will distinguish observed data from estimates,</w:t>
      </w:r>
      <w:r w:rsidRPr="00495FF8">
        <w:rPr>
          <w:rFonts w:ascii="Times New Roman" w:hAnsi="Times New Roman" w:cs="Times New Roman"/>
        </w:rPr>
        <w:t xml:space="preserve"> projections and policy claims. Uncertainty, missing coverage and methodological limitations will be stated clearly. Regional or worker-group differences will be discussed with attention to structural factors such as training access, infrastructure and inv</w:t>
      </w:r>
      <w:r w:rsidRPr="00495FF8">
        <w:rPr>
          <w:rFonts w:ascii="Times New Roman" w:hAnsi="Times New Roman" w:cs="Times New Roman"/>
        </w:rPr>
        <w:t>estment, rather than attributing outcomes to a group without evidence.</w:t>
      </w:r>
    </w:p>
    <w:p w14:paraId="5E1C9823"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13. Proposed Deliverables</w:t>
      </w:r>
    </w:p>
    <w:p w14:paraId="0A055248"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A source register with URLs, dates, definitions and inclusion decisions.</w:t>
      </w:r>
    </w:p>
    <w:p w14:paraId="09324649"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A data dictionary listing each variable, definition, unit and source field.</w:t>
      </w:r>
    </w:p>
    <w:p w14:paraId="68BF25D9"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A raw-data</w:t>
      </w:r>
      <w:r w:rsidRPr="00495FF8">
        <w:rPr>
          <w:rFonts w:ascii="Times New Roman" w:hAnsi="Times New Roman" w:cs="Times New Roman"/>
        </w:rPr>
        <w:t xml:space="preserve"> folder containing unmodified files and a separate folder for cleaned copies.</w:t>
      </w:r>
    </w:p>
    <w:p w14:paraId="081BF30A"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A quality-assurance log recording checks, errors, corrections and unresolved limitations.</w:t>
      </w:r>
    </w:p>
    <w:p w14:paraId="33478E1E" w14:textId="77777777" w:rsidR="00EB6344" w:rsidRPr="00495FF8" w:rsidRDefault="00F04F3F">
      <w:pPr>
        <w:pStyle w:val="ListBullet"/>
        <w:rPr>
          <w:rFonts w:ascii="Times New Roman" w:hAnsi="Times New Roman" w:cs="Times New Roman"/>
        </w:rPr>
      </w:pPr>
      <w:r w:rsidRPr="00495FF8">
        <w:rPr>
          <w:rFonts w:ascii="Times New Roman" w:hAnsi="Times New Roman" w:cs="Times New Roman"/>
        </w:rPr>
        <w:t>A collection note describing the sources, years, geographic levels, observations include</w:t>
      </w:r>
      <w:r w:rsidRPr="00495FF8">
        <w:rPr>
          <w:rFonts w:ascii="Times New Roman" w:hAnsi="Times New Roman" w:cs="Times New Roman"/>
        </w:rPr>
        <w:t>d and exclusions.</w:t>
      </w:r>
    </w:p>
    <w:p w14:paraId="5B23D350" w14:textId="77777777" w:rsidR="00EB6344" w:rsidRPr="00495FF8" w:rsidRDefault="00F04F3F">
      <w:pPr>
        <w:rPr>
          <w:rFonts w:ascii="Times New Roman" w:hAnsi="Times New Roman" w:cs="Times New Roman"/>
        </w:rPr>
      </w:pPr>
      <w:r w:rsidRPr="00495FF8">
        <w:rPr>
          <w:rFonts w:ascii="Times New Roman" w:hAnsi="Times New Roman" w:cs="Times New Roman"/>
        </w:rPr>
        <w:t>These deliverables make the process auditable and allow another analyst to understand how the data were obtained. If a source does not publish the required breakdown, the gap will be recorded rather than filled with an unsupported estimat</w:t>
      </w:r>
      <w:r w:rsidRPr="00495FF8">
        <w:rPr>
          <w:rFonts w:ascii="Times New Roman" w:hAnsi="Times New Roman" w:cs="Times New Roman"/>
        </w:rPr>
        <w:t>e.</w:t>
      </w:r>
    </w:p>
    <w:p w14:paraId="086E89AB"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14. Conclusion</w:t>
      </w:r>
    </w:p>
    <w:p w14:paraId="13A4244A" w14:textId="77777777" w:rsidR="00EB6344" w:rsidRPr="00495FF8" w:rsidRDefault="00F04F3F">
      <w:pPr>
        <w:rPr>
          <w:rFonts w:ascii="Times New Roman" w:hAnsi="Times New Roman" w:cs="Times New Roman"/>
        </w:rPr>
      </w:pPr>
      <w:r w:rsidRPr="00495FF8">
        <w:rPr>
          <w:rFonts w:ascii="Times New Roman" w:hAnsi="Times New Roman" w:cs="Times New Roman"/>
        </w:rPr>
        <w:t>A reliable study of green jobs and sustainability depends not only on finding relevant numbers but also on understanding how those numbers were defined, collected and published. This strategy prioritises traceable sources, clear working d</w:t>
      </w:r>
      <w:r w:rsidRPr="00495FF8">
        <w:rPr>
          <w:rFonts w:ascii="Times New Roman" w:hAnsi="Times New Roman" w:cs="Times New Roman"/>
        </w:rPr>
        <w:t>efinitions, documented collection procedures, suitable sampling, repeatable quality checks and careful interpretation. It separates employment outcomes from environmental activity indicators so that renewable-energy capacity or sustainability scores are no</w:t>
      </w:r>
      <w:r w:rsidRPr="00495FF8">
        <w:rPr>
          <w:rFonts w:ascii="Times New Roman" w:hAnsi="Times New Roman" w:cs="Times New Roman"/>
        </w:rPr>
        <w:t>t misrepresented as direct evidence of job creation.</w:t>
      </w:r>
    </w:p>
    <w:p w14:paraId="1B10E315" w14:textId="77777777" w:rsidR="00EB6344" w:rsidRPr="00495FF8" w:rsidRDefault="00F04F3F">
      <w:pPr>
        <w:rPr>
          <w:rFonts w:ascii="Times New Roman" w:hAnsi="Times New Roman" w:cs="Times New Roman"/>
        </w:rPr>
      </w:pPr>
      <w:r w:rsidRPr="00495FF8">
        <w:rPr>
          <w:rFonts w:ascii="Times New Roman" w:hAnsi="Times New Roman" w:cs="Times New Roman"/>
        </w:rPr>
        <w:t>The approach is practical for a junior data analyst because it can begin with a manageable set of sources and expand when data quality and comparability are adequate. Its main limitation is dependence on</w:t>
      </w:r>
      <w:r w:rsidRPr="00495FF8">
        <w:rPr>
          <w:rFonts w:ascii="Times New Roman" w:hAnsi="Times New Roman" w:cs="Times New Roman"/>
        </w:rPr>
        <w:t xml:space="preserve"> what public sources disclose: some green jobs may not be separately classified, while wage, skill, informality and local-area data may be incomplete. Reporting these gaps transparently is part of sound analysis. The resulting dataset should support carefu</w:t>
      </w:r>
      <w:r w:rsidRPr="00495FF8">
        <w:rPr>
          <w:rFonts w:ascii="Times New Roman" w:hAnsi="Times New Roman" w:cs="Times New Roman"/>
        </w:rPr>
        <w:t>l descriptive analysis and further research, not be treated as proof of causation on its own.</w:t>
      </w:r>
    </w:p>
    <w:p w14:paraId="71E458F2" w14:textId="77777777" w:rsidR="00EB6344" w:rsidRPr="00495FF8" w:rsidRDefault="00F04F3F">
      <w:pPr>
        <w:pStyle w:val="Heading1"/>
        <w:rPr>
          <w:rFonts w:ascii="Times New Roman" w:hAnsi="Times New Roman" w:cs="Times New Roman"/>
        </w:rPr>
      </w:pPr>
      <w:r w:rsidRPr="00495FF8">
        <w:rPr>
          <w:rFonts w:ascii="Times New Roman" w:hAnsi="Times New Roman" w:cs="Times New Roman"/>
        </w:rPr>
        <w:t>References</w:t>
      </w:r>
    </w:p>
    <w:p w14:paraId="4E51FEF7" w14:textId="77777777" w:rsidR="00CC083B" w:rsidRPr="00CC083B" w:rsidRDefault="00F04F3F" w:rsidP="00CC083B">
      <w:pPr>
        <w:pStyle w:val="ListNumber"/>
        <w:numPr>
          <w:ilvl w:val="0"/>
          <w:numId w:val="10"/>
        </w:numPr>
        <w:spacing w:after="100"/>
        <w:rPr>
          <w:rFonts w:ascii="Times New Roman" w:hAnsi="Times New Roman" w:cs="Times New Roman"/>
        </w:rPr>
      </w:pPr>
      <w:r w:rsidRPr="00495FF8">
        <w:rPr>
          <w:rFonts w:ascii="Times New Roman" w:hAnsi="Times New Roman" w:cs="Times New Roman"/>
        </w:rPr>
        <w:t xml:space="preserve">International Labour Organization (ILO). (2024). Green jobs and just transition policy readiness assessment in India. ILO. </w:t>
      </w:r>
      <w:hyperlink r:id="rId8" w:history="1">
        <w:r w:rsidR="00092E71">
          <w:rPr>
            <w:rStyle w:val="Hyperlink"/>
          </w:rPr>
          <w:t>https://www.ilo.org/resource/brief/green-jobs-and-just-transition-policy-readiness-assessment-india-0</w:t>
        </w:r>
      </w:hyperlink>
    </w:p>
    <w:p w14:paraId="29E0FCB5" w14:textId="6505DBE6" w:rsidR="00CC083B" w:rsidRPr="00CC083B" w:rsidRDefault="00F04F3F" w:rsidP="00CC083B">
      <w:pPr>
        <w:pStyle w:val="ListNumber"/>
        <w:numPr>
          <w:ilvl w:val="0"/>
          <w:numId w:val="10"/>
        </w:numPr>
        <w:spacing w:after="100"/>
        <w:rPr>
          <w:rFonts w:ascii="Times New Roman" w:hAnsi="Times New Roman" w:cs="Times New Roman"/>
        </w:rPr>
      </w:pPr>
      <w:r w:rsidRPr="00CC083B">
        <w:rPr>
          <w:rFonts w:ascii="Times New Roman" w:hAnsi="Times New Roman" w:cs="Times New Roman"/>
        </w:rPr>
        <w:t>International Labour Organization (ILO). Green Employment Diagnostics for a Just Transition. ILO</w:t>
      </w:r>
      <w:r>
        <w:rPr>
          <w:rFonts w:ascii="Times New Roman" w:hAnsi="Times New Roman" w:cs="Times New Roman"/>
        </w:rPr>
        <w:t>.(2025)</w:t>
      </w:r>
      <w:r w:rsidRPr="00CC083B">
        <w:rPr>
          <w:rFonts w:ascii="Times New Roman" w:hAnsi="Times New Roman" w:cs="Times New Roman"/>
        </w:rPr>
        <w:t xml:space="preserve">. </w:t>
      </w:r>
      <w:hyperlink r:id="rId9" w:history="1">
        <w:r w:rsidR="00CC083B">
          <w:rPr>
            <w:rStyle w:val="Hyperlink"/>
          </w:rPr>
          <w:t>https://www.ilo.org/publications/green-employment-diagnostics-just-transition</w:t>
        </w:r>
      </w:hyperlink>
    </w:p>
    <w:p w14:paraId="2910E5DD" w14:textId="566633E0" w:rsidR="00092E71" w:rsidRPr="00CC083B" w:rsidRDefault="00F04F3F" w:rsidP="00DE5FE1">
      <w:pPr>
        <w:pStyle w:val="ListNumber"/>
        <w:numPr>
          <w:ilvl w:val="0"/>
          <w:numId w:val="10"/>
        </w:numPr>
        <w:spacing w:after="100"/>
        <w:rPr>
          <w:rFonts w:ascii="Times New Roman" w:hAnsi="Times New Roman" w:cs="Times New Roman"/>
        </w:rPr>
      </w:pPr>
      <w:r w:rsidRPr="00CC083B">
        <w:rPr>
          <w:rFonts w:ascii="Times New Roman" w:hAnsi="Times New Roman" w:cs="Times New Roman"/>
        </w:rPr>
        <w:t>Ministry of Statistics and Programme Implementation (MoSPI), Government of India. Periodic Labour Force Survey (PLFS) reports and la</w:t>
      </w:r>
      <w:r w:rsidRPr="00CC083B">
        <w:rPr>
          <w:rFonts w:ascii="Times New Roman" w:hAnsi="Times New Roman" w:cs="Times New Roman"/>
        </w:rPr>
        <w:t xml:space="preserve">bour statistics. </w:t>
      </w:r>
      <w:hyperlink r:id="rId10" w:history="1">
        <w:r w:rsidR="00510354">
          <w:rPr>
            <w:rStyle w:val="Hyperlink"/>
          </w:rPr>
          <w:t>https://www.mospi.gov.in/themes/product/69-periodic-labour-force-survey-plfs</w:t>
        </w:r>
      </w:hyperlink>
    </w:p>
    <w:p w14:paraId="2F99001D" w14:textId="77777777" w:rsidR="00510354" w:rsidRPr="00510354" w:rsidRDefault="00F04F3F" w:rsidP="00B60FAB">
      <w:pPr>
        <w:pStyle w:val="ListNumber"/>
        <w:numPr>
          <w:ilvl w:val="0"/>
          <w:numId w:val="10"/>
        </w:numPr>
        <w:spacing w:after="100"/>
        <w:rPr>
          <w:rFonts w:ascii="Times New Roman" w:hAnsi="Times New Roman" w:cs="Times New Roman"/>
        </w:rPr>
      </w:pPr>
      <w:r w:rsidRPr="00510354">
        <w:rPr>
          <w:rFonts w:ascii="Times New Roman" w:hAnsi="Times New Roman" w:cs="Times New Roman"/>
        </w:rPr>
        <w:t xml:space="preserve">Ministry of New and Renewable Energy (MNRE), Government of India. Renewable energy statistics and reports. </w:t>
      </w:r>
      <w:hyperlink r:id="rId11" w:history="1">
        <w:r w:rsidR="00510354">
          <w:rPr>
            <w:rStyle w:val="Hyperlink"/>
          </w:rPr>
          <w:t>https://mnre.gov.in/en/renewable-energy-statistics/</w:t>
        </w:r>
      </w:hyperlink>
    </w:p>
    <w:p w14:paraId="009EDA27" w14:textId="77777777" w:rsidR="00510354" w:rsidRPr="00510354" w:rsidRDefault="00F04F3F" w:rsidP="00CD2C24">
      <w:pPr>
        <w:pStyle w:val="ListNumber"/>
        <w:numPr>
          <w:ilvl w:val="0"/>
          <w:numId w:val="10"/>
        </w:numPr>
        <w:spacing w:after="100"/>
        <w:rPr>
          <w:rFonts w:ascii="Times New Roman" w:hAnsi="Times New Roman" w:cs="Times New Roman"/>
        </w:rPr>
      </w:pPr>
      <w:r w:rsidRPr="00510354">
        <w:rPr>
          <w:rFonts w:ascii="Times New Roman" w:hAnsi="Times New Roman" w:cs="Times New Roman"/>
        </w:rPr>
        <w:t>International Renewable Energy Agency (IRENA) and International Labour Organi</w:t>
      </w:r>
      <w:r w:rsidRPr="00510354">
        <w:rPr>
          <w:rFonts w:ascii="Times New Roman" w:hAnsi="Times New Roman" w:cs="Times New Roman"/>
        </w:rPr>
        <w:t xml:space="preserve">zation (ILO). Renewable energy and jobs: Annual review 2025. IRENA. </w:t>
      </w:r>
      <w:hyperlink r:id="rId12" w:history="1">
        <w:r w:rsidR="00510354">
          <w:rPr>
            <w:rStyle w:val="Hyperlink"/>
          </w:rPr>
          <w:t>https://www.irena.org/Publications/2026/Jan/Renewable-energy-and-jobs-Annual-review-2025</w:t>
        </w:r>
      </w:hyperlink>
      <w:bookmarkStart w:id="0" w:name="_GoBack"/>
      <w:bookmarkEnd w:id="0"/>
    </w:p>
    <w:p w14:paraId="3CAAB599" w14:textId="184FEF26" w:rsidR="00092E71" w:rsidRPr="00510354" w:rsidRDefault="00F04F3F" w:rsidP="00CD2C24">
      <w:pPr>
        <w:pStyle w:val="ListNumber"/>
        <w:numPr>
          <w:ilvl w:val="0"/>
          <w:numId w:val="10"/>
        </w:numPr>
        <w:spacing w:after="100"/>
        <w:rPr>
          <w:rFonts w:ascii="Times New Roman" w:hAnsi="Times New Roman" w:cs="Times New Roman"/>
        </w:rPr>
      </w:pPr>
      <w:r w:rsidRPr="00510354">
        <w:rPr>
          <w:rFonts w:ascii="Times New Roman" w:hAnsi="Times New Roman" w:cs="Times New Roman"/>
        </w:rPr>
        <w:t>Government of India. Open Government Data Platform India.</w:t>
      </w:r>
      <w:r w:rsidR="00510354" w:rsidRPr="00510354">
        <w:t xml:space="preserve"> </w:t>
      </w:r>
      <w:hyperlink r:id="rId13" w:history="1">
        <w:r w:rsidR="00510354">
          <w:rPr>
            <w:rStyle w:val="Hyperlink"/>
          </w:rPr>
          <w:t>https://www.data.gov.in/catalogs/</w:t>
        </w:r>
      </w:hyperlink>
    </w:p>
    <w:p w14:paraId="7622770F" w14:textId="36E57110" w:rsidR="00092E71" w:rsidRPr="004139D4" w:rsidRDefault="004139D4" w:rsidP="004139D4">
      <w:pPr>
        <w:pStyle w:val="NormalWeb"/>
        <w:numPr>
          <w:ilvl w:val="0"/>
          <w:numId w:val="10"/>
        </w:numPr>
        <w:rPr>
          <w:sz w:val="21"/>
          <w:szCs w:val="21"/>
        </w:rPr>
      </w:pPr>
      <w:r w:rsidRPr="004139D4">
        <w:rPr>
          <w:sz w:val="21"/>
          <w:szCs w:val="21"/>
        </w:rPr>
        <w:lastRenderedPageBreak/>
        <w:t xml:space="preserve">Central Pollution Control Board (CPCB), Government of India. </w:t>
      </w:r>
      <w:r w:rsidRPr="004139D4">
        <w:rPr>
          <w:rStyle w:val="Emphasis"/>
          <w:sz w:val="21"/>
          <w:szCs w:val="21"/>
        </w:rPr>
        <w:t>Technical Reports and Environmental Publications</w:t>
      </w:r>
      <w:r w:rsidRPr="004139D4">
        <w:rPr>
          <w:sz w:val="21"/>
          <w:szCs w:val="21"/>
        </w:rPr>
        <w:t xml:space="preserve">. </w:t>
      </w:r>
      <w:hyperlink r:id="rId14" w:history="1">
        <w:r w:rsidRPr="004139D4">
          <w:rPr>
            <w:rStyle w:val="Hyperlink"/>
            <w:sz w:val="21"/>
            <w:szCs w:val="21"/>
          </w:rPr>
          <w:t>https://www.cpcb.gov.in/archivereport.php</w:t>
        </w:r>
      </w:hyperlink>
    </w:p>
    <w:p w14:paraId="18AE884A" w14:textId="748B4B2D" w:rsidR="00EB6344" w:rsidRPr="00510354" w:rsidRDefault="00F04F3F" w:rsidP="00092E71">
      <w:pPr>
        <w:pStyle w:val="ListNumber"/>
        <w:numPr>
          <w:ilvl w:val="0"/>
          <w:numId w:val="10"/>
        </w:numPr>
        <w:spacing w:after="100"/>
        <w:rPr>
          <w:rFonts w:ascii="Times New Roman" w:hAnsi="Times New Roman" w:cs="Times New Roman"/>
        </w:rPr>
      </w:pPr>
      <w:r w:rsidRPr="00092E71">
        <w:rPr>
          <w:rFonts w:ascii="Times New Roman" w:hAnsi="Times New Roman" w:cs="Times New Roman"/>
        </w:rPr>
        <w:t xml:space="preserve">NITI Aayog, Government of India. SDG India Index and related publications. </w:t>
      </w:r>
      <w:hyperlink r:id="rId15" w:history="1">
        <w:r w:rsidR="00510354">
          <w:rPr>
            <w:rStyle w:val="Hyperlink"/>
          </w:rPr>
          <w:t>https://www.niti.gov.in/reports-sdg</w:t>
        </w:r>
      </w:hyperlink>
    </w:p>
    <w:p w14:paraId="109D5CEC" w14:textId="24600CEA" w:rsidR="00510354" w:rsidRPr="00092E71" w:rsidRDefault="00510354" w:rsidP="004139D4">
      <w:pPr>
        <w:pStyle w:val="ListNumber"/>
        <w:numPr>
          <w:ilvl w:val="0"/>
          <w:numId w:val="0"/>
        </w:numPr>
        <w:spacing w:after="100"/>
        <w:rPr>
          <w:rFonts w:ascii="Times New Roman" w:hAnsi="Times New Roman" w:cs="Times New Roman"/>
        </w:rPr>
      </w:pPr>
    </w:p>
    <w:p w14:paraId="7AAF3FC4" w14:textId="0B80F6D3" w:rsidR="00EB6344" w:rsidRDefault="00F04F3F">
      <w:pPr>
        <w:pStyle w:val="Heading1"/>
        <w:rPr>
          <w:rFonts w:ascii="Times New Roman" w:hAnsi="Times New Roman" w:cs="Times New Roman"/>
        </w:rPr>
      </w:pPr>
      <w:r w:rsidRPr="00495FF8">
        <w:rPr>
          <w:rFonts w:ascii="Times New Roman" w:hAnsi="Times New Roman" w:cs="Times New Roman"/>
        </w:rPr>
        <w:t>Appendix A. Suggested Data Dictionary Template</w:t>
      </w:r>
    </w:p>
    <w:p w14:paraId="6D89BEF6" w14:textId="77777777" w:rsidR="00510354" w:rsidRPr="00510354" w:rsidRDefault="00510354" w:rsidP="00510354"/>
    <w:tbl>
      <w:tblPr>
        <w:tblStyle w:val="TableGrid"/>
        <w:tblW w:w="0" w:type="auto"/>
        <w:jc w:val="center"/>
        <w:tblLook w:val="04A0" w:firstRow="1" w:lastRow="0" w:firstColumn="1" w:lastColumn="0" w:noHBand="0" w:noVBand="1"/>
      </w:tblPr>
      <w:tblGrid>
        <w:gridCol w:w="2088"/>
        <w:gridCol w:w="3528"/>
        <w:gridCol w:w="4032"/>
      </w:tblGrid>
      <w:tr w:rsidR="00EB6344" w:rsidRPr="00495FF8" w14:paraId="70DC70BF" w14:textId="77777777">
        <w:trPr>
          <w:jc w:val="center"/>
        </w:trPr>
        <w:tc>
          <w:tcPr>
            <w:tcW w:w="2088" w:type="dxa"/>
            <w:shd w:val="clear" w:color="auto" w:fill="12355B"/>
          </w:tcPr>
          <w:p w14:paraId="302E4DF2"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Field name</w:t>
            </w:r>
          </w:p>
        </w:tc>
        <w:tc>
          <w:tcPr>
            <w:tcW w:w="3528" w:type="dxa"/>
            <w:shd w:val="clear" w:color="auto" w:fill="12355B"/>
          </w:tcPr>
          <w:p w14:paraId="7B710D9C"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Description</w:t>
            </w:r>
          </w:p>
        </w:tc>
        <w:tc>
          <w:tcPr>
            <w:tcW w:w="4032" w:type="dxa"/>
            <w:shd w:val="clear" w:color="auto" w:fill="12355B"/>
          </w:tcPr>
          <w:p w14:paraId="3B240B90" w14:textId="77777777" w:rsidR="00EB6344" w:rsidRPr="00495FF8" w:rsidRDefault="00F04F3F">
            <w:pPr>
              <w:rPr>
                <w:rFonts w:ascii="Times New Roman" w:hAnsi="Times New Roman" w:cs="Times New Roman"/>
              </w:rPr>
            </w:pPr>
            <w:r w:rsidRPr="00495FF8">
              <w:rPr>
                <w:rFonts w:ascii="Times New Roman" w:hAnsi="Times New Roman" w:cs="Times New Roman"/>
                <w:b/>
                <w:color w:val="FFFFFF"/>
                <w:sz w:val="16"/>
              </w:rPr>
              <w:t>Example / rule</w:t>
            </w:r>
          </w:p>
        </w:tc>
      </w:tr>
      <w:tr w:rsidR="00EB6344" w:rsidRPr="00495FF8" w14:paraId="6F495207" w14:textId="77777777">
        <w:trPr>
          <w:jc w:val="center"/>
        </w:trPr>
        <w:tc>
          <w:tcPr>
            <w:tcW w:w="2088" w:type="dxa"/>
            <w:vAlign w:val="center"/>
          </w:tcPr>
          <w:p w14:paraId="53DE3CA2"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record_id</w:t>
            </w:r>
          </w:p>
        </w:tc>
        <w:tc>
          <w:tcPr>
            <w:tcW w:w="3528" w:type="dxa"/>
            <w:vAlign w:val="center"/>
          </w:tcPr>
          <w:p w14:paraId="0FC8E66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Unique row identifier in the working dataset</w:t>
            </w:r>
          </w:p>
        </w:tc>
        <w:tc>
          <w:tcPr>
            <w:tcW w:w="4032" w:type="dxa"/>
            <w:vAlign w:val="center"/>
          </w:tcPr>
          <w:p w14:paraId="293B9ED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Use a stable key; do not treat it as an analytical variable.</w:t>
            </w:r>
          </w:p>
        </w:tc>
      </w:tr>
      <w:tr w:rsidR="00EB6344" w:rsidRPr="00495FF8" w14:paraId="17EAC86E" w14:textId="77777777">
        <w:trPr>
          <w:jc w:val="center"/>
        </w:trPr>
        <w:tc>
          <w:tcPr>
            <w:tcW w:w="2088" w:type="dxa"/>
            <w:shd w:val="clear" w:color="auto" w:fill="F0F5F9"/>
            <w:vAlign w:val="center"/>
          </w:tcPr>
          <w:p w14:paraId="6ADCD20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indicator_name</w:t>
            </w:r>
          </w:p>
        </w:tc>
        <w:tc>
          <w:tcPr>
            <w:tcW w:w="3528" w:type="dxa"/>
            <w:shd w:val="clear" w:color="auto" w:fill="F0F5F9"/>
            <w:vAlign w:val="center"/>
          </w:tcPr>
          <w:p w14:paraId="34721735"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Name of the measure</w:t>
            </w:r>
          </w:p>
        </w:tc>
        <w:tc>
          <w:tcPr>
            <w:tcW w:w="4032" w:type="dxa"/>
            <w:shd w:val="clear" w:color="auto" w:fill="F0F5F9"/>
            <w:vAlign w:val="center"/>
          </w:tcPr>
          <w:p w14:paraId="17F11CC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Employment; renewable capacity; electricity generation.</w:t>
            </w:r>
          </w:p>
        </w:tc>
      </w:tr>
      <w:tr w:rsidR="00EB6344" w:rsidRPr="00495FF8" w14:paraId="0A5D70D4" w14:textId="77777777">
        <w:trPr>
          <w:jc w:val="center"/>
        </w:trPr>
        <w:tc>
          <w:tcPr>
            <w:tcW w:w="2088" w:type="dxa"/>
            <w:vAlign w:val="center"/>
          </w:tcPr>
          <w:p w14:paraId="2517E34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value</w:t>
            </w:r>
          </w:p>
        </w:tc>
        <w:tc>
          <w:tcPr>
            <w:tcW w:w="3528" w:type="dxa"/>
            <w:vAlign w:val="center"/>
          </w:tcPr>
          <w:p w14:paraId="2076E0E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Reported numeric value</w:t>
            </w:r>
          </w:p>
        </w:tc>
        <w:tc>
          <w:tcPr>
            <w:tcW w:w="4032" w:type="dxa"/>
            <w:vAlign w:val="center"/>
          </w:tcPr>
          <w:p w14:paraId="0B9FBE8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 xml:space="preserve">Keep numeric value separate </w:t>
            </w:r>
            <w:r w:rsidRPr="00495FF8">
              <w:rPr>
                <w:rFonts w:ascii="Times New Roman" w:hAnsi="Times New Roman" w:cs="Times New Roman"/>
                <w:sz w:val="16"/>
              </w:rPr>
              <w:t>from unit.</w:t>
            </w:r>
          </w:p>
        </w:tc>
      </w:tr>
      <w:tr w:rsidR="00EB6344" w:rsidRPr="00495FF8" w14:paraId="3C0D2372" w14:textId="77777777">
        <w:trPr>
          <w:jc w:val="center"/>
        </w:trPr>
        <w:tc>
          <w:tcPr>
            <w:tcW w:w="2088" w:type="dxa"/>
            <w:shd w:val="clear" w:color="auto" w:fill="F0F5F9"/>
            <w:vAlign w:val="center"/>
          </w:tcPr>
          <w:p w14:paraId="3DBE2D7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unit</w:t>
            </w:r>
          </w:p>
        </w:tc>
        <w:tc>
          <w:tcPr>
            <w:tcW w:w="3528" w:type="dxa"/>
            <w:shd w:val="clear" w:color="auto" w:fill="F0F5F9"/>
            <w:vAlign w:val="center"/>
          </w:tcPr>
          <w:p w14:paraId="43E1F2E9"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Measurement unit</w:t>
            </w:r>
          </w:p>
        </w:tc>
        <w:tc>
          <w:tcPr>
            <w:tcW w:w="4032" w:type="dxa"/>
            <w:shd w:val="clear" w:color="auto" w:fill="F0F5F9"/>
            <w:vAlign w:val="center"/>
          </w:tcPr>
          <w:p w14:paraId="4E30AA96"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Persons, %, MW, GW, GWh or TWh.</w:t>
            </w:r>
          </w:p>
        </w:tc>
      </w:tr>
      <w:tr w:rsidR="00EB6344" w:rsidRPr="00495FF8" w14:paraId="6012F6AA" w14:textId="77777777">
        <w:trPr>
          <w:jc w:val="center"/>
        </w:trPr>
        <w:tc>
          <w:tcPr>
            <w:tcW w:w="2088" w:type="dxa"/>
            <w:vAlign w:val="center"/>
          </w:tcPr>
          <w:p w14:paraId="5F1595E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geography</w:t>
            </w:r>
          </w:p>
        </w:tc>
        <w:tc>
          <w:tcPr>
            <w:tcW w:w="3528" w:type="dxa"/>
            <w:vAlign w:val="center"/>
          </w:tcPr>
          <w:p w14:paraId="5A25397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Country, state or published geographic level</w:t>
            </w:r>
          </w:p>
        </w:tc>
        <w:tc>
          <w:tcPr>
            <w:tcW w:w="4032" w:type="dxa"/>
            <w:vAlign w:val="center"/>
          </w:tcPr>
          <w:p w14:paraId="611AE6BE"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Use the source’s official label.</w:t>
            </w:r>
          </w:p>
        </w:tc>
      </w:tr>
      <w:tr w:rsidR="00EB6344" w:rsidRPr="00495FF8" w14:paraId="732B9E80" w14:textId="77777777">
        <w:trPr>
          <w:jc w:val="center"/>
        </w:trPr>
        <w:tc>
          <w:tcPr>
            <w:tcW w:w="2088" w:type="dxa"/>
            <w:shd w:val="clear" w:color="auto" w:fill="F0F5F9"/>
            <w:vAlign w:val="center"/>
          </w:tcPr>
          <w:p w14:paraId="528DCA53"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reference_period</w:t>
            </w:r>
          </w:p>
        </w:tc>
        <w:tc>
          <w:tcPr>
            <w:tcW w:w="3528" w:type="dxa"/>
            <w:shd w:val="clear" w:color="auto" w:fill="F0F5F9"/>
            <w:vAlign w:val="center"/>
          </w:tcPr>
          <w:p w14:paraId="2497A19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Period the value represents</w:t>
            </w:r>
          </w:p>
        </w:tc>
        <w:tc>
          <w:tcPr>
            <w:tcW w:w="4032" w:type="dxa"/>
            <w:shd w:val="clear" w:color="auto" w:fill="F0F5F9"/>
            <w:vAlign w:val="center"/>
          </w:tcPr>
          <w:p w14:paraId="681E72E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Calendar year, financial year or survey round.</w:t>
            </w:r>
          </w:p>
        </w:tc>
      </w:tr>
      <w:tr w:rsidR="00EB6344" w:rsidRPr="00495FF8" w14:paraId="575C2857" w14:textId="77777777">
        <w:trPr>
          <w:jc w:val="center"/>
        </w:trPr>
        <w:tc>
          <w:tcPr>
            <w:tcW w:w="2088" w:type="dxa"/>
            <w:vAlign w:val="center"/>
          </w:tcPr>
          <w:p w14:paraId="6B6C7B60"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sector_or_technology</w:t>
            </w:r>
          </w:p>
        </w:tc>
        <w:tc>
          <w:tcPr>
            <w:tcW w:w="3528" w:type="dxa"/>
            <w:vAlign w:val="center"/>
          </w:tcPr>
          <w:p w14:paraId="3BC5FAD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Published sector or technology category</w:t>
            </w:r>
          </w:p>
        </w:tc>
        <w:tc>
          <w:tcPr>
            <w:tcW w:w="4032" w:type="dxa"/>
            <w:vAlign w:val="center"/>
          </w:tcPr>
          <w:p w14:paraId="3535431B"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Solar, wind, waste management or worker category.</w:t>
            </w:r>
          </w:p>
        </w:tc>
      </w:tr>
      <w:tr w:rsidR="00EB6344" w:rsidRPr="00495FF8" w14:paraId="02849F3A" w14:textId="77777777">
        <w:trPr>
          <w:jc w:val="center"/>
        </w:trPr>
        <w:tc>
          <w:tcPr>
            <w:tcW w:w="2088" w:type="dxa"/>
            <w:shd w:val="clear" w:color="auto" w:fill="F0F5F9"/>
            <w:vAlign w:val="center"/>
          </w:tcPr>
          <w:p w14:paraId="0584810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source_id</w:t>
            </w:r>
          </w:p>
        </w:tc>
        <w:tc>
          <w:tcPr>
            <w:tcW w:w="3528" w:type="dxa"/>
            <w:shd w:val="clear" w:color="auto" w:fill="F0F5F9"/>
            <w:vAlign w:val="center"/>
          </w:tcPr>
          <w:p w14:paraId="4756A0D7"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Link to source-register entry</w:t>
            </w:r>
          </w:p>
        </w:tc>
        <w:tc>
          <w:tcPr>
            <w:tcW w:w="4032" w:type="dxa"/>
            <w:shd w:val="clear" w:color="auto" w:fill="F0F5F9"/>
            <w:vAlign w:val="center"/>
          </w:tcPr>
          <w:p w14:paraId="616533E4"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Unique code such as SRC_01.</w:t>
            </w:r>
          </w:p>
        </w:tc>
      </w:tr>
      <w:tr w:rsidR="00EB6344" w:rsidRPr="00495FF8" w14:paraId="1B0A2DE9" w14:textId="77777777">
        <w:trPr>
          <w:jc w:val="center"/>
        </w:trPr>
        <w:tc>
          <w:tcPr>
            <w:tcW w:w="2088" w:type="dxa"/>
            <w:vAlign w:val="center"/>
          </w:tcPr>
          <w:p w14:paraId="34DD2F0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quality_flag</w:t>
            </w:r>
          </w:p>
        </w:tc>
        <w:tc>
          <w:tcPr>
            <w:tcW w:w="3528" w:type="dxa"/>
            <w:vAlign w:val="center"/>
          </w:tcPr>
          <w:p w14:paraId="24626A9A"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Note about missingness, revision or comparability</w:t>
            </w:r>
          </w:p>
        </w:tc>
        <w:tc>
          <w:tcPr>
            <w:tcW w:w="4032" w:type="dxa"/>
            <w:vAlign w:val="center"/>
          </w:tcPr>
          <w:p w14:paraId="6EA069DD" w14:textId="77777777" w:rsidR="00EB6344" w:rsidRPr="00495FF8" w:rsidRDefault="00F04F3F">
            <w:pPr>
              <w:spacing w:before="40" w:after="40"/>
              <w:rPr>
                <w:rFonts w:ascii="Times New Roman" w:hAnsi="Times New Roman" w:cs="Times New Roman"/>
              </w:rPr>
            </w:pPr>
            <w:r w:rsidRPr="00495FF8">
              <w:rPr>
                <w:rFonts w:ascii="Times New Roman" w:hAnsi="Times New Roman" w:cs="Times New Roman"/>
                <w:sz w:val="16"/>
              </w:rPr>
              <w:t>Verified; ne</w:t>
            </w:r>
            <w:r w:rsidRPr="00495FF8">
              <w:rPr>
                <w:rFonts w:ascii="Times New Roman" w:hAnsi="Times New Roman" w:cs="Times New Roman"/>
                <w:sz w:val="16"/>
              </w:rPr>
              <w:t>eds review; not comparable; missing.</w:t>
            </w:r>
          </w:p>
        </w:tc>
      </w:tr>
    </w:tbl>
    <w:p w14:paraId="70900966" w14:textId="77777777" w:rsidR="00EB6344" w:rsidRPr="00495FF8" w:rsidRDefault="00EB6344">
      <w:pPr>
        <w:rPr>
          <w:rFonts w:ascii="Times New Roman" w:hAnsi="Times New Roman" w:cs="Times New Roman"/>
        </w:rPr>
      </w:pPr>
    </w:p>
    <w:p w14:paraId="60C59260" w14:textId="7D5F276C" w:rsidR="00EB6344" w:rsidRDefault="00F04F3F">
      <w:pPr>
        <w:pStyle w:val="Heading1"/>
        <w:rPr>
          <w:rFonts w:ascii="Times New Roman" w:hAnsi="Times New Roman" w:cs="Times New Roman"/>
        </w:rPr>
      </w:pPr>
      <w:r w:rsidRPr="00495FF8">
        <w:rPr>
          <w:rFonts w:ascii="Times New Roman" w:hAnsi="Times New Roman" w:cs="Times New Roman"/>
        </w:rPr>
        <w:t>Appendix B. Minimum Source Register Fields</w:t>
      </w:r>
    </w:p>
    <w:p w14:paraId="46784EAC" w14:textId="77777777" w:rsidR="00510354" w:rsidRPr="00510354" w:rsidRDefault="00510354" w:rsidP="00510354"/>
    <w:p w14:paraId="168D64B0" w14:textId="77777777" w:rsidR="00EB6344" w:rsidRPr="00495FF8" w:rsidRDefault="00F04F3F">
      <w:pPr>
        <w:rPr>
          <w:rFonts w:ascii="Times New Roman" w:hAnsi="Times New Roman" w:cs="Times New Roman"/>
        </w:rPr>
      </w:pPr>
      <w:r w:rsidRPr="00495FF8">
        <w:rPr>
          <w:rFonts w:ascii="Times New Roman" w:hAnsi="Times New Roman" w:cs="Times New Roman"/>
        </w:rPr>
        <w:t xml:space="preserve">For each source, record its ID, title, publisher, original URL, access date, publication or revision date, reference period, geographic coverage, indicator definitions, </w:t>
      </w:r>
      <w:r w:rsidRPr="00495FF8">
        <w:rPr>
          <w:rFonts w:ascii="Times New Roman" w:hAnsi="Times New Roman" w:cs="Times New Roman"/>
        </w:rPr>
        <w:t>units, file type, methodology notes, reuse terms, known quality concerns and inclusion/exclusion decision. Retain this register with the final report so the collection process can be repeated.</w:t>
      </w:r>
    </w:p>
    <w:sectPr w:rsidR="00EB6344" w:rsidRPr="00495FF8" w:rsidSect="00034616">
      <w:headerReference w:type="default" r:id="rId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AD6B2A" w14:textId="77777777" w:rsidR="00000000" w:rsidRDefault="00F04F3F">
      <w:pPr>
        <w:spacing w:after="0" w:line="240" w:lineRule="auto"/>
      </w:pPr>
      <w:r>
        <w:separator/>
      </w:r>
    </w:p>
  </w:endnote>
  <w:endnote w:type="continuationSeparator" w:id="0">
    <w:p w14:paraId="53A6DF42" w14:textId="77777777" w:rsidR="00000000" w:rsidRDefault="00F04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50136" w14:textId="3B1A6396" w:rsidR="00EB6344" w:rsidRDefault="00F04F3F">
    <w:pPr>
      <w:pStyle w:val="Footer"/>
      <w:jc w:val="center"/>
    </w:pPr>
    <w:r>
      <w:fldChar w:fldCharType="begin"/>
    </w:r>
    <w:r>
      <w:instrText>PAGE</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3F5B00" w14:textId="77777777" w:rsidR="00000000" w:rsidRDefault="00F04F3F">
      <w:pPr>
        <w:spacing w:after="0" w:line="240" w:lineRule="auto"/>
      </w:pPr>
      <w:r>
        <w:separator/>
      </w:r>
    </w:p>
  </w:footnote>
  <w:footnote w:type="continuationSeparator" w:id="0">
    <w:p w14:paraId="6CA30231" w14:textId="77777777" w:rsidR="00000000" w:rsidRDefault="00F04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BFD86" w14:textId="6B6D133A" w:rsidR="00EB6344" w:rsidRDefault="00EB634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52E2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45267C"/>
    <w:multiLevelType w:val="multilevel"/>
    <w:tmpl w:val="3F6A41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7C312D"/>
    <w:multiLevelType w:val="hybridMultilevel"/>
    <w:tmpl w:val="AFF26564"/>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4B3"/>
    <w:rsid w:val="00034616"/>
    <w:rsid w:val="0006063C"/>
    <w:rsid w:val="00092E71"/>
    <w:rsid w:val="00146A37"/>
    <w:rsid w:val="0015074B"/>
    <w:rsid w:val="0029639D"/>
    <w:rsid w:val="002B0EB3"/>
    <w:rsid w:val="00326F90"/>
    <w:rsid w:val="004139D4"/>
    <w:rsid w:val="00495FF8"/>
    <w:rsid w:val="00510354"/>
    <w:rsid w:val="00AA1D8D"/>
    <w:rsid w:val="00AB201E"/>
    <w:rsid w:val="00B47730"/>
    <w:rsid w:val="00CB0664"/>
    <w:rsid w:val="00CC083B"/>
    <w:rsid w:val="00DE0432"/>
    <w:rsid w:val="00EB6344"/>
    <w:rsid w:val="00F04F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9BD49B-C398-4082-8334-F6E638F9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Calibri" w:eastAsia="Calibri" w:hAnsi="Calibri"/>
      <w:color w:val="28303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5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72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5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2E71"/>
    <w:rPr>
      <w:color w:val="0000FF" w:themeColor="hyperlink"/>
      <w:u w:val="single"/>
    </w:rPr>
  </w:style>
  <w:style w:type="paragraph" w:styleId="NormalWeb">
    <w:name w:val="Normal (Web)"/>
    <w:basedOn w:val="Normal"/>
    <w:uiPriority w:val="99"/>
    <w:unhideWhenUsed/>
    <w:rsid w:val="00CC083B"/>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706671">
      <w:bodyDiv w:val="1"/>
      <w:marLeft w:val="0"/>
      <w:marRight w:val="0"/>
      <w:marTop w:val="0"/>
      <w:marBottom w:val="0"/>
      <w:divBdr>
        <w:top w:val="none" w:sz="0" w:space="0" w:color="auto"/>
        <w:left w:val="none" w:sz="0" w:space="0" w:color="auto"/>
        <w:bottom w:val="none" w:sz="0" w:space="0" w:color="auto"/>
        <w:right w:val="none" w:sz="0" w:space="0" w:color="auto"/>
      </w:divBdr>
    </w:div>
    <w:div w:id="1944799002">
      <w:bodyDiv w:val="1"/>
      <w:marLeft w:val="0"/>
      <w:marRight w:val="0"/>
      <w:marTop w:val="0"/>
      <w:marBottom w:val="0"/>
      <w:divBdr>
        <w:top w:val="none" w:sz="0" w:space="0" w:color="auto"/>
        <w:left w:val="none" w:sz="0" w:space="0" w:color="auto"/>
        <w:bottom w:val="none" w:sz="0" w:space="0" w:color="auto"/>
        <w:right w:val="none" w:sz="0" w:space="0" w:color="auto"/>
      </w:divBdr>
    </w:div>
    <w:div w:id="1993411378">
      <w:bodyDiv w:val="1"/>
      <w:marLeft w:val="0"/>
      <w:marRight w:val="0"/>
      <w:marTop w:val="0"/>
      <w:marBottom w:val="0"/>
      <w:divBdr>
        <w:top w:val="none" w:sz="0" w:space="0" w:color="auto"/>
        <w:left w:val="none" w:sz="0" w:space="0" w:color="auto"/>
        <w:bottom w:val="none" w:sz="0" w:space="0" w:color="auto"/>
        <w:right w:val="none" w:sz="0" w:space="0" w:color="auto"/>
      </w:divBdr>
    </w:div>
    <w:div w:id="2035181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lo.org/resource/brief/green-jobs-and-just-transition-policy-readiness-assessment-india-0" TargetMode="External"/><Relationship Id="rId13" Type="http://schemas.openxmlformats.org/officeDocument/2006/relationships/hyperlink" Target="https://www.data.gov.in/catalog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rena.org/Publications/2026/Jan/Renewable-energy-and-jobs-Annual-review-2025"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nre.gov.in/en/renewable-energy-statistics/" TargetMode="External"/><Relationship Id="rId5" Type="http://schemas.openxmlformats.org/officeDocument/2006/relationships/webSettings" Target="webSettings.xml"/><Relationship Id="rId15" Type="http://schemas.openxmlformats.org/officeDocument/2006/relationships/hyperlink" Target="https://www.niti.gov.in/reports-sdg" TargetMode="External"/><Relationship Id="rId10" Type="http://schemas.openxmlformats.org/officeDocument/2006/relationships/hyperlink" Target="https://www.mospi.gov.in/themes/product/69-periodic-labour-force-survey-plf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lo.org/publications/green-employment-diagnostics-just-transition" TargetMode="External"/><Relationship Id="rId14" Type="http://schemas.openxmlformats.org/officeDocument/2006/relationships/hyperlink" Target="https://www.cpcb.gov.in/archiverepor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0C9298-0EC9-490D-A20B-10B681B74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9</Pages>
  <Words>4050</Words>
  <Characters>23085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Data Collection Strategy Design: Green Jobs and Sustainability in India</vt:lpstr>
    </vt:vector>
  </TitlesOfParts>
  <Manager/>
  <Company/>
  <LinksUpToDate>false</LinksUpToDate>
  <CharactersWithSpaces>27081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Strategy Design: Green Jobs and Sustainability in India</dc:title>
  <dc:subject>Yuva Intern Week 2 task</dc:subject>
  <dc:creator>Unnimaya</dc:creator>
  <cp:keywords>green jobs, sustainability, data collection, secondary data, India, data quality</cp:keywords>
  <dc:description>generated by python-docx</dc:description>
  <cp:lastModifiedBy>Unnimaya C</cp:lastModifiedBy>
  <cp:revision>8</cp:revision>
  <dcterms:created xsi:type="dcterms:W3CDTF">2013-12-23T23:15:00Z</dcterms:created>
  <dcterms:modified xsi:type="dcterms:W3CDTF">2026-10-14T17:38:00Z</dcterms:modified>
  <cp:category/>
</cp:coreProperties>
</file>