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E5789B" w14:textId="77777777" w:rsidR="00F414E8" w:rsidRPr="00F414E8" w:rsidRDefault="00F414E8">
      <w:pPr>
        <w:jc w:val="center"/>
        <w:rPr>
          <w:rFonts w:ascii="Times New Roman" w:hAnsi="Times New Roman" w:cs="Times New Roman"/>
          <w:b/>
          <w:sz w:val="48"/>
        </w:rPr>
      </w:pPr>
    </w:p>
    <w:p w14:paraId="03AC0CCF" w14:textId="77777777" w:rsidR="00F414E8" w:rsidRPr="00F414E8" w:rsidRDefault="00F414E8">
      <w:pPr>
        <w:jc w:val="center"/>
        <w:rPr>
          <w:rFonts w:ascii="Times New Roman" w:hAnsi="Times New Roman" w:cs="Times New Roman"/>
          <w:b/>
          <w:sz w:val="48"/>
        </w:rPr>
      </w:pPr>
    </w:p>
    <w:p w14:paraId="6720E8A7" w14:textId="77777777" w:rsidR="00F414E8" w:rsidRPr="00F414E8" w:rsidRDefault="00F414E8">
      <w:pPr>
        <w:jc w:val="center"/>
        <w:rPr>
          <w:rFonts w:ascii="Times New Roman" w:hAnsi="Times New Roman" w:cs="Times New Roman"/>
          <w:b/>
          <w:sz w:val="48"/>
        </w:rPr>
      </w:pPr>
    </w:p>
    <w:p w14:paraId="39BDCA3F" w14:textId="121EB46C" w:rsidR="00F414E8" w:rsidRPr="00F414E8" w:rsidRDefault="00F414E8" w:rsidP="00F414E8">
      <w:pPr>
        <w:jc w:val="center"/>
        <w:rPr>
          <w:rFonts w:ascii="Times New Roman" w:hAnsi="Times New Roman" w:cs="Times New Roman"/>
          <w:b/>
          <w:sz w:val="48"/>
        </w:rPr>
      </w:pPr>
    </w:p>
    <w:p w14:paraId="493D7345" w14:textId="77777777" w:rsidR="00F414E8" w:rsidRPr="00F414E8" w:rsidRDefault="00F414E8">
      <w:pPr>
        <w:jc w:val="center"/>
        <w:rPr>
          <w:rFonts w:ascii="Times New Roman" w:hAnsi="Times New Roman" w:cs="Times New Roman"/>
          <w:b/>
          <w:sz w:val="48"/>
        </w:rPr>
      </w:pPr>
    </w:p>
    <w:p w14:paraId="742E552F" w14:textId="13E1DBC8" w:rsidR="00711A5F" w:rsidRPr="00F414E8" w:rsidRDefault="001F3FF7">
      <w:pPr>
        <w:jc w:val="center"/>
        <w:rPr>
          <w:rFonts w:ascii="Times New Roman" w:hAnsi="Times New Roman" w:cs="Times New Roman"/>
          <w:b/>
          <w:sz w:val="48"/>
        </w:rPr>
      </w:pPr>
      <w:r w:rsidRPr="00F414E8">
        <w:rPr>
          <w:rFonts w:ascii="Times New Roman" w:hAnsi="Times New Roman" w:cs="Times New Roman"/>
          <w:b/>
          <w:sz w:val="48"/>
        </w:rPr>
        <w:t>LITERATURE REVIEW AND THEMATIC ANALYSIS</w:t>
      </w:r>
    </w:p>
    <w:p w14:paraId="5AB94FE3" w14:textId="2428D014" w:rsidR="00F414E8" w:rsidRPr="00F414E8" w:rsidRDefault="00F414E8">
      <w:pPr>
        <w:jc w:val="center"/>
        <w:rPr>
          <w:rFonts w:ascii="Times New Roman" w:hAnsi="Times New Roman" w:cs="Times New Roman"/>
        </w:rPr>
      </w:pPr>
    </w:p>
    <w:p w14:paraId="4CC356F9" w14:textId="77777777" w:rsidR="00F414E8" w:rsidRPr="00F414E8" w:rsidRDefault="00F414E8">
      <w:pPr>
        <w:jc w:val="center"/>
        <w:rPr>
          <w:rFonts w:ascii="Times New Roman" w:hAnsi="Times New Roman" w:cs="Times New Roman"/>
        </w:rPr>
      </w:pPr>
    </w:p>
    <w:p w14:paraId="3086EE00" w14:textId="77777777" w:rsidR="00711A5F" w:rsidRPr="00F414E8" w:rsidRDefault="001F3FF7">
      <w:pPr>
        <w:jc w:val="center"/>
        <w:rPr>
          <w:rFonts w:ascii="Times New Roman" w:hAnsi="Times New Roman" w:cs="Times New Roman"/>
        </w:rPr>
      </w:pPr>
      <w:r w:rsidRPr="00F414E8">
        <w:rPr>
          <w:rFonts w:ascii="Times New Roman" w:hAnsi="Times New Roman" w:cs="Times New Roman"/>
          <w:b/>
          <w:sz w:val="36"/>
        </w:rPr>
        <w:t>Current Trends in Green Jobs and Sustainability</w:t>
      </w:r>
    </w:p>
    <w:p w14:paraId="64EBC692" w14:textId="77777777" w:rsidR="00F414E8" w:rsidRPr="00F414E8" w:rsidRDefault="001F3FF7">
      <w:pPr>
        <w:jc w:val="center"/>
        <w:rPr>
          <w:rFonts w:ascii="Times New Roman" w:hAnsi="Times New Roman" w:cs="Times New Roman"/>
          <w:sz w:val="26"/>
        </w:rPr>
      </w:pPr>
      <w:r w:rsidRPr="00F414E8">
        <w:rPr>
          <w:rFonts w:ascii="Times New Roman" w:hAnsi="Times New Roman" w:cs="Times New Roman"/>
          <w:sz w:val="26"/>
        </w:rPr>
        <w:br/>
      </w:r>
    </w:p>
    <w:p w14:paraId="2C747FE8" w14:textId="77777777" w:rsidR="00F414E8" w:rsidRPr="00F414E8" w:rsidRDefault="00F414E8">
      <w:pPr>
        <w:jc w:val="center"/>
        <w:rPr>
          <w:rFonts w:ascii="Times New Roman" w:hAnsi="Times New Roman" w:cs="Times New Roman"/>
          <w:sz w:val="26"/>
        </w:rPr>
      </w:pPr>
    </w:p>
    <w:p w14:paraId="3286280E" w14:textId="77777777" w:rsidR="00F414E8" w:rsidRPr="00F414E8" w:rsidRDefault="00F414E8">
      <w:pPr>
        <w:jc w:val="center"/>
        <w:rPr>
          <w:rFonts w:ascii="Times New Roman" w:hAnsi="Times New Roman" w:cs="Times New Roman"/>
          <w:sz w:val="26"/>
        </w:rPr>
      </w:pPr>
    </w:p>
    <w:p w14:paraId="43654EA4" w14:textId="0C5BA2ED" w:rsidR="00711A5F" w:rsidRPr="00F414E8" w:rsidRDefault="001F3FF7">
      <w:pPr>
        <w:jc w:val="center"/>
        <w:rPr>
          <w:rFonts w:ascii="Times New Roman" w:hAnsi="Times New Roman" w:cs="Times New Roman"/>
        </w:rPr>
      </w:pPr>
      <w:r w:rsidRPr="00F414E8">
        <w:rPr>
          <w:rFonts w:ascii="Times New Roman" w:hAnsi="Times New Roman" w:cs="Times New Roman"/>
          <w:sz w:val="26"/>
        </w:rPr>
        <w:t>Week 1 – Yuva Intern</w:t>
      </w:r>
    </w:p>
    <w:p w14:paraId="2086BED9" w14:textId="77777777" w:rsidR="00711A5F" w:rsidRPr="00F414E8" w:rsidRDefault="001F3FF7">
      <w:pPr>
        <w:jc w:val="center"/>
        <w:rPr>
          <w:rFonts w:ascii="Times New Roman" w:hAnsi="Times New Roman" w:cs="Times New Roman"/>
        </w:rPr>
      </w:pPr>
      <w:r w:rsidRPr="00F414E8">
        <w:rPr>
          <w:rFonts w:ascii="Times New Roman" w:hAnsi="Times New Roman" w:cs="Times New Roman"/>
          <w:sz w:val="24"/>
        </w:rPr>
        <w:br/>
        <w:t>Prepared by: Unnimaya</w:t>
      </w:r>
      <w:r w:rsidRPr="00F414E8">
        <w:rPr>
          <w:rFonts w:ascii="Times New Roman" w:hAnsi="Times New Roman" w:cs="Times New Roman"/>
          <w:sz w:val="22"/>
        </w:rPr>
        <w:br/>
        <w:t>October 2026</w:t>
      </w:r>
    </w:p>
    <w:p w14:paraId="6C54596E" w14:textId="77777777" w:rsidR="00711A5F" w:rsidRPr="00F414E8" w:rsidRDefault="001F3FF7">
      <w:pPr>
        <w:rPr>
          <w:rFonts w:ascii="Times New Roman" w:hAnsi="Times New Roman" w:cs="Times New Roman"/>
        </w:rPr>
      </w:pPr>
      <w:r w:rsidRPr="00F414E8">
        <w:rPr>
          <w:rFonts w:ascii="Times New Roman" w:hAnsi="Times New Roman" w:cs="Times New Roman"/>
        </w:rPr>
        <w:br w:type="page"/>
      </w:r>
    </w:p>
    <w:p w14:paraId="7AF7BF8D" w14:textId="77777777" w:rsidR="00711A5F" w:rsidRPr="00F414E8" w:rsidRDefault="001F3FF7">
      <w:pPr>
        <w:pStyle w:val="Heading1"/>
        <w:rPr>
          <w:rFonts w:ascii="Times New Roman" w:hAnsi="Times New Roman" w:cs="Times New Roman"/>
          <w:sz w:val="40"/>
          <w:szCs w:val="40"/>
        </w:rPr>
      </w:pPr>
      <w:r w:rsidRPr="00F414E8">
        <w:rPr>
          <w:rFonts w:ascii="Times New Roman" w:hAnsi="Times New Roman" w:cs="Times New Roman"/>
          <w:sz w:val="40"/>
          <w:szCs w:val="40"/>
        </w:rPr>
        <w:lastRenderedPageBreak/>
        <w:t>Executive Summary</w:t>
      </w:r>
    </w:p>
    <w:p w14:paraId="0D7C8853" w14:textId="77777777" w:rsidR="00711A5F" w:rsidRPr="00F414E8" w:rsidRDefault="001F3FF7">
      <w:pPr>
        <w:rPr>
          <w:rFonts w:ascii="Times New Roman" w:hAnsi="Times New Roman" w:cs="Times New Roman"/>
        </w:rPr>
      </w:pPr>
      <w:r w:rsidRPr="00F414E8">
        <w:rPr>
          <w:rFonts w:ascii="Times New Roman" w:hAnsi="Times New Roman" w:cs="Times New Roman"/>
        </w:rPr>
        <w:t>Green jobs have become an important part of discussions about sustainable development, climate action, employment and the transition towards low-carbon economies. This literature review examines current research on green jobs and sustainability using ten selected sources consisting of academic review papers, empirical research articles, and reports from international organizations. The review focuses on how green jobs are defined, where employment opportunities are emerging, what skills workers need, what barriers affect the transition, and how policy can support an inclusive and just transition.</w:t>
      </w:r>
    </w:p>
    <w:p w14:paraId="7D86949E" w14:textId="77777777" w:rsidR="00711A5F" w:rsidRPr="00F414E8" w:rsidRDefault="001F3FF7">
      <w:pPr>
        <w:rPr>
          <w:rFonts w:ascii="Times New Roman" w:hAnsi="Times New Roman" w:cs="Times New Roman"/>
        </w:rPr>
      </w:pPr>
      <w:r w:rsidRPr="00F414E8">
        <w:rPr>
          <w:rFonts w:ascii="Times New Roman" w:hAnsi="Times New Roman" w:cs="Times New Roman"/>
        </w:rPr>
        <w:t>The literature shows that there is still no single universally accepted definition of a green job. However, there is broad agreement that green jobs contribute to environmental protection, resource efficiency, emissions reduction or the transition towards sustainable production while also providing decent employment. The literature also shows that green employment is closely connected with renewable energy, circular economy activities, energy efficiency, sustainable construction, waste management and environmental services.</w:t>
      </w:r>
    </w:p>
    <w:p w14:paraId="2F0061A4" w14:textId="77777777" w:rsidR="00711A5F" w:rsidRPr="00F414E8" w:rsidRDefault="001F3FF7">
      <w:pPr>
        <w:rPr>
          <w:rFonts w:ascii="Times New Roman" w:hAnsi="Times New Roman" w:cs="Times New Roman"/>
        </w:rPr>
      </w:pPr>
      <w:r w:rsidRPr="00F414E8">
        <w:rPr>
          <w:rFonts w:ascii="Times New Roman" w:hAnsi="Times New Roman" w:cs="Times New Roman"/>
        </w:rPr>
        <w:t>A major theme across the sources is the transformation of workforce skills. Green jobs do not necessarily mean entirely new occupations; many existing occupations are changing as organizations adopt greener technologies and processes. This creates demand for technical skills, systems thinking, problem-solving, environmental awareness, digital capabilities, and continuous upskilling and reskilling. The ILO's Workforce 2030 report further shows that the green and digital transitions increasingly overlap and that future employment growth will depend on responsive skills-development systems.</w:t>
      </w:r>
    </w:p>
    <w:p w14:paraId="3CAEAE50" w14:textId="77777777" w:rsidR="00711A5F" w:rsidRPr="00F414E8" w:rsidRDefault="001F3FF7">
      <w:pPr>
        <w:rPr>
          <w:rFonts w:ascii="Times New Roman" w:hAnsi="Times New Roman" w:cs="Times New Roman"/>
        </w:rPr>
      </w:pPr>
      <w:r w:rsidRPr="00F414E8">
        <w:rPr>
          <w:rFonts w:ascii="Times New Roman" w:hAnsi="Times New Roman" w:cs="Times New Roman"/>
        </w:rPr>
        <w:t>The review also identifies important challenges. Green employment opportunities are not distributed evenly across countries or regions. Workers in fossil-fuel-dependent areas may possess transferable skills but still be unable to move into green jobs because the new jobs are located elsewhere. In India, policy readiness is also uneven, with gaps in definitions, labour-market information, policy coordination and social-protection arrangements.</w:t>
      </w:r>
    </w:p>
    <w:p w14:paraId="146215D2" w14:textId="34DB2B07" w:rsidR="00711A5F" w:rsidRDefault="001F3FF7">
      <w:pPr>
        <w:rPr>
          <w:rFonts w:ascii="Times New Roman" w:hAnsi="Times New Roman" w:cs="Times New Roman"/>
        </w:rPr>
      </w:pPr>
      <w:r w:rsidRPr="00F414E8">
        <w:rPr>
          <w:rFonts w:ascii="Times New Roman" w:hAnsi="Times New Roman" w:cs="Times New Roman"/>
        </w:rPr>
        <w:t>Overall, the literature suggests that the future of green jobs is likely to be shaped by renewable-energy expansion, decarbonization, circular-economy practices, green innovation, digital technologies and skills development. The major research gaps include inconsistent definitions and measurement, limited granular data on green skills and occupations, insufficient evidence on SMEs and green-job creation, and the need for more research on how green and digital transitions interact. Effective policy will need to combine job creation with skills development, regional planning, inclusion and support for workers affected by declining carbon-intensive industries.</w:t>
      </w:r>
    </w:p>
    <w:p w14:paraId="570E7B31" w14:textId="28E5CAF1" w:rsidR="00F414E8" w:rsidRDefault="00F414E8">
      <w:pPr>
        <w:rPr>
          <w:rFonts w:ascii="Times New Roman" w:hAnsi="Times New Roman" w:cs="Times New Roman"/>
        </w:rPr>
      </w:pPr>
    </w:p>
    <w:p w14:paraId="12A73786" w14:textId="3A6F428E" w:rsidR="00F414E8" w:rsidRDefault="00F414E8">
      <w:pPr>
        <w:rPr>
          <w:rFonts w:ascii="Times New Roman" w:hAnsi="Times New Roman" w:cs="Times New Roman"/>
        </w:rPr>
      </w:pPr>
    </w:p>
    <w:p w14:paraId="595904F2" w14:textId="7E3DFCFB" w:rsidR="00F414E8" w:rsidRDefault="00F414E8">
      <w:pPr>
        <w:rPr>
          <w:rFonts w:ascii="Times New Roman" w:hAnsi="Times New Roman" w:cs="Times New Roman"/>
        </w:rPr>
      </w:pPr>
    </w:p>
    <w:p w14:paraId="2B1F178E" w14:textId="27757D2A" w:rsidR="00F414E8" w:rsidRDefault="00F414E8">
      <w:pPr>
        <w:rPr>
          <w:rFonts w:ascii="Times New Roman" w:hAnsi="Times New Roman" w:cs="Times New Roman"/>
        </w:rPr>
      </w:pPr>
    </w:p>
    <w:p w14:paraId="614F8AF3" w14:textId="6D93E414" w:rsidR="00F414E8" w:rsidRDefault="00F414E8">
      <w:pPr>
        <w:rPr>
          <w:rFonts w:ascii="Times New Roman" w:hAnsi="Times New Roman" w:cs="Times New Roman"/>
        </w:rPr>
      </w:pPr>
    </w:p>
    <w:p w14:paraId="5DA1B233" w14:textId="0C4DA803" w:rsidR="00F414E8" w:rsidRDefault="00F414E8">
      <w:pPr>
        <w:rPr>
          <w:rFonts w:ascii="Times New Roman" w:hAnsi="Times New Roman" w:cs="Times New Roman"/>
        </w:rPr>
      </w:pPr>
    </w:p>
    <w:p w14:paraId="1A332D4B" w14:textId="5DB6FBB4" w:rsidR="00F414E8" w:rsidRDefault="00F414E8">
      <w:pPr>
        <w:rPr>
          <w:rFonts w:ascii="Times New Roman" w:hAnsi="Times New Roman" w:cs="Times New Roman"/>
        </w:rPr>
      </w:pPr>
    </w:p>
    <w:p w14:paraId="4FE30BAC" w14:textId="299747EA" w:rsidR="00F414E8" w:rsidRDefault="00F414E8">
      <w:pPr>
        <w:rPr>
          <w:rFonts w:ascii="Times New Roman" w:hAnsi="Times New Roman" w:cs="Times New Roman"/>
        </w:rPr>
      </w:pPr>
    </w:p>
    <w:p w14:paraId="2BAEA357" w14:textId="77777777" w:rsidR="00F414E8" w:rsidRPr="00F414E8" w:rsidRDefault="00F414E8">
      <w:pPr>
        <w:rPr>
          <w:rFonts w:ascii="Times New Roman" w:hAnsi="Times New Roman" w:cs="Times New Roman"/>
        </w:rPr>
      </w:pPr>
    </w:p>
    <w:p w14:paraId="11EBDC34" w14:textId="77777777" w:rsidR="00711A5F" w:rsidRPr="00F414E8" w:rsidRDefault="001F3FF7">
      <w:pPr>
        <w:pStyle w:val="Heading1"/>
        <w:rPr>
          <w:rFonts w:ascii="Times New Roman" w:hAnsi="Times New Roman" w:cs="Times New Roman"/>
          <w:sz w:val="40"/>
          <w:szCs w:val="40"/>
        </w:rPr>
      </w:pPr>
      <w:r w:rsidRPr="00F414E8">
        <w:rPr>
          <w:rFonts w:ascii="Times New Roman" w:hAnsi="Times New Roman" w:cs="Times New Roman"/>
          <w:sz w:val="40"/>
          <w:szCs w:val="40"/>
        </w:rPr>
        <w:lastRenderedPageBreak/>
        <w:t>1. Introduction</w:t>
      </w:r>
    </w:p>
    <w:p w14:paraId="206B723C" w14:textId="77777777" w:rsidR="00711A5F" w:rsidRPr="00F414E8" w:rsidRDefault="001F3FF7">
      <w:pPr>
        <w:pStyle w:val="Heading2"/>
        <w:rPr>
          <w:rFonts w:ascii="Times New Roman" w:hAnsi="Times New Roman" w:cs="Times New Roman"/>
        </w:rPr>
      </w:pPr>
      <w:r w:rsidRPr="00F414E8">
        <w:rPr>
          <w:rFonts w:ascii="Times New Roman" w:hAnsi="Times New Roman" w:cs="Times New Roman"/>
        </w:rPr>
        <w:t>1.1 Background</w:t>
      </w:r>
    </w:p>
    <w:p w14:paraId="550A3C3D" w14:textId="77777777" w:rsidR="00711A5F" w:rsidRPr="00F414E8" w:rsidRDefault="001F3FF7">
      <w:pPr>
        <w:rPr>
          <w:rFonts w:ascii="Times New Roman" w:hAnsi="Times New Roman" w:cs="Times New Roman"/>
        </w:rPr>
      </w:pPr>
      <w:r w:rsidRPr="00F414E8">
        <w:rPr>
          <w:rFonts w:ascii="Times New Roman" w:hAnsi="Times New Roman" w:cs="Times New Roman"/>
        </w:rPr>
        <w:t>Climate change, environmental degradation, resource depletion and the need to reduce greenhouse-gas emissions are changing the way economies produce goods and services. These changes are also affecting labour markets. Businesses are adopting renewable energy, energy-efficient technologies, circular production methods, cleaner transport systems and other environmentally oriented practices. As a result, employment is changing alongside the wider transition towards sustainability.</w:t>
      </w:r>
    </w:p>
    <w:p w14:paraId="04B5E534" w14:textId="77777777" w:rsidR="00711A5F" w:rsidRPr="00F414E8" w:rsidRDefault="001F3FF7">
      <w:pPr>
        <w:rPr>
          <w:rFonts w:ascii="Times New Roman" w:hAnsi="Times New Roman" w:cs="Times New Roman"/>
        </w:rPr>
      </w:pPr>
      <w:r w:rsidRPr="00F414E8">
        <w:rPr>
          <w:rFonts w:ascii="Times New Roman" w:hAnsi="Times New Roman" w:cs="Times New Roman"/>
        </w:rPr>
        <w:t>Green jobs are therefore relevant not only to environmental policy but also to employment, economic development and social policy. The literature review by Stanef-Puică et al. identifies strong links between green jobs, sustainable development, the green economy, circular economy, renewable energy, economic development and employment [1]. The same review notes that the concept has developed over time and that different studies use different definitions and measurement approaches.</w:t>
      </w:r>
    </w:p>
    <w:p w14:paraId="5126A4BA" w14:textId="77777777" w:rsidR="00711A5F" w:rsidRPr="00F414E8" w:rsidRDefault="001F3FF7">
      <w:pPr>
        <w:pStyle w:val="Heading2"/>
        <w:rPr>
          <w:rFonts w:ascii="Times New Roman" w:hAnsi="Times New Roman" w:cs="Times New Roman"/>
        </w:rPr>
      </w:pPr>
      <w:r w:rsidRPr="00F414E8">
        <w:rPr>
          <w:rFonts w:ascii="Times New Roman" w:hAnsi="Times New Roman" w:cs="Times New Roman"/>
        </w:rPr>
        <w:t>1.2 Understanding Green Jobs</w:t>
      </w:r>
    </w:p>
    <w:p w14:paraId="528A4D2F" w14:textId="77777777" w:rsidR="00711A5F" w:rsidRPr="00F414E8" w:rsidRDefault="001F3FF7">
      <w:pPr>
        <w:rPr>
          <w:rFonts w:ascii="Times New Roman" w:hAnsi="Times New Roman" w:cs="Times New Roman"/>
        </w:rPr>
      </w:pPr>
      <w:r w:rsidRPr="00F414E8">
        <w:rPr>
          <w:rFonts w:ascii="Times New Roman" w:hAnsi="Times New Roman" w:cs="Times New Roman"/>
        </w:rPr>
        <w:t>A commonly cited foundation comes from the UNEP/ILO/IOE/ITUC Green Jobs Initiative. The definition discussed in the literature describes green jobs as decent work that contributes to maintaining or restoring environmental quality, including through reduced energy and raw-material consumption, lower pollution and waste, ecosystem protection and climate adaptation [1]. This definition is useful because it combines an environmental dimension with a labour dimension: a job should not only support environmental goals but should also provide decent work.</w:t>
      </w:r>
    </w:p>
    <w:p w14:paraId="1EBFE735" w14:textId="77777777" w:rsidR="00711A5F" w:rsidRPr="00F414E8" w:rsidRDefault="001F3FF7">
      <w:pPr>
        <w:rPr>
          <w:rFonts w:ascii="Times New Roman" w:hAnsi="Times New Roman" w:cs="Times New Roman"/>
        </w:rPr>
      </w:pPr>
      <w:r w:rsidRPr="00F414E8">
        <w:rPr>
          <w:rFonts w:ascii="Times New Roman" w:hAnsi="Times New Roman" w:cs="Times New Roman"/>
        </w:rPr>
        <w:t>However, the reviewed literature shows that the boundaries of the term remain unclear. Green jobs may be defined narrowly by focusing on occupations directly involved in environmental activities, or more broadly by including existing occupations that become greener because their tasks or technologies change [1, 3]. This creates a measurement problem. If countries use different definitions, estimates of the number of green jobs cannot always be compared directly.</w:t>
      </w:r>
    </w:p>
    <w:p w14:paraId="43159BA5" w14:textId="77777777" w:rsidR="00711A5F" w:rsidRPr="00F414E8" w:rsidRDefault="001F3FF7">
      <w:pPr>
        <w:pStyle w:val="Heading2"/>
        <w:rPr>
          <w:rFonts w:ascii="Times New Roman" w:hAnsi="Times New Roman" w:cs="Times New Roman"/>
        </w:rPr>
      </w:pPr>
      <w:r w:rsidRPr="00F414E8">
        <w:rPr>
          <w:rFonts w:ascii="Times New Roman" w:hAnsi="Times New Roman" w:cs="Times New Roman"/>
        </w:rPr>
        <w:t>1.3 Scope and Relevance of the Review</w:t>
      </w:r>
    </w:p>
    <w:p w14:paraId="2F00D60B" w14:textId="77777777" w:rsidR="00711A5F" w:rsidRPr="00F414E8" w:rsidRDefault="001F3FF7">
      <w:pPr>
        <w:rPr>
          <w:rFonts w:ascii="Times New Roman" w:hAnsi="Times New Roman" w:cs="Times New Roman"/>
        </w:rPr>
      </w:pPr>
      <w:r w:rsidRPr="00F414E8">
        <w:rPr>
          <w:rFonts w:ascii="Times New Roman" w:hAnsi="Times New Roman" w:cs="Times New Roman"/>
        </w:rPr>
        <w:t>This review examines current trends in green jobs and sustainability through ten selected sources. It covers general conceptual research, green skills, renewable-energy employment, SMEs, just transition, India-specific policy readiness, future workforce needs and the relationship between environmental sustainability, economic growth and green employment. The aim is not simply to summarize each source separately, but to identify common themes, compare findings and highlight areas where the literature agrees, differs or remains incomplete.</w:t>
      </w:r>
    </w:p>
    <w:p w14:paraId="4E203A50" w14:textId="77777777" w:rsidR="00711A5F" w:rsidRPr="00F414E8" w:rsidRDefault="001F3FF7">
      <w:pPr>
        <w:pStyle w:val="Heading1"/>
        <w:rPr>
          <w:rFonts w:ascii="Times New Roman" w:hAnsi="Times New Roman" w:cs="Times New Roman"/>
          <w:sz w:val="40"/>
          <w:szCs w:val="40"/>
        </w:rPr>
      </w:pPr>
      <w:r w:rsidRPr="00F414E8">
        <w:rPr>
          <w:rFonts w:ascii="Times New Roman" w:hAnsi="Times New Roman" w:cs="Times New Roman"/>
          <w:sz w:val="40"/>
          <w:szCs w:val="40"/>
        </w:rPr>
        <w:t>2. Methodology</w:t>
      </w:r>
    </w:p>
    <w:p w14:paraId="4569F27E" w14:textId="77777777" w:rsidR="00711A5F" w:rsidRPr="00F414E8" w:rsidRDefault="001F3FF7">
      <w:pPr>
        <w:rPr>
          <w:rFonts w:ascii="Times New Roman" w:hAnsi="Times New Roman" w:cs="Times New Roman"/>
        </w:rPr>
      </w:pPr>
      <w:r w:rsidRPr="00F414E8">
        <w:rPr>
          <w:rFonts w:ascii="Times New Roman" w:hAnsi="Times New Roman" w:cs="Times New Roman"/>
        </w:rPr>
        <w:t>The review used publicly available academic research and institutional publications collected during the Week 1 research process. Sources were selected based on relevance to green jobs and sustainability, credibility of the publishing journal or institution, recency where appropriate, and usefulness for thematic comparison. The final set contains ten distinct sources: academic review papers, empirical research articles, a working paper, and reports from the International Labour Organization (ILO) and International Renewable Energy Agency (IRENA).</w:t>
      </w:r>
    </w:p>
    <w:p w14:paraId="0C88A70A" w14:textId="77777777" w:rsidR="00711A5F" w:rsidRPr="00F414E8" w:rsidRDefault="001F3FF7">
      <w:pPr>
        <w:rPr>
          <w:rFonts w:ascii="Times New Roman" w:hAnsi="Times New Roman" w:cs="Times New Roman"/>
        </w:rPr>
      </w:pPr>
      <w:r w:rsidRPr="00F414E8">
        <w:rPr>
          <w:rFonts w:ascii="Times New Roman" w:hAnsi="Times New Roman" w:cs="Times New Roman"/>
        </w:rPr>
        <w:t>Thematic analysis was used to move beyond article-by-article summaries. First, the main findings and concepts from each source were identified. Second, recurring topics were compared across sources. Third, related findings were grouped into broader themes. Finally, the themes were interpreted in relation to opportunities, challenges, policy needs, future trends and research gaps.</w:t>
      </w:r>
    </w:p>
    <w:p w14:paraId="717CE73F" w14:textId="77777777" w:rsidR="00711A5F" w:rsidRPr="00F414E8" w:rsidRDefault="001F3FF7">
      <w:pPr>
        <w:pStyle w:val="Heading2"/>
        <w:rPr>
          <w:rFonts w:ascii="Times New Roman" w:hAnsi="Times New Roman" w:cs="Times New Roman"/>
        </w:rPr>
      </w:pPr>
      <w:r w:rsidRPr="00F414E8">
        <w:rPr>
          <w:rFonts w:ascii="Times New Roman" w:hAnsi="Times New Roman" w:cs="Times New Roman"/>
        </w:rPr>
        <w:lastRenderedPageBreak/>
        <w:t>2.1 Source Overview</w:t>
      </w:r>
    </w:p>
    <w:tbl>
      <w:tblPr>
        <w:tblStyle w:val="TableGrid"/>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412"/>
        <w:gridCol w:w="2412"/>
        <w:gridCol w:w="2412"/>
        <w:gridCol w:w="2412"/>
      </w:tblGrid>
      <w:tr w:rsidR="00711A5F" w:rsidRPr="00F414E8" w14:paraId="34DBC741" w14:textId="77777777">
        <w:trPr>
          <w:jc w:val="center"/>
        </w:trPr>
        <w:tc>
          <w:tcPr>
            <w:tcW w:w="2412" w:type="dxa"/>
            <w:shd w:val="clear" w:color="auto" w:fill="D9EAF7"/>
            <w:tcMar>
              <w:top w:w="80" w:type="dxa"/>
              <w:left w:w="80" w:type="dxa"/>
              <w:bottom w:w="80" w:type="dxa"/>
              <w:right w:w="80" w:type="dxa"/>
            </w:tcMar>
            <w:vAlign w:val="center"/>
          </w:tcPr>
          <w:p w14:paraId="5FC05A10" w14:textId="77777777" w:rsidR="00711A5F" w:rsidRPr="00F414E8" w:rsidRDefault="001F3FF7">
            <w:pPr>
              <w:rPr>
                <w:rFonts w:ascii="Times New Roman" w:hAnsi="Times New Roman" w:cs="Times New Roman"/>
              </w:rPr>
            </w:pPr>
            <w:r w:rsidRPr="00F414E8">
              <w:rPr>
                <w:rFonts w:ascii="Times New Roman" w:hAnsi="Times New Roman" w:cs="Times New Roman"/>
                <w:b/>
              </w:rPr>
              <w:t>No.</w:t>
            </w:r>
          </w:p>
        </w:tc>
        <w:tc>
          <w:tcPr>
            <w:tcW w:w="2412" w:type="dxa"/>
            <w:shd w:val="clear" w:color="auto" w:fill="D9EAF7"/>
            <w:tcMar>
              <w:top w:w="80" w:type="dxa"/>
              <w:left w:w="80" w:type="dxa"/>
              <w:bottom w:w="80" w:type="dxa"/>
              <w:right w:w="80" w:type="dxa"/>
            </w:tcMar>
            <w:vAlign w:val="center"/>
          </w:tcPr>
          <w:p w14:paraId="714C1384" w14:textId="77777777" w:rsidR="00711A5F" w:rsidRPr="00F414E8" w:rsidRDefault="001F3FF7">
            <w:pPr>
              <w:rPr>
                <w:rFonts w:ascii="Times New Roman" w:hAnsi="Times New Roman" w:cs="Times New Roman"/>
              </w:rPr>
            </w:pPr>
            <w:r w:rsidRPr="00F414E8">
              <w:rPr>
                <w:rFonts w:ascii="Times New Roman" w:hAnsi="Times New Roman" w:cs="Times New Roman"/>
                <w:b/>
              </w:rPr>
              <w:t>Source</w:t>
            </w:r>
          </w:p>
        </w:tc>
        <w:tc>
          <w:tcPr>
            <w:tcW w:w="2412" w:type="dxa"/>
            <w:shd w:val="clear" w:color="auto" w:fill="D9EAF7"/>
            <w:tcMar>
              <w:top w:w="80" w:type="dxa"/>
              <w:left w:w="80" w:type="dxa"/>
              <w:bottom w:w="80" w:type="dxa"/>
              <w:right w:w="80" w:type="dxa"/>
            </w:tcMar>
            <w:vAlign w:val="center"/>
          </w:tcPr>
          <w:p w14:paraId="0E95AAE3" w14:textId="77777777" w:rsidR="00711A5F" w:rsidRPr="00F414E8" w:rsidRDefault="001F3FF7">
            <w:pPr>
              <w:rPr>
                <w:rFonts w:ascii="Times New Roman" w:hAnsi="Times New Roman" w:cs="Times New Roman"/>
              </w:rPr>
            </w:pPr>
            <w:r w:rsidRPr="00F414E8">
              <w:rPr>
                <w:rFonts w:ascii="Times New Roman" w:hAnsi="Times New Roman" w:cs="Times New Roman"/>
                <w:b/>
              </w:rPr>
              <w:t>Type</w:t>
            </w:r>
          </w:p>
        </w:tc>
        <w:tc>
          <w:tcPr>
            <w:tcW w:w="2412" w:type="dxa"/>
            <w:shd w:val="clear" w:color="auto" w:fill="D9EAF7"/>
            <w:tcMar>
              <w:top w:w="80" w:type="dxa"/>
              <w:left w:w="80" w:type="dxa"/>
              <w:bottom w:w="80" w:type="dxa"/>
              <w:right w:w="80" w:type="dxa"/>
            </w:tcMar>
            <w:vAlign w:val="center"/>
          </w:tcPr>
          <w:p w14:paraId="1EC98ABA" w14:textId="77777777" w:rsidR="00711A5F" w:rsidRPr="00F414E8" w:rsidRDefault="001F3FF7">
            <w:pPr>
              <w:rPr>
                <w:rFonts w:ascii="Times New Roman" w:hAnsi="Times New Roman" w:cs="Times New Roman"/>
              </w:rPr>
            </w:pPr>
            <w:r w:rsidRPr="00F414E8">
              <w:rPr>
                <w:rFonts w:ascii="Times New Roman" w:hAnsi="Times New Roman" w:cs="Times New Roman"/>
                <w:b/>
              </w:rPr>
              <w:t>Main focus</w:t>
            </w:r>
          </w:p>
        </w:tc>
      </w:tr>
      <w:tr w:rsidR="00711A5F" w:rsidRPr="00F414E8" w14:paraId="78F0E387" w14:textId="77777777">
        <w:trPr>
          <w:jc w:val="center"/>
        </w:trPr>
        <w:tc>
          <w:tcPr>
            <w:tcW w:w="2412" w:type="dxa"/>
            <w:tcMar>
              <w:top w:w="80" w:type="dxa"/>
              <w:left w:w="80" w:type="dxa"/>
              <w:bottom w:w="80" w:type="dxa"/>
              <w:right w:w="80" w:type="dxa"/>
            </w:tcMar>
            <w:vAlign w:val="center"/>
          </w:tcPr>
          <w:p w14:paraId="6E77DF9A" w14:textId="77777777" w:rsidR="00711A5F" w:rsidRPr="00F414E8" w:rsidRDefault="001F3FF7">
            <w:pPr>
              <w:rPr>
                <w:rFonts w:ascii="Times New Roman" w:hAnsi="Times New Roman" w:cs="Times New Roman"/>
              </w:rPr>
            </w:pPr>
            <w:r w:rsidRPr="00F414E8">
              <w:rPr>
                <w:rFonts w:ascii="Times New Roman" w:hAnsi="Times New Roman" w:cs="Times New Roman"/>
              </w:rPr>
              <w:t>1</w:t>
            </w:r>
          </w:p>
        </w:tc>
        <w:tc>
          <w:tcPr>
            <w:tcW w:w="2412" w:type="dxa"/>
            <w:tcMar>
              <w:top w:w="80" w:type="dxa"/>
              <w:left w:w="80" w:type="dxa"/>
              <w:bottom w:w="80" w:type="dxa"/>
              <w:right w:w="80" w:type="dxa"/>
            </w:tcMar>
            <w:vAlign w:val="center"/>
          </w:tcPr>
          <w:p w14:paraId="07CA12BB" w14:textId="2A34AD97" w:rsidR="00711A5F" w:rsidRPr="00F414E8" w:rsidRDefault="001F3FF7">
            <w:pPr>
              <w:rPr>
                <w:rFonts w:ascii="Times New Roman" w:hAnsi="Times New Roman" w:cs="Times New Roman"/>
              </w:rPr>
            </w:pPr>
            <w:bookmarkStart w:id="0" w:name="_GoBack"/>
            <w:bookmarkEnd w:id="0"/>
            <w:r w:rsidRPr="00F414E8">
              <w:rPr>
                <w:rFonts w:ascii="Times New Roman" w:hAnsi="Times New Roman" w:cs="Times New Roman"/>
              </w:rPr>
              <w:t>Stanef-Puică et al. (2022)</w:t>
            </w:r>
          </w:p>
        </w:tc>
        <w:tc>
          <w:tcPr>
            <w:tcW w:w="2412" w:type="dxa"/>
            <w:tcMar>
              <w:top w:w="80" w:type="dxa"/>
              <w:left w:w="80" w:type="dxa"/>
              <w:bottom w:w="80" w:type="dxa"/>
              <w:right w:w="80" w:type="dxa"/>
            </w:tcMar>
            <w:vAlign w:val="center"/>
          </w:tcPr>
          <w:p w14:paraId="6E3D461B" w14:textId="77777777" w:rsidR="00711A5F" w:rsidRPr="00F414E8" w:rsidRDefault="001F3FF7">
            <w:pPr>
              <w:rPr>
                <w:rFonts w:ascii="Times New Roman" w:hAnsi="Times New Roman" w:cs="Times New Roman"/>
              </w:rPr>
            </w:pPr>
            <w:r w:rsidRPr="00F414E8">
              <w:rPr>
                <w:rFonts w:ascii="Times New Roman" w:hAnsi="Times New Roman" w:cs="Times New Roman"/>
              </w:rPr>
              <w:t>Literature review</w:t>
            </w:r>
          </w:p>
        </w:tc>
        <w:tc>
          <w:tcPr>
            <w:tcW w:w="2412" w:type="dxa"/>
            <w:tcMar>
              <w:top w:w="80" w:type="dxa"/>
              <w:left w:w="80" w:type="dxa"/>
              <w:bottom w:w="80" w:type="dxa"/>
              <w:right w:w="80" w:type="dxa"/>
            </w:tcMar>
            <w:vAlign w:val="center"/>
          </w:tcPr>
          <w:p w14:paraId="3FB76029" w14:textId="77777777" w:rsidR="00711A5F" w:rsidRPr="00F414E8" w:rsidRDefault="001F3FF7">
            <w:pPr>
              <w:rPr>
                <w:rFonts w:ascii="Times New Roman" w:hAnsi="Times New Roman" w:cs="Times New Roman"/>
              </w:rPr>
            </w:pPr>
            <w:r w:rsidRPr="00F414E8">
              <w:rPr>
                <w:rFonts w:ascii="Times New Roman" w:hAnsi="Times New Roman" w:cs="Times New Roman"/>
              </w:rPr>
              <w:t>Definitions, sustainability, green economy and major research areas</w:t>
            </w:r>
          </w:p>
        </w:tc>
      </w:tr>
      <w:tr w:rsidR="00711A5F" w:rsidRPr="00F414E8" w14:paraId="77DD9377" w14:textId="77777777">
        <w:trPr>
          <w:jc w:val="center"/>
        </w:trPr>
        <w:tc>
          <w:tcPr>
            <w:tcW w:w="2412" w:type="dxa"/>
            <w:tcMar>
              <w:top w:w="80" w:type="dxa"/>
              <w:left w:w="80" w:type="dxa"/>
              <w:bottom w:w="80" w:type="dxa"/>
              <w:right w:w="80" w:type="dxa"/>
            </w:tcMar>
            <w:vAlign w:val="center"/>
          </w:tcPr>
          <w:p w14:paraId="4C559BB1" w14:textId="77777777" w:rsidR="00711A5F" w:rsidRPr="00F414E8" w:rsidRDefault="001F3FF7">
            <w:pPr>
              <w:rPr>
                <w:rFonts w:ascii="Times New Roman" w:hAnsi="Times New Roman" w:cs="Times New Roman"/>
              </w:rPr>
            </w:pPr>
            <w:r w:rsidRPr="00F414E8">
              <w:rPr>
                <w:rFonts w:ascii="Times New Roman" w:hAnsi="Times New Roman" w:cs="Times New Roman"/>
              </w:rPr>
              <w:t>2</w:t>
            </w:r>
          </w:p>
        </w:tc>
        <w:tc>
          <w:tcPr>
            <w:tcW w:w="2412" w:type="dxa"/>
            <w:tcMar>
              <w:top w:w="80" w:type="dxa"/>
              <w:left w:w="80" w:type="dxa"/>
              <w:bottom w:w="80" w:type="dxa"/>
              <w:right w:w="80" w:type="dxa"/>
            </w:tcMar>
            <w:vAlign w:val="center"/>
          </w:tcPr>
          <w:p w14:paraId="0B42B3A4" w14:textId="77777777" w:rsidR="00711A5F" w:rsidRPr="00F414E8" w:rsidRDefault="001F3FF7">
            <w:pPr>
              <w:rPr>
                <w:rFonts w:ascii="Times New Roman" w:hAnsi="Times New Roman" w:cs="Times New Roman"/>
              </w:rPr>
            </w:pPr>
            <w:r w:rsidRPr="00F414E8">
              <w:rPr>
                <w:rFonts w:ascii="Times New Roman" w:hAnsi="Times New Roman" w:cs="Times New Roman"/>
              </w:rPr>
              <w:t>Olekanma et al. (2024)</w:t>
            </w:r>
          </w:p>
        </w:tc>
        <w:tc>
          <w:tcPr>
            <w:tcW w:w="2412" w:type="dxa"/>
            <w:tcMar>
              <w:top w:w="80" w:type="dxa"/>
              <w:left w:w="80" w:type="dxa"/>
              <w:bottom w:w="80" w:type="dxa"/>
              <w:right w:w="80" w:type="dxa"/>
            </w:tcMar>
            <w:vAlign w:val="center"/>
          </w:tcPr>
          <w:p w14:paraId="18F241FE" w14:textId="77777777" w:rsidR="00711A5F" w:rsidRPr="00F414E8" w:rsidRDefault="001F3FF7">
            <w:pPr>
              <w:rPr>
                <w:rFonts w:ascii="Times New Roman" w:hAnsi="Times New Roman" w:cs="Times New Roman"/>
              </w:rPr>
            </w:pPr>
            <w:r w:rsidRPr="00F414E8">
              <w:rPr>
                <w:rFonts w:ascii="Times New Roman" w:hAnsi="Times New Roman" w:cs="Times New Roman"/>
              </w:rPr>
              <w:t>Systematic review</w:t>
            </w:r>
          </w:p>
        </w:tc>
        <w:tc>
          <w:tcPr>
            <w:tcW w:w="2412" w:type="dxa"/>
            <w:tcMar>
              <w:top w:w="80" w:type="dxa"/>
              <w:left w:w="80" w:type="dxa"/>
              <w:bottom w:w="80" w:type="dxa"/>
              <w:right w:w="80" w:type="dxa"/>
            </w:tcMar>
            <w:vAlign w:val="center"/>
          </w:tcPr>
          <w:p w14:paraId="20DA7595" w14:textId="77777777" w:rsidR="00711A5F" w:rsidRPr="00F414E8" w:rsidRDefault="001F3FF7">
            <w:pPr>
              <w:rPr>
                <w:rFonts w:ascii="Times New Roman" w:hAnsi="Times New Roman" w:cs="Times New Roman"/>
              </w:rPr>
            </w:pPr>
            <w:r w:rsidRPr="00F414E8">
              <w:rPr>
                <w:rFonts w:ascii="Times New Roman" w:hAnsi="Times New Roman" w:cs="Times New Roman"/>
              </w:rPr>
              <w:t>SMEs, carbon reduction, green innovation and green-job creation</w:t>
            </w:r>
          </w:p>
        </w:tc>
      </w:tr>
      <w:tr w:rsidR="00711A5F" w:rsidRPr="00F414E8" w14:paraId="3F577636" w14:textId="77777777">
        <w:trPr>
          <w:jc w:val="center"/>
        </w:trPr>
        <w:tc>
          <w:tcPr>
            <w:tcW w:w="2412" w:type="dxa"/>
            <w:tcMar>
              <w:top w:w="80" w:type="dxa"/>
              <w:left w:w="80" w:type="dxa"/>
              <w:bottom w:w="80" w:type="dxa"/>
              <w:right w:w="80" w:type="dxa"/>
            </w:tcMar>
            <w:vAlign w:val="center"/>
          </w:tcPr>
          <w:p w14:paraId="0A6F413B" w14:textId="77777777" w:rsidR="00711A5F" w:rsidRPr="00F414E8" w:rsidRDefault="001F3FF7">
            <w:pPr>
              <w:rPr>
                <w:rFonts w:ascii="Times New Roman" w:hAnsi="Times New Roman" w:cs="Times New Roman"/>
              </w:rPr>
            </w:pPr>
            <w:r w:rsidRPr="00F414E8">
              <w:rPr>
                <w:rFonts w:ascii="Times New Roman" w:hAnsi="Times New Roman" w:cs="Times New Roman"/>
              </w:rPr>
              <w:t>3</w:t>
            </w:r>
          </w:p>
        </w:tc>
        <w:tc>
          <w:tcPr>
            <w:tcW w:w="2412" w:type="dxa"/>
            <w:tcMar>
              <w:top w:w="80" w:type="dxa"/>
              <w:left w:w="80" w:type="dxa"/>
              <w:bottom w:w="80" w:type="dxa"/>
              <w:right w:w="80" w:type="dxa"/>
            </w:tcMar>
            <w:vAlign w:val="center"/>
          </w:tcPr>
          <w:p w14:paraId="692637CB" w14:textId="77777777" w:rsidR="00711A5F" w:rsidRPr="00F414E8" w:rsidRDefault="001F3FF7">
            <w:pPr>
              <w:rPr>
                <w:rFonts w:ascii="Times New Roman" w:hAnsi="Times New Roman" w:cs="Times New Roman"/>
              </w:rPr>
            </w:pPr>
            <w:r w:rsidRPr="00F414E8">
              <w:rPr>
                <w:rFonts w:ascii="Times New Roman" w:hAnsi="Times New Roman" w:cs="Times New Roman"/>
              </w:rPr>
              <w:t>Consoli et al. (2015)</w:t>
            </w:r>
          </w:p>
        </w:tc>
        <w:tc>
          <w:tcPr>
            <w:tcW w:w="2412" w:type="dxa"/>
            <w:tcMar>
              <w:top w:w="80" w:type="dxa"/>
              <w:left w:w="80" w:type="dxa"/>
              <w:bottom w:w="80" w:type="dxa"/>
              <w:right w:w="80" w:type="dxa"/>
            </w:tcMar>
            <w:vAlign w:val="center"/>
          </w:tcPr>
          <w:p w14:paraId="7A374BE5" w14:textId="77777777" w:rsidR="00711A5F" w:rsidRPr="00F414E8" w:rsidRDefault="001F3FF7">
            <w:pPr>
              <w:rPr>
                <w:rFonts w:ascii="Times New Roman" w:hAnsi="Times New Roman" w:cs="Times New Roman"/>
              </w:rPr>
            </w:pPr>
            <w:r w:rsidRPr="00F414E8">
              <w:rPr>
                <w:rFonts w:ascii="Times New Roman" w:hAnsi="Times New Roman" w:cs="Times New Roman"/>
              </w:rPr>
              <w:t>Research/working paper</w:t>
            </w:r>
          </w:p>
        </w:tc>
        <w:tc>
          <w:tcPr>
            <w:tcW w:w="2412" w:type="dxa"/>
            <w:tcMar>
              <w:top w:w="80" w:type="dxa"/>
              <w:left w:w="80" w:type="dxa"/>
              <w:bottom w:w="80" w:type="dxa"/>
              <w:right w:w="80" w:type="dxa"/>
            </w:tcMar>
            <w:vAlign w:val="center"/>
          </w:tcPr>
          <w:p w14:paraId="366798A3" w14:textId="77777777" w:rsidR="00711A5F" w:rsidRPr="00F414E8" w:rsidRDefault="001F3FF7">
            <w:pPr>
              <w:rPr>
                <w:rFonts w:ascii="Times New Roman" w:hAnsi="Times New Roman" w:cs="Times New Roman"/>
              </w:rPr>
            </w:pPr>
            <w:r w:rsidRPr="00F414E8">
              <w:rPr>
                <w:rFonts w:ascii="Times New Roman" w:hAnsi="Times New Roman" w:cs="Times New Roman"/>
              </w:rPr>
              <w:t>Green occupations, skills and human capital</w:t>
            </w:r>
          </w:p>
        </w:tc>
      </w:tr>
      <w:tr w:rsidR="00711A5F" w:rsidRPr="00F414E8" w14:paraId="4D0C0601" w14:textId="77777777">
        <w:trPr>
          <w:jc w:val="center"/>
        </w:trPr>
        <w:tc>
          <w:tcPr>
            <w:tcW w:w="2412" w:type="dxa"/>
            <w:tcMar>
              <w:top w:w="80" w:type="dxa"/>
              <w:left w:w="80" w:type="dxa"/>
              <w:bottom w:w="80" w:type="dxa"/>
              <w:right w:w="80" w:type="dxa"/>
            </w:tcMar>
            <w:vAlign w:val="center"/>
          </w:tcPr>
          <w:p w14:paraId="195EDD05" w14:textId="77777777" w:rsidR="00711A5F" w:rsidRPr="00F414E8" w:rsidRDefault="001F3FF7">
            <w:pPr>
              <w:rPr>
                <w:rFonts w:ascii="Times New Roman" w:hAnsi="Times New Roman" w:cs="Times New Roman"/>
              </w:rPr>
            </w:pPr>
            <w:r w:rsidRPr="00F414E8">
              <w:rPr>
                <w:rFonts w:ascii="Times New Roman" w:hAnsi="Times New Roman" w:cs="Times New Roman"/>
              </w:rPr>
              <w:t>4</w:t>
            </w:r>
          </w:p>
        </w:tc>
        <w:tc>
          <w:tcPr>
            <w:tcW w:w="2412" w:type="dxa"/>
            <w:tcMar>
              <w:top w:w="80" w:type="dxa"/>
              <w:left w:w="80" w:type="dxa"/>
              <w:bottom w:w="80" w:type="dxa"/>
              <w:right w:w="80" w:type="dxa"/>
            </w:tcMar>
            <w:vAlign w:val="center"/>
          </w:tcPr>
          <w:p w14:paraId="6751D5C4" w14:textId="77777777" w:rsidR="00711A5F" w:rsidRPr="00F414E8" w:rsidRDefault="001F3FF7">
            <w:pPr>
              <w:rPr>
                <w:rFonts w:ascii="Times New Roman" w:hAnsi="Times New Roman" w:cs="Times New Roman"/>
              </w:rPr>
            </w:pPr>
            <w:r w:rsidRPr="00F414E8">
              <w:rPr>
                <w:rFonts w:ascii="Times New Roman" w:hAnsi="Times New Roman" w:cs="Times New Roman"/>
              </w:rPr>
              <w:t>Lim, Aklin &amp; Frank (2023)</w:t>
            </w:r>
          </w:p>
        </w:tc>
        <w:tc>
          <w:tcPr>
            <w:tcW w:w="2412" w:type="dxa"/>
            <w:tcMar>
              <w:top w:w="80" w:type="dxa"/>
              <w:left w:w="80" w:type="dxa"/>
              <w:bottom w:w="80" w:type="dxa"/>
              <w:right w:w="80" w:type="dxa"/>
            </w:tcMar>
            <w:vAlign w:val="center"/>
          </w:tcPr>
          <w:p w14:paraId="4982AEF2" w14:textId="77777777" w:rsidR="00711A5F" w:rsidRPr="00F414E8" w:rsidRDefault="001F3FF7">
            <w:pPr>
              <w:rPr>
                <w:rFonts w:ascii="Times New Roman" w:hAnsi="Times New Roman" w:cs="Times New Roman"/>
              </w:rPr>
            </w:pPr>
            <w:r w:rsidRPr="00F414E8">
              <w:rPr>
                <w:rFonts w:ascii="Times New Roman" w:hAnsi="Times New Roman" w:cs="Times New Roman"/>
              </w:rPr>
              <w:t>Research article</w:t>
            </w:r>
          </w:p>
        </w:tc>
        <w:tc>
          <w:tcPr>
            <w:tcW w:w="2412" w:type="dxa"/>
            <w:tcMar>
              <w:top w:w="80" w:type="dxa"/>
              <w:left w:w="80" w:type="dxa"/>
              <w:bottom w:w="80" w:type="dxa"/>
              <w:right w:w="80" w:type="dxa"/>
            </w:tcMar>
            <w:vAlign w:val="center"/>
          </w:tcPr>
          <w:p w14:paraId="357E6596" w14:textId="77777777" w:rsidR="00711A5F" w:rsidRPr="00F414E8" w:rsidRDefault="001F3FF7">
            <w:pPr>
              <w:rPr>
                <w:rFonts w:ascii="Times New Roman" w:hAnsi="Times New Roman" w:cs="Times New Roman"/>
              </w:rPr>
            </w:pPr>
            <w:r w:rsidRPr="00F414E8">
              <w:rPr>
                <w:rFonts w:ascii="Times New Roman" w:hAnsi="Times New Roman" w:cs="Times New Roman"/>
              </w:rPr>
              <w:t>Fossil-fuel workers, geographical barriers and just transition</w:t>
            </w:r>
          </w:p>
        </w:tc>
      </w:tr>
      <w:tr w:rsidR="00711A5F" w:rsidRPr="00F414E8" w14:paraId="45C5AADB" w14:textId="77777777">
        <w:trPr>
          <w:jc w:val="center"/>
        </w:trPr>
        <w:tc>
          <w:tcPr>
            <w:tcW w:w="2412" w:type="dxa"/>
            <w:tcMar>
              <w:top w:w="80" w:type="dxa"/>
              <w:left w:w="80" w:type="dxa"/>
              <w:bottom w:w="80" w:type="dxa"/>
              <w:right w:w="80" w:type="dxa"/>
            </w:tcMar>
            <w:vAlign w:val="center"/>
          </w:tcPr>
          <w:p w14:paraId="614F3E63" w14:textId="77777777" w:rsidR="00711A5F" w:rsidRPr="00F414E8" w:rsidRDefault="001F3FF7">
            <w:pPr>
              <w:rPr>
                <w:rFonts w:ascii="Times New Roman" w:hAnsi="Times New Roman" w:cs="Times New Roman"/>
              </w:rPr>
            </w:pPr>
            <w:r w:rsidRPr="00F414E8">
              <w:rPr>
                <w:rFonts w:ascii="Times New Roman" w:hAnsi="Times New Roman" w:cs="Times New Roman"/>
              </w:rPr>
              <w:t>5</w:t>
            </w:r>
          </w:p>
        </w:tc>
        <w:tc>
          <w:tcPr>
            <w:tcW w:w="2412" w:type="dxa"/>
            <w:tcMar>
              <w:top w:w="80" w:type="dxa"/>
              <w:left w:w="80" w:type="dxa"/>
              <w:bottom w:w="80" w:type="dxa"/>
              <w:right w:w="80" w:type="dxa"/>
            </w:tcMar>
            <w:vAlign w:val="center"/>
          </w:tcPr>
          <w:p w14:paraId="381936A1" w14:textId="77777777" w:rsidR="00711A5F" w:rsidRPr="00F414E8" w:rsidRDefault="001F3FF7">
            <w:pPr>
              <w:rPr>
                <w:rFonts w:ascii="Times New Roman" w:hAnsi="Times New Roman" w:cs="Times New Roman"/>
              </w:rPr>
            </w:pPr>
            <w:r w:rsidRPr="00F414E8">
              <w:rPr>
                <w:rFonts w:ascii="Times New Roman" w:hAnsi="Times New Roman" w:cs="Times New Roman"/>
              </w:rPr>
              <w:t>Emmerling et al. (2025)</w:t>
            </w:r>
          </w:p>
        </w:tc>
        <w:tc>
          <w:tcPr>
            <w:tcW w:w="2412" w:type="dxa"/>
            <w:tcMar>
              <w:top w:w="80" w:type="dxa"/>
              <w:left w:w="80" w:type="dxa"/>
              <w:bottom w:w="80" w:type="dxa"/>
              <w:right w:w="80" w:type="dxa"/>
            </w:tcMar>
            <w:vAlign w:val="center"/>
          </w:tcPr>
          <w:p w14:paraId="3A519016" w14:textId="77777777" w:rsidR="00711A5F" w:rsidRPr="00F414E8" w:rsidRDefault="001F3FF7">
            <w:pPr>
              <w:rPr>
                <w:rFonts w:ascii="Times New Roman" w:hAnsi="Times New Roman" w:cs="Times New Roman"/>
              </w:rPr>
            </w:pPr>
            <w:r w:rsidRPr="00F414E8">
              <w:rPr>
                <w:rFonts w:ascii="Times New Roman" w:hAnsi="Times New Roman" w:cs="Times New Roman"/>
              </w:rPr>
              <w:t>Original research article</w:t>
            </w:r>
          </w:p>
        </w:tc>
        <w:tc>
          <w:tcPr>
            <w:tcW w:w="2412" w:type="dxa"/>
            <w:tcMar>
              <w:top w:w="80" w:type="dxa"/>
              <w:left w:w="80" w:type="dxa"/>
              <w:bottom w:w="80" w:type="dxa"/>
              <w:right w:w="80" w:type="dxa"/>
            </w:tcMar>
            <w:vAlign w:val="center"/>
          </w:tcPr>
          <w:p w14:paraId="66116E69" w14:textId="77777777" w:rsidR="00711A5F" w:rsidRPr="00F414E8" w:rsidRDefault="001F3FF7">
            <w:pPr>
              <w:rPr>
                <w:rFonts w:ascii="Times New Roman" w:hAnsi="Times New Roman" w:cs="Times New Roman"/>
              </w:rPr>
            </w:pPr>
            <w:r w:rsidRPr="00F414E8">
              <w:rPr>
                <w:rFonts w:ascii="Times New Roman" w:hAnsi="Times New Roman" w:cs="Times New Roman"/>
              </w:rPr>
              <w:t>Europe's Net Zero pathway, jobs, skills and regional transition</w:t>
            </w:r>
          </w:p>
        </w:tc>
      </w:tr>
      <w:tr w:rsidR="00711A5F" w:rsidRPr="00F414E8" w14:paraId="2DE74AC2" w14:textId="77777777">
        <w:trPr>
          <w:jc w:val="center"/>
        </w:trPr>
        <w:tc>
          <w:tcPr>
            <w:tcW w:w="2412" w:type="dxa"/>
            <w:tcMar>
              <w:top w:w="80" w:type="dxa"/>
              <w:left w:w="80" w:type="dxa"/>
              <w:bottom w:w="80" w:type="dxa"/>
              <w:right w:w="80" w:type="dxa"/>
            </w:tcMar>
            <w:vAlign w:val="center"/>
          </w:tcPr>
          <w:p w14:paraId="4B385EF0" w14:textId="77777777" w:rsidR="00711A5F" w:rsidRPr="00F414E8" w:rsidRDefault="001F3FF7">
            <w:pPr>
              <w:rPr>
                <w:rFonts w:ascii="Times New Roman" w:hAnsi="Times New Roman" w:cs="Times New Roman"/>
              </w:rPr>
            </w:pPr>
            <w:r w:rsidRPr="00F414E8">
              <w:rPr>
                <w:rFonts w:ascii="Times New Roman" w:hAnsi="Times New Roman" w:cs="Times New Roman"/>
              </w:rPr>
              <w:t>6</w:t>
            </w:r>
          </w:p>
        </w:tc>
        <w:tc>
          <w:tcPr>
            <w:tcW w:w="2412" w:type="dxa"/>
            <w:tcMar>
              <w:top w:w="80" w:type="dxa"/>
              <w:left w:w="80" w:type="dxa"/>
              <w:bottom w:w="80" w:type="dxa"/>
              <w:right w:w="80" w:type="dxa"/>
            </w:tcMar>
            <w:vAlign w:val="center"/>
          </w:tcPr>
          <w:p w14:paraId="4C9EECB0" w14:textId="77777777" w:rsidR="00711A5F" w:rsidRPr="00F414E8" w:rsidRDefault="001F3FF7">
            <w:pPr>
              <w:rPr>
                <w:rFonts w:ascii="Times New Roman" w:hAnsi="Times New Roman" w:cs="Times New Roman"/>
              </w:rPr>
            </w:pPr>
            <w:r w:rsidRPr="00F414E8">
              <w:rPr>
                <w:rFonts w:ascii="Times New Roman" w:hAnsi="Times New Roman" w:cs="Times New Roman"/>
              </w:rPr>
              <w:t>IRENA &amp; ILO (2026)</w:t>
            </w:r>
          </w:p>
        </w:tc>
        <w:tc>
          <w:tcPr>
            <w:tcW w:w="2412" w:type="dxa"/>
            <w:tcMar>
              <w:top w:w="80" w:type="dxa"/>
              <w:left w:w="80" w:type="dxa"/>
              <w:bottom w:w="80" w:type="dxa"/>
              <w:right w:w="80" w:type="dxa"/>
            </w:tcMar>
            <w:vAlign w:val="center"/>
          </w:tcPr>
          <w:p w14:paraId="07EAEB11" w14:textId="77777777" w:rsidR="00711A5F" w:rsidRPr="00F414E8" w:rsidRDefault="001F3FF7">
            <w:pPr>
              <w:rPr>
                <w:rFonts w:ascii="Times New Roman" w:hAnsi="Times New Roman" w:cs="Times New Roman"/>
              </w:rPr>
            </w:pPr>
            <w:r w:rsidRPr="00F414E8">
              <w:rPr>
                <w:rFonts w:ascii="Times New Roman" w:hAnsi="Times New Roman" w:cs="Times New Roman"/>
              </w:rPr>
              <w:t>International report</w:t>
            </w:r>
          </w:p>
        </w:tc>
        <w:tc>
          <w:tcPr>
            <w:tcW w:w="2412" w:type="dxa"/>
            <w:tcMar>
              <w:top w:w="80" w:type="dxa"/>
              <w:left w:w="80" w:type="dxa"/>
              <w:bottom w:w="80" w:type="dxa"/>
              <w:right w:w="80" w:type="dxa"/>
            </w:tcMar>
            <w:vAlign w:val="center"/>
          </w:tcPr>
          <w:p w14:paraId="5A489775" w14:textId="77777777" w:rsidR="00711A5F" w:rsidRPr="00F414E8" w:rsidRDefault="001F3FF7">
            <w:pPr>
              <w:rPr>
                <w:rFonts w:ascii="Times New Roman" w:hAnsi="Times New Roman" w:cs="Times New Roman"/>
              </w:rPr>
            </w:pPr>
            <w:r w:rsidRPr="00F414E8">
              <w:rPr>
                <w:rFonts w:ascii="Times New Roman" w:hAnsi="Times New Roman" w:cs="Times New Roman"/>
              </w:rPr>
              <w:t>Renewable-energy employment and workforce trends</w:t>
            </w:r>
          </w:p>
        </w:tc>
      </w:tr>
      <w:tr w:rsidR="00711A5F" w:rsidRPr="00F414E8" w14:paraId="56CD27BA" w14:textId="77777777">
        <w:trPr>
          <w:jc w:val="center"/>
        </w:trPr>
        <w:tc>
          <w:tcPr>
            <w:tcW w:w="2412" w:type="dxa"/>
            <w:tcMar>
              <w:top w:w="80" w:type="dxa"/>
              <w:left w:w="80" w:type="dxa"/>
              <w:bottom w:w="80" w:type="dxa"/>
              <w:right w:w="80" w:type="dxa"/>
            </w:tcMar>
            <w:vAlign w:val="center"/>
          </w:tcPr>
          <w:p w14:paraId="1D2BB37E" w14:textId="77777777" w:rsidR="00711A5F" w:rsidRPr="00F414E8" w:rsidRDefault="001F3FF7">
            <w:pPr>
              <w:rPr>
                <w:rFonts w:ascii="Times New Roman" w:hAnsi="Times New Roman" w:cs="Times New Roman"/>
              </w:rPr>
            </w:pPr>
            <w:r w:rsidRPr="00F414E8">
              <w:rPr>
                <w:rFonts w:ascii="Times New Roman" w:hAnsi="Times New Roman" w:cs="Times New Roman"/>
              </w:rPr>
              <w:t>7</w:t>
            </w:r>
          </w:p>
        </w:tc>
        <w:tc>
          <w:tcPr>
            <w:tcW w:w="2412" w:type="dxa"/>
            <w:tcMar>
              <w:top w:w="80" w:type="dxa"/>
              <w:left w:w="80" w:type="dxa"/>
              <w:bottom w:w="80" w:type="dxa"/>
              <w:right w:w="80" w:type="dxa"/>
            </w:tcMar>
            <w:vAlign w:val="center"/>
          </w:tcPr>
          <w:p w14:paraId="3091B966" w14:textId="77777777" w:rsidR="00711A5F" w:rsidRPr="00F414E8" w:rsidRDefault="001F3FF7">
            <w:pPr>
              <w:rPr>
                <w:rFonts w:ascii="Times New Roman" w:hAnsi="Times New Roman" w:cs="Times New Roman"/>
              </w:rPr>
            </w:pPr>
            <w:r w:rsidRPr="00F414E8">
              <w:rPr>
                <w:rFonts w:ascii="Times New Roman" w:hAnsi="Times New Roman" w:cs="Times New Roman"/>
              </w:rPr>
              <w:t>ILO (2024)</w:t>
            </w:r>
          </w:p>
        </w:tc>
        <w:tc>
          <w:tcPr>
            <w:tcW w:w="2412" w:type="dxa"/>
            <w:tcMar>
              <w:top w:w="80" w:type="dxa"/>
              <w:left w:w="80" w:type="dxa"/>
              <w:bottom w:w="80" w:type="dxa"/>
              <w:right w:w="80" w:type="dxa"/>
            </w:tcMar>
            <w:vAlign w:val="center"/>
          </w:tcPr>
          <w:p w14:paraId="6182429D" w14:textId="77777777" w:rsidR="00711A5F" w:rsidRPr="00F414E8" w:rsidRDefault="001F3FF7">
            <w:pPr>
              <w:rPr>
                <w:rFonts w:ascii="Times New Roman" w:hAnsi="Times New Roman" w:cs="Times New Roman"/>
              </w:rPr>
            </w:pPr>
            <w:r w:rsidRPr="00F414E8">
              <w:rPr>
                <w:rFonts w:ascii="Times New Roman" w:hAnsi="Times New Roman" w:cs="Times New Roman"/>
              </w:rPr>
              <w:t>Policy brief</w:t>
            </w:r>
          </w:p>
        </w:tc>
        <w:tc>
          <w:tcPr>
            <w:tcW w:w="2412" w:type="dxa"/>
            <w:tcMar>
              <w:top w:w="80" w:type="dxa"/>
              <w:left w:w="80" w:type="dxa"/>
              <w:bottom w:w="80" w:type="dxa"/>
              <w:right w:w="80" w:type="dxa"/>
            </w:tcMar>
            <w:vAlign w:val="center"/>
          </w:tcPr>
          <w:p w14:paraId="5D426297" w14:textId="77777777" w:rsidR="00711A5F" w:rsidRPr="00F414E8" w:rsidRDefault="001F3FF7">
            <w:pPr>
              <w:rPr>
                <w:rFonts w:ascii="Times New Roman" w:hAnsi="Times New Roman" w:cs="Times New Roman"/>
              </w:rPr>
            </w:pPr>
            <w:r w:rsidRPr="00F414E8">
              <w:rPr>
                <w:rFonts w:ascii="Times New Roman" w:hAnsi="Times New Roman" w:cs="Times New Roman"/>
              </w:rPr>
              <w:t>India's green jobs and just-transition policy readiness</w:t>
            </w:r>
          </w:p>
        </w:tc>
      </w:tr>
      <w:tr w:rsidR="00711A5F" w:rsidRPr="00F414E8" w14:paraId="6CDD381A" w14:textId="77777777">
        <w:trPr>
          <w:jc w:val="center"/>
        </w:trPr>
        <w:tc>
          <w:tcPr>
            <w:tcW w:w="2412" w:type="dxa"/>
            <w:tcMar>
              <w:top w:w="80" w:type="dxa"/>
              <w:left w:w="80" w:type="dxa"/>
              <w:bottom w:w="80" w:type="dxa"/>
              <w:right w:w="80" w:type="dxa"/>
            </w:tcMar>
            <w:vAlign w:val="center"/>
          </w:tcPr>
          <w:p w14:paraId="1779E17D" w14:textId="77777777" w:rsidR="00711A5F" w:rsidRPr="00F414E8" w:rsidRDefault="001F3FF7">
            <w:pPr>
              <w:rPr>
                <w:rFonts w:ascii="Times New Roman" w:hAnsi="Times New Roman" w:cs="Times New Roman"/>
              </w:rPr>
            </w:pPr>
            <w:r w:rsidRPr="00F414E8">
              <w:rPr>
                <w:rFonts w:ascii="Times New Roman" w:hAnsi="Times New Roman" w:cs="Times New Roman"/>
              </w:rPr>
              <w:t>8</w:t>
            </w:r>
          </w:p>
        </w:tc>
        <w:tc>
          <w:tcPr>
            <w:tcW w:w="2412" w:type="dxa"/>
            <w:tcMar>
              <w:top w:w="80" w:type="dxa"/>
              <w:left w:w="80" w:type="dxa"/>
              <w:bottom w:w="80" w:type="dxa"/>
              <w:right w:w="80" w:type="dxa"/>
            </w:tcMar>
            <w:vAlign w:val="center"/>
          </w:tcPr>
          <w:p w14:paraId="39CC46DC" w14:textId="77777777" w:rsidR="00711A5F" w:rsidRPr="00F414E8" w:rsidRDefault="001F3FF7">
            <w:pPr>
              <w:rPr>
                <w:rFonts w:ascii="Times New Roman" w:hAnsi="Times New Roman" w:cs="Times New Roman"/>
              </w:rPr>
            </w:pPr>
            <w:r w:rsidRPr="00F414E8">
              <w:rPr>
                <w:rFonts w:ascii="Times New Roman" w:hAnsi="Times New Roman" w:cs="Times New Roman"/>
              </w:rPr>
              <w:t>ILO (2025)</w:t>
            </w:r>
          </w:p>
        </w:tc>
        <w:tc>
          <w:tcPr>
            <w:tcW w:w="2412" w:type="dxa"/>
            <w:tcMar>
              <w:top w:w="80" w:type="dxa"/>
              <w:left w:w="80" w:type="dxa"/>
              <w:bottom w:w="80" w:type="dxa"/>
              <w:right w:w="80" w:type="dxa"/>
            </w:tcMar>
            <w:vAlign w:val="center"/>
          </w:tcPr>
          <w:p w14:paraId="6CC74694" w14:textId="77777777" w:rsidR="00711A5F" w:rsidRPr="00F414E8" w:rsidRDefault="001F3FF7">
            <w:pPr>
              <w:rPr>
                <w:rFonts w:ascii="Times New Roman" w:hAnsi="Times New Roman" w:cs="Times New Roman"/>
              </w:rPr>
            </w:pPr>
            <w:r w:rsidRPr="00F414E8">
              <w:rPr>
                <w:rFonts w:ascii="Times New Roman" w:hAnsi="Times New Roman" w:cs="Times New Roman"/>
              </w:rPr>
              <w:t>International report</w:t>
            </w:r>
          </w:p>
        </w:tc>
        <w:tc>
          <w:tcPr>
            <w:tcW w:w="2412" w:type="dxa"/>
            <w:tcMar>
              <w:top w:w="80" w:type="dxa"/>
              <w:left w:w="80" w:type="dxa"/>
              <w:bottom w:w="80" w:type="dxa"/>
              <w:right w:w="80" w:type="dxa"/>
            </w:tcMar>
            <w:vAlign w:val="center"/>
          </w:tcPr>
          <w:p w14:paraId="33EB81BE" w14:textId="77777777" w:rsidR="00711A5F" w:rsidRPr="00F414E8" w:rsidRDefault="001F3FF7">
            <w:pPr>
              <w:rPr>
                <w:rFonts w:ascii="Times New Roman" w:hAnsi="Times New Roman" w:cs="Times New Roman"/>
              </w:rPr>
            </w:pPr>
            <w:r w:rsidRPr="00F414E8">
              <w:rPr>
                <w:rFonts w:ascii="Times New Roman" w:hAnsi="Times New Roman" w:cs="Times New Roman"/>
              </w:rPr>
              <w:t>Green/digital transitions, skills and Workforce 2030</w:t>
            </w:r>
          </w:p>
        </w:tc>
      </w:tr>
      <w:tr w:rsidR="00711A5F" w:rsidRPr="00F414E8" w14:paraId="44B4BA5A" w14:textId="77777777">
        <w:trPr>
          <w:jc w:val="center"/>
        </w:trPr>
        <w:tc>
          <w:tcPr>
            <w:tcW w:w="2412" w:type="dxa"/>
            <w:tcMar>
              <w:top w:w="80" w:type="dxa"/>
              <w:left w:w="80" w:type="dxa"/>
              <w:bottom w:w="80" w:type="dxa"/>
              <w:right w:w="80" w:type="dxa"/>
            </w:tcMar>
            <w:vAlign w:val="center"/>
          </w:tcPr>
          <w:p w14:paraId="7DBE34BA" w14:textId="77777777" w:rsidR="00711A5F" w:rsidRPr="00F414E8" w:rsidRDefault="001F3FF7">
            <w:pPr>
              <w:rPr>
                <w:rFonts w:ascii="Times New Roman" w:hAnsi="Times New Roman" w:cs="Times New Roman"/>
              </w:rPr>
            </w:pPr>
            <w:r w:rsidRPr="00F414E8">
              <w:rPr>
                <w:rFonts w:ascii="Times New Roman" w:hAnsi="Times New Roman" w:cs="Times New Roman"/>
              </w:rPr>
              <w:t>9</w:t>
            </w:r>
          </w:p>
        </w:tc>
        <w:tc>
          <w:tcPr>
            <w:tcW w:w="2412" w:type="dxa"/>
            <w:tcMar>
              <w:top w:w="80" w:type="dxa"/>
              <w:left w:w="80" w:type="dxa"/>
              <w:bottom w:w="80" w:type="dxa"/>
              <w:right w:w="80" w:type="dxa"/>
            </w:tcMar>
            <w:vAlign w:val="center"/>
          </w:tcPr>
          <w:p w14:paraId="04F9CA5F" w14:textId="77777777" w:rsidR="00711A5F" w:rsidRPr="00F414E8" w:rsidRDefault="001F3FF7">
            <w:pPr>
              <w:rPr>
                <w:rFonts w:ascii="Times New Roman" w:hAnsi="Times New Roman" w:cs="Times New Roman"/>
              </w:rPr>
            </w:pPr>
            <w:r w:rsidRPr="00F414E8">
              <w:rPr>
                <w:rFonts w:ascii="Times New Roman" w:hAnsi="Times New Roman" w:cs="Times New Roman"/>
              </w:rPr>
              <w:t>Bag et al. (2026)</w:t>
            </w:r>
          </w:p>
        </w:tc>
        <w:tc>
          <w:tcPr>
            <w:tcW w:w="2412" w:type="dxa"/>
            <w:tcMar>
              <w:top w:w="80" w:type="dxa"/>
              <w:left w:w="80" w:type="dxa"/>
              <w:bottom w:w="80" w:type="dxa"/>
              <w:right w:w="80" w:type="dxa"/>
            </w:tcMar>
            <w:vAlign w:val="center"/>
          </w:tcPr>
          <w:p w14:paraId="7DD5494B" w14:textId="77777777" w:rsidR="00711A5F" w:rsidRPr="00F414E8" w:rsidRDefault="001F3FF7">
            <w:pPr>
              <w:rPr>
                <w:rFonts w:ascii="Times New Roman" w:hAnsi="Times New Roman" w:cs="Times New Roman"/>
              </w:rPr>
            </w:pPr>
            <w:r w:rsidRPr="00F414E8">
              <w:rPr>
                <w:rFonts w:ascii="Times New Roman" w:hAnsi="Times New Roman" w:cs="Times New Roman"/>
              </w:rPr>
              <w:t>Research article</w:t>
            </w:r>
          </w:p>
        </w:tc>
        <w:tc>
          <w:tcPr>
            <w:tcW w:w="2412" w:type="dxa"/>
            <w:tcMar>
              <w:top w:w="80" w:type="dxa"/>
              <w:left w:w="80" w:type="dxa"/>
              <w:bottom w:w="80" w:type="dxa"/>
              <w:right w:w="80" w:type="dxa"/>
            </w:tcMar>
            <w:vAlign w:val="center"/>
          </w:tcPr>
          <w:p w14:paraId="7A69B795" w14:textId="77777777" w:rsidR="00711A5F" w:rsidRPr="00F414E8" w:rsidRDefault="001F3FF7">
            <w:pPr>
              <w:rPr>
                <w:rFonts w:ascii="Times New Roman" w:hAnsi="Times New Roman" w:cs="Times New Roman"/>
              </w:rPr>
            </w:pPr>
            <w:r w:rsidRPr="00F414E8">
              <w:rPr>
                <w:rFonts w:ascii="Times New Roman" w:hAnsi="Times New Roman" w:cs="Times New Roman"/>
              </w:rPr>
              <w:t>Green and sustainable jobs in India</w:t>
            </w:r>
          </w:p>
        </w:tc>
      </w:tr>
      <w:tr w:rsidR="00711A5F" w:rsidRPr="00F414E8" w14:paraId="189007C4" w14:textId="77777777">
        <w:trPr>
          <w:jc w:val="center"/>
        </w:trPr>
        <w:tc>
          <w:tcPr>
            <w:tcW w:w="2412" w:type="dxa"/>
            <w:tcMar>
              <w:top w:w="80" w:type="dxa"/>
              <w:left w:w="80" w:type="dxa"/>
              <w:bottom w:w="80" w:type="dxa"/>
              <w:right w:w="80" w:type="dxa"/>
            </w:tcMar>
            <w:vAlign w:val="center"/>
          </w:tcPr>
          <w:p w14:paraId="645DE5D6" w14:textId="77777777" w:rsidR="00711A5F" w:rsidRPr="00F414E8" w:rsidRDefault="001F3FF7">
            <w:pPr>
              <w:rPr>
                <w:rFonts w:ascii="Times New Roman" w:hAnsi="Times New Roman" w:cs="Times New Roman"/>
              </w:rPr>
            </w:pPr>
            <w:r w:rsidRPr="00F414E8">
              <w:rPr>
                <w:rFonts w:ascii="Times New Roman" w:hAnsi="Times New Roman" w:cs="Times New Roman"/>
              </w:rPr>
              <w:t>10</w:t>
            </w:r>
          </w:p>
        </w:tc>
        <w:tc>
          <w:tcPr>
            <w:tcW w:w="2412" w:type="dxa"/>
            <w:tcMar>
              <w:top w:w="80" w:type="dxa"/>
              <w:left w:w="80" w:type="dxa"/>
              <w:bottom w:w="80" w:type="dxa"/>
              <w:right w:w="80" w:type="dxa"/>
            </w:tcMar>
            <w:vAlign w:val="center"/>
          </w:tcPr>
          <w:p w14:paraId="0147261A" w14:textId="77777777" w:rsidR="00711A5F" w:rsidRPr="00F414E8" w:rsidRDefault="001F3FF7">
            <w:pPr>
              <w:rPr>
                <w:rFonts w:ascii="Times New Roman" w:hAnsi="Times New Roman" w:cs="Times New Roman"/>
              </w:rPr>
            </w:pPr>
            <w:r w:rsidRPr="00F414E8">
              <w:rPr>
                <w:rFonts w:ascii="Times New Roman" w:hAnsi="Times New Roman" w:cs="Times New Roman"/>
              </w:rPr>
              <w:t>Benlaria et al. (2026)</w:t>
            </w:r>
          </w:p>
        </w:tc>
        <w:tc>
          <w:tcPr>
            <w:tcW w:w="2412" w:type="dxa"/>
            <w:tcMar>
              <w:top w:w="80" w:type="dxa"/>
              <w:left w:w="80" w:type="dxa"/>
              <w:bottom w:w="80" w:type="dxa"/>
              <w:right w:w="80" w:type="dxa"/>
            </w:tcMar>
            <w:vAlign w:val="center"/>
          </w:tcPr>
          <w:p w14:paraId="218D6161" w14:textId="77777777" w:rsidR="00711A5F" w:rsidRPr="00F414E8" w:rsidRDefault="001F3FF7">
            <w:pPr>
              <w:rPr>
                <w:rFonts w:ascii="Times New Roman" w:hAnsi="Times New Roman" w:cs="Times New Roman"/>
              </w:rPr>
            </w:pPr>
            <w:r w:rsidRPr="00F414E8">
              <w:rPr>
                <w:rFonts w:ascii="Times New Roman" w:hAnsi="Times New Roman" w:cs="Times New Roman"/>
              </w:rPr>
              <w:t>Research article</w:t>
            </w:r>
          </w:p>
        </w:tc>
        <w:tc>
          <w:tcPr>
            <w:tcW w:w="2412" w:type="dxa"/>
            <w:tcMar>
              <w:top w:w="80" w:type="dxa"/>
              <w:left w:w="80" w:type="dxa"/>
              <w:bottom w:w="80" w:type="dxa"/>
              <w:right w:w="80" w:type="dxa"/>
            </w:tcMar>
            <w:vAlign w:val="center"/>
          </w:tcPr>
          <w:p w14:paraId="47DD86FA" w14:textId="77777777" w:rsidR="00711A5F" w:rsidRPr="00F414E8" w:rsidRDefault="001F3FF7">
            <w:pPr>
              <w:rPr>
                <w:rFonts w:ascii="Times New Roman" w:hAnsi="Times New Roman" w:cs="Times New Roman"/>
              </w:rPr>
            </w:pPr>
            <w:r w:rsidRPr="00F414E8">
              <w:rPr>
                <w:rFonts w:ascii="Times New Roman" w:hAnsi="Times New Roman" w:cs="Times New Roman"/>
              </w:rPr>
              <w:t>Environmental sustainability, economic growth and green employment</w:t>
            </w:r>
          </w:p>
        </w:tc>
      </w:tr>
    </w:tbl>
    <w:p w14:paraId="6886AB63" w14:textId="77777777" w:rsidR="00711A5F" w:rsidRPr="00F414E8" w:rsidRDefault="00711A5F">
      <w:pPr>
        <w:rPr>
          <w:rFonts w:ascii="Times New Roman" w:hAnsi="Times New Roman" w:cs="Times New Roman"/>
        </w:rPr>
      </w:pPr>
    </w:p>
    <w:p w14:paraId="1169F638" w14:textId="77777777" w:rsidR="00711A5F" w:rsidRPr="00F414E8" w:rsidRDefault="001F3FF7">
      <w:pPr>
        <w:pStyle w:val="Heading1"/>
        <w:rPr>
          <w:rFonts w:ascii="Times New Roman" w:hAnsi="Times New Roman" w:cs="Times New Roman"/>
          <w:sz w:val="40"/>
          <w:szCs w:val="40"/>
        </w:rPr>
      </w:pPr>
      <w:r w:rsidRPr="00F414E8">
        <w:rPr>
          <w:rFonts w:ascii="Times New Roman" w:hAnsi="Times New Roman" w:cs="Times New Roman"/>
          <w:sz w:val="40"/>
          <w:szCs w:val="40"/>
        </w:rPr>
        <w:t>3. Thematic Analysis</w:t>
      </w:r>
    </w:p>
    <w:p w14:paraId="2917827C" w14:textId="77777777" w:rsidR="00711A5F" w:rsidRPr="00F414E8" w:rsidRDefault="001F3FF7">
      <w:pPr>
        <w:pStyle w:val="Heading2"/>
        <w:rPr>
          <w:rFonts w:ascii="Times New Roman" w:hAnsi="Times New Roman" w:cs="Times New Roman"/>
        </w:rPr>
      </w:pPr>
      <w:r w:rsidRPr="00F414E8">
        <w:rPr>
          <w:rFonts w:ascii="Times New Roman" w:hAnsi="Times New Roman" w:cs="Times New Roman"/>
        </w:rPr>
        <w:t>3.1 Theme 1: Defining Green Jobs and Their Relationship with Sustainability</w:t>
      </w:r>
    </w:p>
    <w:p w14:paraId="05F5951C" w14:textId="77777777" w:rsidR="00711A5F" w:rsidRPr="00F414E8" w:rsidRDefault="001F3FF7">
      <w:pPr>
        <w:rPr>
          <w:rFonts w:ascii="Times New Roman" w:hAnsi="Times New Roman" w:cs="Times New Roman"/>
        </w:rPr>
      </w:pPr>
      <w:r w:rsidRPr="00F414E8">
        <w:rPr>
          <w:rFonts w:ascii="Times New Roman" w:hAnsi="Times New Roman" w:cs="Times New Roman"/>
        </w:rPr>
        <w:t>The first recurring theme is the difficulty of establishing a single definition of green jobs. Stanef-Puică et al. found that there is no uniform definition across the literature, although many studies continue to connect green jobs with the original Green Jobs Initiative definition [1]. Their review identifies repeated links between green jobs and sustainable development, the green economy, circular economy, renewable energy and employment.</w:t>
      </w:r>
    </w:p>
    <w:p w14:paraId="39660048" w14:textId="77777777" w:rsidR="00711A5F" w:rsidRPr="00F414E8" w:rsidRDefault="001F3FF7">
      <w:pPr>
        <w:rPr>
          <w:rFonts w:ascii="Times New Roman" w:hAnsi="Times New Roman" w:cs="Times New Roman"/>
        </w:rPr>
      </w:pPr>
      <w:r w:rsidRPr="00F414E8">
        <w:rPr>
          <w:rFonts w:ascii="Times New Roman" w:hAnsi="Times New Roman" w:cs="Times New Roman"/>
        </w:rPr>
        <w:lastRenderedPageBreak/>
        <w:t>The lack of a universal definition is more than a terminology problem. It affects how green jobs are measured, how countries compare employment trends and how governments decide which sectors should receive support. The ILO's assessment of India similarly reports that there is no widely held definition of green jobs or just transition and that guidance for assessing employment impacts remains limited [7]. This indicates that the measurement challenge appears both in academic literature and in practical policy development.</w:t>
      </w:r>
    </w:p>
    <w:p w14:paraId="19258AF9" w14:textId="77777777" w:rsidR="00711A5F" w:rsidRPr="00F414E8" w:rsidRDefault="001F3FF7">
      <w:pPr>
        <w:rPr>
          <w:rFonts w:ascii="Times New Roman" w:hAnsi="Times New Roman" w:cs="Times New Roman"/>
        </w:rPr>
      </w:pPr>
      <w:r w:rsidRPr="00F414E8">
        <w:rPr>
          <w:rFonts w:ascii="Times New Roman" w:hAnsi="Times New Roman" w:cs="Times New Roman"/>
        </w:rPr>
        <w:t>The reviewed sources nevertheless share a broad understanding: green employment connects environmental improvement with economic and social outcomes. This means that sustainability should not be treated only as an environmental issue. Green jobs sit at the intersection of environmental protection, employment, skills, business activity and social inclusion.</w:t>
      </w:r>
    </w:p>
    <w:p w14:paraId="50512A81" w14:textId="77777777" w:rsidR="00711A5F" w:rsidRPr="00F414E8" w:rsidRDefault="001F3FF7">
      <w:pPr>
        <w:pStyle w:val="Heading2"/>
        <w:rPr>
          <w:rFonts w:ascii="Times New Roman" w:hAnsi="Times New Roman" w:cs="Times New Roman"/>
        </w:rPr>
      </w:pPr>
      <w:r w:rsidRPr="00F414E8">
        <w:rPr>
          <w:rFonts w:ascii="Times New Roman" w:hAnsi="Times New Roman" w:cs="Times New Roman"/>
        </w:rPr>
        <w:t>3.2 Theme 2: Green Jobs as an Emerging Source of Employment</w:t>
      </w:r>
    </w:p>
    <w:p w14:paraId="54D86B9B" w14:textId="77777777" w:rsidR="00711A5F" w:rsidRPr="00F414E8" w:rsidRDefault="001F3FF7">
      <w:pPr>
        <w:rPr>
          <w:rFonts w:ascii="Times New Roman" w:hAnsi="Times New Roman" w:cs="Times New Roman"/>
        </w:rPr>
      </w:pPr>
      <w:r w:rsidRPr="00F414E8">
        <w:rPr>
          <w:rFonts w:ascii="Times New Roman" w:hAnsi="Times New Roman" w:cs="Times New Roman"/>
        </w:rPr>
        <w:t>A second major theme is the growth of employment opportunities associated with the transition to cleaner economic activities. Renewable energy is the clearest example. The IRENA and ILO Renewable Energy and Jobs Annual Review reports 16.6 million renewable-energy jobs globally in 2024 [6]. It also emphasizes that continued renewable-energy deployment can expand employment, although employment growth is affected by investment, public policy, technology, supply chains and productivity.</w:t>
      </w:r>
    </w:p>
    <w:p w14:paraId="0DA503DC" w14:textId="77777777" w:rsidR="00711A5F" w:rsidRPr="00F414E8" w:rsidRDefault="001F3FF7">
      <w:pPr>
        <w:rPr>
          <w:rFonts w:ascii="Times New Roman" w:hAnsi="Times New Roman" w:cs="Times New Roman"/>
        </w:rPr>
      </w:pPr>
      <w:r w:rsidRPr="00F414E8">
        <w:rPr>
          <w:rFonts w:ascii="Times New Roman" w:hAnsi="Times New Roman" w:cs="Times New Roman"/>
        </w:rPr>
        <w:t>The European evidence provides another perspective. Emmerling et al. project that Europe's energy jobs could rise from about 1.3 million today to more than 2 million under current policies and approximately 2.5–3 million under a Net Zero pathway by 2050 [5]. Under the Net Zero scenario, renewable energy is projected to account for the large majority of energy jobs, with solar photovoltaic employment representing a particularly large share of future growth.</w:t>
      </w:r>
    </w:p>
    <w:p w14:paraId="0E91CDA4" w14:textId="77777777" w:rsidR="00711A5F" w:rsidRPr="00F414E8" w:rsidRDefault="001F3FF7">
      <w:pPr>
        <w:rPr>
          <w:rFonts w:ascii="Times New Roman" w:hAnsi="Times New Roman" w:cs="Times New Roman"/>
        </w:rPr>
      </w:pPr>
      <w:r w:rsidRPr="00F414E8">
        <w:rPr>
          <w:rFonts w:ascii="Times New Roman" w:hAnsi="Times New Roman" w:cs="Times New Roman"/>
        </w:rPr>
        <w:t>The evidence therefore supports an important distinction: the green transition can create substantial new employment, but the creation of new jobs does not automatically compensate for job losses in declining industries in every location. The overall employment outcome depends on sector, region, technology, policy and worker characteristics.</w:t>
      </w:r>
    </w:p>
    <w:p w14:paraId="0A8AC155" w14:textId="77777777" w:rsidR="00711A5F" w:rsidRPr="00F414E8" w:rsidRDefault="001F3FF7">
      <w:pPr>
        <w:rPr>
          <w:rFonts w:ascii="Times New Roman" w:hAnsi="Times New Roman" w:cs="Times New Roman"/>
        </w:rPr>
      </w:pPr>
      <w:r w:rsidRPr="00F414E8">
        <w:rPr>
          <w:rFonts w:ascii="Times New Roman" w:hAnsi="Times New Roman" w:cs="Times New Roman"/>
        </w:rPr>
        <w:t>The SME literature adds another dimension. Olekanma et al. reviewed 70 studies and identified three main clusters: green jobs and green human resource management; green innovation, green initiatives, green strategy and circular economy; and carbon-footprint reduction and carbon management [2]. The review concludes that carbon-reduction initiatives can act as direct or indirect catalysts for green-job opportunities, but also notes that the connection between SME greening initiatives and actual job creation remains under-researched [2].</w:t>
      </w:r>
    </w:p>
    <w:p w14:paraId="08278890" w14:textId="77777777" w:rsidR="00711A5F" w:rsidRPr="00F414E8" w:rsidRDefault="001F3FF7">
      <w:pPr>
        <w:pStyle w:val="Heading2"/>
        <w:rPr>
          <w:rFonts w:ascii="Times New Roman" w:hAnsi="Times New Roman" w:cs="Times New Roman"/>
        </w:rPr>
      </w:pPr>
      <w:r w:rsidRPr="00F414E8">
        <w:rPr>
          <w:rFonts w:ascii="Times New Roman" w:hAnsi="Times New Roman" w:cs="Times New Roman"/>
        </w:rPr>
        <w:t>3.3 Theme 3: Green Skills and Workforce Transformation</w:t>
      </w:r>
    </w:p>
    <w:p w14:paraId="6FAEB601" w14:textId="77777777" w:rsidR="00711A5F" w:rsidRPr="00F414E8" w:rsidRDefault="001F3FF7">
      <w:pPr>
        <w:rPr>
          <w:rFonts w:ascii="Times New Roman" w:hAnsi="Times New Roman" w:cs="Times New Roman"/>
        </w:rPr>
      </w:pPr>
      <w:r w:rsidRPr="00F414E8">
        <w:rPr>
          <w:rFonts w:ascii="Times New Roman" w:hAnsi="Times New Roman" w:cs="Times New Roman"/>
        </w:rPr>
        <w:t>The third and one of the strongest themes is the changing skill requirements associated with green employment. Consoli et al. compare green and non-green occupations and find that green occupations use non-routine cognitive skills more and routine cognitive skills less than non-green occupations. They also report higher levels of formal education, work experience and on-the-job training in occupations whose skill content is changing because of the green transition [3].</w:t>
      </w:r>
    </w:p>
    <w:p w14:paraId="1C893F53" w14:textId="77777777" w:rsidR="00711A5F" w:rsidRPr="00F414E8" w:rsidRDefault="001F3FF7">
      <w:pPr>
        <w:rPr>
          <w:rFonts w:ascii="Times New Roman" w:hAnsi="Times New Roman" w:cs="Times New Roman"/>
        </w:rPr>
      </w:pPr>
      <w:r w:rsidRPr="00F414E8">
        <w:rPr>
          <w:rFonts w:ascii="Times New Roman" w:hAnsi="Times New Roman" w:cs="Times New Roman"/>
        </w:rPr>
        <w:t>This suggests that the green transition is not simply a process of replacing one set of occupations with another. Existing jobs can become greener, requiring workers to combine existing occupational knowledge with new environmental, technical or digital capabilities. This is particularly important for policy because it means that reskilling and upskilling can be as important as creating entirely new training programmes.</w:t>
      </w:r>
    </w:p>
    <w:p w14:paraId="584F0979" w14:textId="77777777" w:rsidR="00711A5F" w:rsidRPr="00F414E8" w:rsidRDefault="001F3FF7">
      <w:pPr>
        <w:rPr>
          <w:rFonts w:ascii="Times New Roman" w:hAnsi="Times New Roman" w:cs="Times New Roman"/>
        </w:rPr>
      </w:pPr>
      <w:r w:rsidRPr="00F414E8">
        <w:rPr>
          <w:rFonts w:ascii="Times New Roman" w:hAnsi="Times New Roman" w:cs="Times New Roman"/>
        </w:rPr>
        <w:t>The IRENA and ILO report reaches a similar conclusion for renewable energy. It states that education and training, including upskilling and reskilling, are essential for building the future energy workforce [6]. The report also highlights the importance of matching qualifications with emerging skill demands and improving information about skill supply and demand.</w:t>
      </w:r>
    </w:p>
    <w:p w14:paraId="6B2B5B3E" w14:textId="77777777" w:rsidR="00711A5F" w:rsidRPr="00F414E8" w:rsidRDefault="001F3FF7">
      <w:pPr>
        <w:rPr>
          <w:rFonts w:ascii="Times New Roman" w:hAnsi="Times New Roman" w:cs="Times New Roman"/>
        </w:rPr>
      </w:pPr>
      <w:r w:rsidRPr="00F414E8">
        <w:rPr>
          <w:rFonts w:ascii="Times New Roman" w:hAnsi="Times New Roman" w:cs="Times New Roman"/>
        </w:rPr>
        <w:lastRenderedPageBreak/>
        <w:t>The ILO Workforce 2030 report broadens this discussion by connecting green and digital transitions. It identifies basic green awareness, digital skills, systems thinking, problem-solving, communication and technical capabilities as important areas of future skill development [8]. It also notes that data analysis and information-management skills are becoming increasingly important alongside environmental knowledge.</w:t>
      </w:r>
    </w:p>
    <w:p w14:paraId="79585620" w14:textId="77777777" w:rsidR="00711A5F" w:rsidRPr="00F414E8" w:rsidRDefault="001F3FF7">
      <w:pPr>
        <w:rPr>
          <w:rFonts w:ascii="Times New Roman" w:hAnsi="Times New Roman" w:cs="Times New Roman"/>
        </w:rPr>
      </w:pPr>
      <w:r w:rsidRPr="00F414E8">
        <w:rPr>
          <w:rFonts w:ascii="Times New Roman" w:hAnsi="Times New Roman" w:cs="Times New Roman"/>
        </w:rPr>
        <w:t>Taken together, these findings suggest that future green employment will require a combination of technical and transferable skills. Training systems that focus only on narrow technical qualifications may therefore be insufficient. Lifelong learning, workplace learning, apprenticeships, reskilling and flexible certification are likely to become increasingly important.</w:t>
      </w:r>
    </w:p>
    <w:p w14:paraId="4CED0C86" w14:textId="77777777" w:rsidR="00711A5F" w:rsidRPr="00F414E8" w:rsidRDefault="001F3FF7">
      <w:pPr>
        <w:pStyle w:val="Heading2"/>
        <w:rPr>
          <w:rFonts w:ascii="Times New Roman" w:hAnsi="Times New Roman" w:cs="Times New Roman"/>
        </w:rPr>
      </w:pPr>
      <w:r w:rsidRPr="00F414E8">
        <w:rPr>
          <w:rFonts w:ascii="Times New Roman" w:hAnsi="Times New Roman" w:cs="Times New Roman"/>
        </w:rPr>
        <w:t>3.4 Theme 4: Renewable Energy and Green Industry as Major Employment Drivers</w:t>
      </w:r>
    </w:p>
    <w:p w14:paraId="3D06571B" w14:textId="77777777" w:rsidR="00711A5F" w:rsidRPr="00F414E8" w:rsidRDefault="001F3FF7">
      <w:pPr>
        <w:rPr>
          <w:rFonts w:ascii="Times New Roman" w:hAnsi="Times New Roman" w:cs="Times New Roman"/>
        </w:rPr>
      </w:pPr>
      <w:r w:rsidRPr="00F414E8">
        <w:rPr>
          <w:rFonts w:ascii="Times New Roman" w:hAnsi="Times New Roman" w:cs="Times New Roman"/>
        </w:rPr>
        <w:t>Renewable energy is consistently identified as a major source of green employment. The IRENA and ILO review shows that renewable-energy employment spans solar photovoltaic, wind, hydropower, bioenergy, solar heating and cooling, geothermal energy and other technologies [6]. Employment is distributed across manufacturing, construction and installation, operations and maintenance, services and supply chains.</w:t>
      </w:r>
    </w:p>
    <w:p w14:paraId="37488C43" w14:textId="77777777" w:rsidR="00711A5F" w:rsidRPr="00F414E8" w:rsidRDefault="001F3FF7">
      <w:pPr>
        <w:rPr>
          <w:rFonts w:ascii="Times New Roman" w:hAnsi="Times New Roman" w:cs="Times New Roman"/>
        </w:rPr>
      </w:pPr>
      <w:r w:rsidRPr="00F414E8">
        <w:rPr>
          <w:rFonts w:ascii="Times New Roman" w:hAnsi="Times New Roman" w:cs="Times New Roman"/>
        </w:rPr>
        <w:t>The report also shows that employment growth is uneven. China remains the largest location for renewable-energy jobs, and differences between regions reflect investment levels, industrial capacity, supply-chain structures, technology dependence and the availability of skilled labour [6]. This means that renewable-energy growth does not produce the same employment outcomes everywhere.</w:t>
      </w:r>
    </w:p>
    <w:p w14:paraId="7539BDEE" w14:textId="77777777" w:rsidR="00711A5F" w:rsidRPr="00F414E8" w:rsidRDefault="001F3FF7">
      <w:pPr>
        <w:rPr>
          <w:rFonts w:ascii="Times New Roman" w:hAnsi="Times New Roman" w:cs="Times New Roman"/>
        </w:rPr>
      </w:pPr>
      <w:r w:rsidRPr="00F414E8">
        <w:rPr>
          <w:rFonts w:ascii="Times New Roman" w:hAnsi="Times New Roman" w:cs="Times New Roman"/>
        </w:rPr>
        <w:t>The Indian literature also emphasizes renewable energy. The India-focused study by Bag et al. describes renewable energy as an important source of employment and discusses opportunities across manufacturing, installation, operations and maintenance, research and development, and related supply chains [9]. The ILO India policy assessment similarly expects strong job growth in renewable energy and energy efficiency while recognizing declines in carbon-intensive activities [7].</w:t>
      </w:r>
    </w:p>
    <w:p w14:paraId="43383A43" w14:textId="77777777" w:rsidR="00711A5F" w:rsidRPr="00F414E8" w:rsidRDefault="001F3FF7">
      <w:pPr>
        <w:rPr>
          <w:rFonts w:ascii="Times New Roman" w:hAnsi="Times New Roman" w:cs="Times New Roman"/>
        </w:rPr>
      </w:pPr>
      <w:r w:rsidRPr="00F414E8">
        <w:rPr>
          <w:rFonts w:ascii="Times New Roman" w:hAnsi="Times New Roman" w:cs="Times New Roman"/>
        </w:rPr>
        <w:t>These sources collectively indicate that renewable energy should be viewed as an ecosystem of employment rather than only as a group of technical power-generation jobs. Manufacturing, logistics, construction, planning, finance, maintenance, environmental services and business support can all be affected by renewable-energy investment.</w:t>
      </w:r>
    </w:p>
    <w:p w14:paraId="5F1FFE45" w14:textId="77777777" w:rsidR="00711A5F" w:rsidRPr="00F414E8" w:rsidRDefault="001F3FF7">
      <w:pPr>
        <w:pStyle w:val="Heading2"/>
        <w:rPr>
          <w:rFonts w:ascii="Times New Roman" w:hAnsi="Times New Roman" w:cs="Times New Roman"/>
        </w:rPr>
      </w:pPr>
      <w:r w:rsidRPr="00F414E8">
        <w:rPr>
          <w:rFonts w:ascii="Times New Roman" w:hAnsi="Times New Roman" w:cs="Times New Roman"/>
        </w:rPr>
        <w:t>3.5 Theme 5: Just Transition, Job Displacement and Regional Inequality</w:t>
      </w:r>
    </w:p>
    <w:p w14:paraId="696A866A" w14:textId="77777777" w:rsidR="00711A5F" w:rsidRPr="00F414E8" w:rsidRDefault="001F3FF7">
      <w:pPr>
        <w:rPr>
          <w:rFonts w:ascii="Times New Roman" w:hAnsi="Times New Roman" w:cs="Times New Roman"/>
        </w:rPr>
      </w:pPr>
      <w:r w:rsidRPr="00F414E8">
        <w:rPr>
          <w:rFonts w:ascii="Times New Roman" w:hAnsi="Times New Roman" w:cs="Times New Roman"/>
        </w:rPr>
        <w:t>A major challenge identified across the literature is that new green jobs may not appear in the same places or at the same time as jobs disappear from carbon-intensive industries. This is central to the idea of a just transition.</w:t>
      </w:r>
    </w:p>
    <w:p w14:paraId="36B3792F" w14:textId="77777777" w:rsidR="00711A5F" w:rsidRPr="00F414E8" w:rsidRDefault="001F3FF7">
      <w:pPr>
        <w:rPr>
          <w:rFonts w:ascii="Times New Roman" w:hAnsi="Times New Roman" w:cs="Times New Roman"/>
        </w:rPr>
      </w:pPr>
      <w:r w:rsidRPr="00F414E8">
        <w:rPr>
          <w:rFonts w:ascii="Times New Roman" w:hAnsi="Times New Roman" w:cs="Times New Roman"/>
        </w:rPr>
        <w:t>Lim, Aklin and Frank found that fossil-fuel workers in the United States have substantial skill similarity with green occupations, but are often not located where current or projected green employment is growing [4]. Their findings therefore challenge the assumption that reskilling alone is sufficient. Location and worker mobility can be a larger barrier than skill similarity.</w:t>
      </w:r>
    </w:p>
    <w:p w14:paraId="1E3CD066" w14:textId="77777777" w:rsidR="00711A5F" w:rsidRPr="00F414E8" w:rsidRDefault="001F3FF7">
      <w:pPr>
        <w:rPr>
          <w:rFonts w:ascii="Times New Roman" w:hAnsi="Times New Roman" w:cs="Times New Roman"/>
        </w:rPr>
      </w:pPr>
      <w:r w:rsidRPr="00F414E8">
        <w:rPr>
          <w:rFonts w:ascii="Times New Roman" w:hAnsi="Times New Roman" w:cs="Times New Roman"/>
        </w:rPr>
        <w:t>Emmerling et al. identify similar problems in Europe. Their analysis finds significant mismatches in skills, geography and timing. Under a Net Zero scenario, job losses are concentrated in coal- and oil-dependent regions while renewable employment expands elsewhere [5]. The authors argue that transition policies need to be more targeted and should include workforce-development programmes.</w:t>
      </w:r>
    </w:p>
    <w:p w14:paraId="1E13A81B" w14:textId="77777777" w:rsidR="00711A5F" w:rsidRPr="00F414E8" w:rsidRDefault="001F3FF7">
      <w:pPr>
        <w:rPr>
          <w:rFonts w:ascii="Times New Roman" w:hAnsi="Times New Roman" w:cs="Times New Roman"/>
        </w:rPr>
      </w:pPr>
      <w:r w:rsidRPr="00F414E8">
        <w:rPr>
          <w:rFonts w:ascii="Times New Roman" w:hAnsi="Times New Roman" w:cs="Times New Roman"/>
        </w:rPr>
        <w:t>The ILO India assessment provides a different but related perspective. It reports uneven policy readiness and gaps in green-job information, social protection and policy coordination [7]. It also highlights the importance of supporting workers and communities in carbon-intensive sectors through reskilling and re-employment.</w:t>
      </w:r>
    </w:p>
    <w:p w14:paraId="7324DF7C" w14:textId="77777777" w:rsidR="00711A5F" w:rsidRPr="00F414E8" w:rsidRDefault="001F3FF7">
      <w:pPr>
        <w:rPr>
          <w:rFonts w:ascii="Times New Roman" w:hAnsi="Times New Roman" w:cs="Times New Roman"/>
        </w:rPr>
      </w:pPr>
      <w:r w:rsidRPr="00F414E8">
        <w:rPr>
          <w:rFonts w:ascii="Times New Roman" w:hAnsi="Times New Roman" w:cs="Times New Roman"/>
        </w:rPr>
        <w:t>The overall theme is therefore that a green transition cannot be evaluated only by counting the number of jobs created. A meaningful assessment must consider who gains, who loses, where jobs are located, whether workers can move between occupations, whether training is available, and whether affected communities receive adequate support.</w:t>
      </w:r>
    </w:p>
    <w:p w14:paraId="689E836B" w14:textId="77777777" w:rsidR="00711A5F" w:rsidRPr="00F414E8" w:rsidRDefault="001F3FF7">
      <w:pPr>
        <w:pStyle w:val="Heading2"/>
        <w:rPr>
          <w:rFonts w:ascii="Times New Roman" w:hAnsi="Times New Roman" w:cs="Times New Roman"/>
        </w:rPr>
      </w:pPr>
      <w:r w:rsidRPr="00F414E8">
        <w:rPr>
          <w:rFonts w:ascii="Times New Roman" w:hAnsi="Times New Roman" w:cs="Times New Roman"/>
        </w:rPr>
        <w:lastRenderedPageBreak/>
        <w:t>3.6 Theme 6: Green Jobs, Economic Growth and Sustainable Development</w:t>
      </w:r>
    </w:p>
    <w:p w14:paraId="242484F4" w14:textId="77777777" w:rsidR="00711A5F" w:rsidRPr="00F414E8" w:rsidRDefault="001F3FF7">
      <w:pPr>
        <w:rPr>
          <w:rFonts w:ascii="Times New Roman" w:hAnsi="Times New Roman" w:cs="Times New Roman"/>
        </w:rPr>
      </w:pPr>
      <w:r w:rsidRPr="00F414E8">
        <w:rPr>
          <w:rFonts w:ascii="Times New Roman" w:hAnsi="Times New Roman" w:cs="Times New Roman"/>
        </w:rPr>
        <w:t>Green jobs are also increasingly discussed as part of broader economic transformation. The literature review by Stanef-Puică et al. links green jobs with economic development and employment [1]. The recent study of Saudi Arabia by Benlaria et al. examines the relationship between environmental sustainability, economic growth and green employment using long-run economic data [10]. It identifies renewable-energy capacity and urbanization as significant long-run correlates of green employment in the Saudi context, while cautioning that the results are country-specific.</w:t>
      </w:r>
    </w:p>
    <w:p w14:paraId="280D3964" w14:textId="77777777" w:rsidR="00711A5F" w:rsidRPr="00F414E8" w:rsidRDefault="001F3FF7">
      <w:pPr>
        <w:rPr>
          <w:rFonts w:ascii="Times New Roman" w:hAnsi="Times New Roman" w:cs="Times New Roman"/>
        </w:rPr>
      </w:pPr>
      <w:r w:rsidRPr="00F414E8">
        <w:rPr>
          <w:rFonts w:ascii="Times New Roman" w:hAnsi="Times New Roman" w:cs="Times New Roman"/>
        </w:rPr>
        <w:t>This evidence supports the view that green employment can be connected with investment, innovation, infrastructure and economic diversification. However, it would be incorrect to assume that economic growth automatically produces green employment. The Saudi study emphasizes the importance of active policy and renewable-energy investment [10], while the broader literature similarly points to the role of regulation, industrial policy, investment and skills.</w:t>
      </w:r>
    </w:p>
    <w:p w14:paraId="1E5F8660" w14:textId="77777777" w:rsidR="00711A5F" w:rsidRPr="00F414E8" w:rsidRDefault="001F3FF7">
      <w:pPr>
        <w:rPr>
          <w:rFonts w:ascii="Times New Roman" w:hAnsi="Times New Roman" w:cs="Times New Roman"/>
        </w:rPr>
      </w:pPr>
      <w:r w:rsidRPr="00F414E8">
        <w:rPr>
          <w:rFonts w:ascii="Times New Roman" w:hAnsi="Times New Roman" w:cs="Times New Roman"/>
        </w:rPr>
        <w:t>The relationship is therefore better understood as a policy and investment pathway: environmental goals can stimulate new industries and technologies; those activities can generate employment; and the employment effects can contribute to inclusive economic development when the necessary skills and institutions are in place.</w:t>
      </w:r>
    </w:p>
    <w:p w14:paraId="51B2CA92" w14:textId="77777777" w:rsidR="00711A5F" w:rsidRPr="00F414E8" w:rsidRDefault="001F3FF7">
      <w:pPr>
        <w:pStyle w:val="Heading2"/>
        <w:rPr>
          <w:rFonts w:ascii="Times New Roman" w:hAnsi="Times New Roman" w:cs="Times New Roman"/>
        </w:rPr>
      </w:pPr>
      <w:r w:rsidRPr="00F414E8">
        <w:rPr>
          <w:rFonts w:ascii="Times New Roman" w:hAnsi="Times New Roman" w:cs="Times New Roman"/>
        </w:rPr>
        <w:t>3.7 Theme 7: SMEs, Green Innovation and Business Sustainability</w:t>
      </w:r>
    </w:p>
    <w:p w14:paraId="531217A2" w14:textId="77777777" w:rsidR="00711A5F" w:rsidRPr="00F414E8" w:rsidRDefault="001F3FF7">
      <w:pPr>
        <w:rPr>
          <w:rFonts w:ascii="Times New Roman" w:hAnsi="Times New Roman" w:cs="Times New Roman"/>
        </w:rPr>
      </w:pPr>
      <w:r w:rsidRPr="00F414E8">
        <w:rPr>
          <w:rFonts w:ascii="Times New Roman" w:hAnsi="Times New Roman" w:cs="Times New Roman"/>
        </w:rPr>
        <w:t>SMEs deserve particular attention because they represent a large part of business activity but are less visible in some green-employment research. Olekanma et al. identify green supply chains, energy-saving strategies, waste reduction, recycling, circular-economy practices and green office practices as common SME carbon-reduction initiatives [2]. These activities require green competencies and can therefore create or transform employment.</w:t>
      </w:r>
    </w:p>
    <w:p w14:paraId="78217E76" w14:textId="77777777" w:rsidR="00711A5F" w:rsidRPr="00F414E8" w:rsidRDefault="001F3FF7">
      <w:pPr>
        <w:rPr>
          <w:rFonts w:ascii="Times New Roman" w:hAnsi="Times New Roman" w:cs="Times New Roman"/>
        </w:rPr>
      </w:pPr>
      <w:r w:rsidRPr="00F414E8">
        <w:rPr>
          <w:rFonts w:ascii="Times New Roman" w:hAnsi="Times New Roman" w:cs="Times New Roman"/>
        </w:rPr>
        <w:t>However, the systematic review also provides an important caution: the evidence does not yet establish a simple direct relationship in which every carbon-reduction initiative automatically creates a new green job [2]. Some initiatives may instead change the responsibilities of existing workers. This distinction is important because green employment can occur through new occupations, modified occupations and new skill requirements within existing roles.</w:t>
      </w:r>
    </w:p>
    <w:p w14:paraId="37FD6230" w14:textId="77777777" w:rsidR="00711A5F" w:rsidRPr="00F414E8" w:rsidRDefault="001F3FF7">
      <w:pPr>
        <w:rPr>
          <w:rFonts w:ascii="Times New Roman" w:hAnsi="Times New Roman" w:cs="Times New Roman"/>
        </w:rPr>
      </w:pPr>
      <w:r w:rsidRPr="00F414E8">
        <w:rPr>
          <w:rFonts w:ascii="Times New Roman" w:hAnsi="Times New Roman" w:cs="Times New Roman"/>
        </w:rPr>
        <w:t>This theme also connects sustainability with business strategy. For SMEs, environmental improvements may be driven by cost savings, customer expectations, regulatory pressure, innovation and supply-chain requirements. Green jobs may therefore emerge as part of broader business transformation rather than as isolated environmental positions.</w:t>
      </w:r>
    </w:p>
    <w:p w14:paraId="0EACA5E1" w14:textId="77777777" w:rsidR="00711A5F" w:rsidRPr="00F414E8" w:rsidRDefault="001F3FF7">
      <w:pPr>
        <w:pStyle w:val="Heading1"/>
        <w:rPr>
          <w:rFonts w:ascii="Times New Roman" w:hAnsi="Times New Roman" w:cs="Times New Roman"/>
          <w:sz w:val="40"/>
          <w:szCs w:val="40"/>
        </w:rPr>
      </w:pPr>
      <w:r w:rsidRPr="00F414E8">
        <w:rPr>
          <w:rFonts w:ascii="Times New Roman" w:hAnsi="Times New Roman" w:cs="Times New Roman"/>
          <w:sz w:val="40"/>
          <w:szCs w:val="40"/>
        </w:rPr>
        <w:t>4. Cross-Source Synthesis</w:t>
      </w:r>
    </w:p>
    <w:p w14:paraId="1064656F" w14:textId="77777777" w:rsidR="00711A5F" w:rsidRPr="00F414E8" w:rsidRDefault="001F3FF7">
      <w:pPr>
        <w:rPr>
          <w:rFonts w:ascii="Times New Roman" w:hAnsi="Times New Roman" w:cs="Times New Roman"/>
        </w:rPr>
      </w:pPr>
      <w:r w:rsidRPr="00F414E8">
        <w:rPr>
          <w:rFonts w:ascii="Times New Roman" w:hAnsi="Times New Roman" w:cs="Times New Roman"/>
        </w:rPr>
        <w:t>The thematic analysis shows that the sources largely agree on the direction of change but differ in emphasis. Academic reviews provide the conceptual foundation, while empirical studies and institutional reports add evidence about employment numbers, skills and policy conditions.</w:t>
      </w:r>
    </w:p>
    <w:p w14:paraId="76940BBE" w14:textId="77777777" w:rsidR="00711A5F" w:rsidRPr="00F414E8" w:rsidRDefault="001F3FF7">
      <w:pPr>
        <w:rPr>
          <w:rFonts w:ascii="Times New Roman" w:hAnsi="Times New Roman" w:cs="Times New Roman"/>
        </w:rPr>
      </w:pPr>
      <w:r w:rsidRPr="00F414E8">
        <w:rPr>
          <w:rFonts w:ascii="Times New Roman" w:hAnsi="Times New Roman" w:cs="Times New Roman"/>
        </w:rPr>
        <w:t>First, there is broad agreement that green jobs are connected with environmental sustainability, but there is no universal measurement framework [1, 7]. Second, the sources consistently identify renewable energy and related clean industries as important sources of future employment [5, 6, 9]. Third, skills development appears repeatedly as a condition for realizing employment opportunities [3, 5, 6, 7, 8]. Fourth, several sources warn that job creation is uneven and that workers in carbon-intensive industries may face transition difficulties because of geography, timing or skill gaps [4, 5, 7].</w:t>
      </w:r>
    </w:p>
    <w:p w14:paraId="28936F9C" w14:textId="77777777" w:rsidR="00711A5F" w:rsidRPr="00F414E8" w:rsidRDefault="001F3FF7">
      <w:pPr>
        <w:rPr>
          <w:rFonts w:ascii="Times New Roman" w:hAnsi="Times New Roman" w:cs="Times New Roman"/>
        </w:rPr>
      </w:pPr>
      <w:r w:rsidRPr="00F414E8">
        <w:rPr>
          <w:rFonts w:ascii="Times New Roman" w:hAnsi="Times New Roman" w:cs="Times New Roman"/>
        </w:rPr>
        <w:t>An important synthesis is that the green transition is both a job-creation process and a job-transformation process. Some new occupations will emerge, but many existing occupations will also change. This means that measuring only the number of newly created green jobs will miss an important part of the labour-market transformation.</w:t>
      </w:r>
    </w:p>
    <w:p w14:paraId="3B2D899E" w14:textId="77777777" w:rsidR="00711A5F" w:rsidRPr="00F414E8" w:rsidRDefault="001F3FF7">
      <w:pPr>
        <w:pStyle w:val="Heading1"/>
        <w:rPr>
          <w:rFonts w:ascii="Times New Roman" w:hAnsi="Times New Roman" w:cs="Times New Roman"/>
          <w:sz w:val="40"/>
          <w:szCs w:val="40"/>
        </w:rPr>
      </w:pPr>
      <w:r w:rsidRPr="00F414E8">
        <w:rPr>
          <w:rFonts w:ascii="Times New Roman" w:hAnsi="Times New Roman" w:cs="Times New Roman"/>
          <w:sz w:val="40"/>
          <w:szCs w:val="40"/>
        </w:rPr>
        <w:lastRenderedPageBreak/>
        <w:t>5. Key Challenges and Barriers</w:t>
      </w:r>
    </w:p>
    <w:p w14:paraId="5D0532FC" w14:textId="77777777" w:rsidR="00711A5F" w:rsidRPr="00F414E8" w:rsidRDefault="001F3FF7">
      <w:pPr>
        <w:pStyle w:val="Heading2"/>
        <w:rPr>
          <w:rFonts w:ascii="Times New Roman" w:hAnsi="Times New Roman" w:cs="Times New Roman"/>
        </w:rPr>
      </w:pPr>
      <w:r w:rsidRPr="00F414E8">
        <w:rPr>
          <w:rFonts w:ascii="Times New Roman" w:hAnsi="Times New Roman" w:cs="Times New Roman"/>
        </w:rPr>
        <w:t>5.1 Lack of a common definition and measurement</w:t>
      </w:r>
    </w:p>
    <w:p w14:paraId="2B81DD6B" w14:textId="77777777" w:rsidR="00711A5F" w:rsidRPr="00F414E8" w:rsidRDefault="001F3FF7">
      <w:pPr>
        <w:rPr>
          <w:rFonts w:ascii="Times New Roman" w:hAnsi="Times New Roman" w:cs="Times New Roman"/>
        </w:rPr>
      </w:pPr>
      <w:r w:rsidRPr="00F414E8">
        <w:rPr>
          <w:rFonts w:ascii="Times New Roman" w:hAnsi="Times New Roman" w:cs="Times New Roman"/>
        </w:rPr>
        <w:t>Different definitions make it difficult to compare green employment across countries and sectors. India’s policy assessment also identifies a lack of consistent employment data.</w:t>
      </w:r>
    </w:p>
    <w:p w14:paraId="30180C9E" w14:textId="77777777" w:rsidR="00711A5F" w:rsidRPr="00F414E8" w:rsidRDefault="001F3FF7">
      <w:pPr>
        <w:pStyle w:val="Heading2"/>
        <w:rPr>
          <w:rFonts w:ascii="Times New Roman" w:hAnsi="Times New Roman" w:cs="Times New Roman"/>
        </w:rPr>
      </w:pPr>
      <w:r w:rsidRPr="00F414E8">
        <w:rPr>
          <w:rFonts w:ascii="Times New Roman" w:hAnsi="Times New Roman" w:cs="Times New Roman"/>
        </w:rPr>
        <w:t>5.2 Skills gaps and training capacity</w:t>
      </w:r>
    </w:p>
    <w:p w14:paraId="25A8CC76" w14:textId="77777777" w:rsidR="00711A5F" w:rsidRPr="00F414E8" w:rsidRDefault="001F3FF7">
      <w:pPr>
        <w:rPr>
          <w:rFonts w:ascii="Times New Roman" w:hAnsi="Times New Roman" w:cs="Times New Roman"/>
        </w:rPr>
      </w:pPr>
      <w:r w:rsidRPr="00F414E8">
        <w:rPr>
          <w:rFonts w:ascii="Times New Roman" w:hAnsi="Times New Roman" w:cs="Times New Roman"/>
        </w:rPr>
        <w:t>Green industries require combinations of technical, environmental, cognitive and digital skills. Training systems may not adapt quickly enough to changes in demand.</w:t>
      </w:r>
    </w:p>
    <w:p w14:paraId="57B89425" w14:textId="77777777" w:rsidR="00711A5F" w:rsidRPr="00F414E8" w:rsidRDefault="001F3FF7">
      <w:pPr>
        <w:pStyle w:val="Heading2"/>
        <w:rPr>
          <w:rFonts w:ascii="Times New Roman" w:hAnsi="Times New Roman" w:cs="Times New Roman"/>
        </w:rPr>
      </w:pPr>
      <w:r w:rsidRPr="00F414E8">
        <w:rPr>
          <w:rFonts w:ascii="Times New Roman" w:hAnsi="Times New Roman" w:cs="Times New Roman"/>
        </w:rPr>
        <w:t>5.3 Geographic mismatch</w:t>
      </w:r>
    </w:p>
    <w:p w14:paraId="5F184201" w14:textId="77777777" w:rsidR="00711A5F" w:rsidRPr="00F414E8" w:rsidRDefault="001F3FF7">
      <w:pPr>
        <w:rPr>
          <w:rFonts w:ascii="Times New Roman" w:hAnsi="Times New Roman" w:cs="Times New Roman"/>
        </w:rPr>
      </w:pPr>
      <w:r w:rsidRPr="00F414E8">
        <w:rPr>
          <w:rFonts w:ascii="Times New Roman" w:hAnsi="Times New Roman" w:cs="Times New Roman"/>
        </w:rPr>
        <w:t>Green jobs may be created in different regions from where fossil-fuel jobs decline. Workers may have transferable skills but limited mobility.</w:t>
      </w:r>
    </w:p>
    <w:p w14:paraId="40A91627" w14:textId="77777777" w:rsidR="00711A5F" w:rsidRPr="00F414E8" w:rsidRDefault="001F3FF7">
      <w:pPr>
        <w:pStyle w:val="Heading2"/>
        <w:rPr>
          <w:rFonts w:ascii="Times New Roman" w:hAnsi="Times New Roman" w:cs="Times New Roman"/>
        </w:rPr>
      </w:pPr>
      <w:r w:rsidRPr="00F414E8">
        <w:rPr>
          <w:rFonts w:ascii="Times New Roman" w:hAnsi="Times New Roman" w:cs="Times New Roman"/>
        </w:rPr>
        <w:t>5.4 Unequal distribution of benefits</w:t>
      </w:r>
    </w:p>
    <w:p w14:paraId="31C39E53" w14:textId="77777777" w:rsidR="00711A5F" w:rsidRPr="00F414E8" w:rsidRDefault="001F3FF7">
      <w:pPr>
        <w:rPr>
          <w:rFonts w:ascii="Times New Roman" w:hAnsi="Times New Roman" w:cs="Times New Roman"/>
        </w:rPr>
      </w:pPr>
      <w:r w:rsidRPr="00F414E8">
        <w:rPr>
          <w:rFonts w:ascii="Times New Roman" w:hAnsi="Times New Roman" w:cs="Times New Roman"/>
        </w:rPr>
        <w:t>Women, youth, older workers, people with disabilities and workers in vulnerable regions may not benefit equally without targeted policies.</w:t>
      </w:r>
    </w:p>
    <w:p w14:paraId="389DACEC" w14:textId="77777777" w:rsidR="00711A5F" w:rsidRPr="00F414E8" w:rsidRDefault="001F3FF7">
      <w:pPr>
        <w:pStyle w:val="Heading2"/>
        <w:rPr>
          <w:rFonts w:ascii="Times New Roman" w:hAnsi="Times New Roman" w:cs="Times New Roman"/>
        </w:rPr>
      </w:pPr>
      <w:r w:rsidRPr="00F414E8">
        <w:rPr>
          <w:rFonts w:ascii="Times New Roman" w:hAnsi="Times New Roman" w:cs="Times New Roman"/>
        </w:rPr>
        <w:t>5.5 Policy coordination</w:t>
      </w:r>
    </w:p>
    <w:p w14:paraId="13FF9A40" w14:textId="77777777" w:rsidR="00711A5F" w:rsidRPr="00F414E8" w:rsidRDefault="001F3FF7">
      <w:pPr>
        <w:rPr>
          <w:rFonts w:ascii="Times New Roman" w:hAnsi="Times New Roman" w:cs="Times New Roman"/>
        </w:rPr>
      </w:pPr>
      <w:r w:rsidRPr="00F414E8">
        <w:rPr>
          <w:rFonts w:ascii="Times New Roman" w:hAnsi="Times New Roman" w:cs="Times New Roman"/>
        </w:rPr>
        <w:t>Green employment depends on energy, industrial, education, labour and regional-development policies. Weak coordination can reduce the effectiveness of otherwise positive initiatives.</w:t>
      </w:r>
    </w:p>
    <w:p w14:paraId="4FCD4BC9" w14:textId="77777777" w:rsidR="00711A5F" w:rsidRPr="00F414E8" w:rsidRDefault="001F3FF7">
      <w:pPr>
        <w:pStyle w:val="Heading2"/>
        <w:rPr>
          <w:rFonts w:ascii="Times New Roman" w:hAnsi="Times New Roman" w:cs="Times New Roman"/>
        </w:rPr>
      </w:pPr>
      <w:r w:rsidRPr="00F414E8">
        <w:rPr>
          <w:rFonts w:ascii="Times New Roman" w:hAnsi="Times New Roman" w:cs="Times New Roman"/>
        </w:rPr>
        <w:t>5.6 Evidence gaps for SMEs and emerging sectors</w:t>
      </w:r>
    </w:p>
    <w:p w14:paraId="11E14340" w14:textId="77777777" w:rsidR="00711A5F" w:rsidRPr="00F414E8" w:rsidRDefault="001F3FF7">
      <w:pPr>
        <w:rPr>
          <w:rFonts w:ascii="Times New Roman" w:hAnsi="Times New Roman" w:cs="Times New Roman"/>
        </w:rPr>
      </w:pPr>
      <w:r w:rsidRPr="00F414E8">
        <w:rPr>
          <w:rFonts w:ascii="Times New Roman" w:hAnsi="Times New Roman" w:cs="Times New Roman"/>
        </w:rPr>
        <w:t>The SME systematic review shows that evidence connecting specific carbon-reduction practices to measurable green-job creation remains limited.</w:t>
      </w:r>
    </w:p>
    <w:p w14:paraId="09DDB0F1" w14:textId="77777777" w:rsidR="00711A5F" w:rsidRPr="00F414E8" w:rsidRDefault="001F3FF7">
      <w:pPr>
        <w:pStyle w:val="Heading1"/>
        <w:rPr>
          <w:rFonts w:ascii="Times New Roman" w:hAnsi="Times New Roman" w:cs="Times New Roman"/>
          <w:sz w:val="40"/>
          <w:szCs w:val="40"/>
        </w:rPr>
      </w:pPr>
      <w:r w:rsidRPr="00F414E8">
        <w:rPr>
          <w:rFonts w:ascii="Times New Roman" w:hAnsi="Times New Roman" w:cs="Times New Roman"/>
          <w:sz w:val="40"/>
          <w:szCs w:val="40"/>
        </w:rPr>
        <w:t>6. Opportunities and Emerging Trends</w:t>
      </w:r>
    </w:p>
    <w:p w14:paraId="18D9B3FE" w14:textId="77777777" w:rsidR="00711A5F" w:rsidRPr="00F414E8" w:rsidRDefault="001F3FF7">
      <w:pPr>
        <w:pStyle w:val="Heading2"/>
        <w:rPr>
          <w:rFonts w:ascii="Times New Roman" w:hAnsi="Times New Roman" w:cs="Times New Roman"/>
        </w:rPr>
      </w:pPr>
      <w:r w:rsidRPr="00F414E8">
        <w:rPr>
          <w:rFonts w:ascii="Times New Roman" w:hAnsi="Times New Roman" w:cs="Times New Roman"/>
        </w:rPr>
        <w:t>6.1 Renewable energy expansion</w:t>
      </w:r>
    </w:p>
    <w:p w14:paraId="72DAD1B7" w14:textId="77777777" w:rsidR="00711A5F" w:rsidRPr="00F414E8" w:rsidRDefault="001F3FF7">
      <w:pPr>
        <w:rPr>
          <w:rFonts w:ascii="Times New Roman" w:hAnsi="Times New Roman" w:cs="Times New Roman"/>
        </w:rPr>
      </w:pPr>
      <w:r w:rsidRPr="00F414E8">
        <w:rPr>
          <w:rFonts w:ascii="Times New Roman" w:hAnsi="Times New Roman" w:cs="Times New Roman"/>
        </w:rPr>
        <w:t>Renewable energy is likely to remain one of the most important sources of green employment. Solar, wind, hydropower, bioenergy and related supply chains can generate jobs across manufacturing, construction, installation, operations, maintenance and services [6].</w:t>
      </w:r>
    </w:p>
    <w:p w14:paraId="4FAC4D65" w14:textId="77777777" w:rsidR="00711A5F" w:rsidRPr="00F414E8" w:rsidRDefault="001F3FF7">
      <w:pPr>
        <w:pStyle w:val="Heading2"/>
        <w:rPr>
          <w:rFonts w:ascii="Times New Roman" w:hAnsi="Times New Roman" w:cs="Times New Roman"/>
        </w:rPr>
      </w:pPr>
      <w:r w:rsidRPr="00F414E8">
        <w:rPr>
          <w:rFonts w:ascii="Times New Roman" w:hAnsi="Times New Roman" w:cs="Times New Roman"/>
        </w:rPr>
        <w:t>6.2 Green-digital convergence</w:t>
      </w:r>
    </w:p>
    <w:p w14:paraId="2021F588" w14:textId="77777777" w:rsidR="00711A5F" w:rsidRPr="00F414E8" w:rsidRDefault="001F3FF7">
      <w:pPr>
        <w:rPr>
          <w:rFonts w:ascii="Times New Roman" w:hAnsi="Times New Roman" w:cs="Times New Roman"/>
        </w:rPr>
      </w:pPr>
      <w:r w:rsidRPr="00F414E8">
        <w:rPr>
          <w:rFonts w:ascii="Times New Roman" w:hAnsi="Times New Roman" w:cs="Times New Roman"/>
        </w:rPr>
        <w:t>The ILO Workforce 2030 report suggests that the green and digital transitions increasingly overlap. Data analysis, digital monitoring, energy management, smart infrastructure and digital services can support environmental goals. This creates demand for workers who combine digital capabilities with sustainability knowledge [8].</w:t>
      </w:r>
    </w:p>
    <w:p w14:paraId="51D53414" w14:textId="77777777" w:rsidR="00711A5F" w:rsidRPr="00F414E8" w:rsidRDefault="001F3FF7">
      <w:pPr>
        <w:pStyle w:val="Heading2"/>
        <w:rPr>
          <w:rFonts w:ascii="Times New Roman" w:hAnsi="Times New Roman" w:cs="Times New Roman"/>
        </w:rPr>
      </w:pPr>
      <w:r w:rsidRPr="00F414E8">
        <w:rPr>
          <w:rFonts w:ascii="Times New Roman" w:hAnsi="Times New Roman" w:cs="Times New Roman"/>
        </w:rPr>
        <w:t>6.3 Circular economy and resource efficiency</w:t>
      </w:r>
    </w:p>
    <w:p w14:paraId="7B3BBCA7" w14:textId="77777777" w:rsidR="00711A5F" w:rsidRPr="00F414E8" w:rsidRDefault="001F3FF7">
      <w:pPr>
        <w:rPr>
          <w:rFonts w:ascii="Times New Roman" w:hAnsi="Times New Roman" w:cs="Times New Roman"/>
        </w:rPr>
      </w:pPr>
      <w:r w:rsidRPr="00F414E8">
        <w:rPr>
          <w:rFonts w:ascii="Times New Roman" w:hAnsi="Times New Roman" w:cs="Times New Roman"/>
        </w:rPr>
        <w:t>Circular-economy activities such as repair, reuse, recycling, resource efficiency and waste reduction are repeatedly associated with green employment and SME sustainability [1, 2]. These activities can create opportunities beyond the energy sector.</w:t>
      </w:r>
    </w:p>
    <w:p w14:paraId="3DC14742" w14:textId="77777777" w:rsidR="00711A5F" w:rsidRPr="00F414E8" w:rsidRDefault="001F3FF7">
      <w:pPr>
        <w:pStyle w:val="Heading2"/>
        <w:rPr>
          <w:rFonts w:ascii="Times New Roman" w:hAnsi="Times New Roman" w:cs="Times New Roman"/>
        </w:rPr>
      </w:pPr>
      <w:r w:rsidRPr="00F414E8">
        <w:rPr>
          <w:rFonts w:ascii="Times New Roman" w:hAnsi="Times New Roman" w:cs="Times New Roman"/>
        </w:rPr>
        <w:t>6.4 Reskilling and lifelong learning</w:t>
      </w:r>
    </w:p>
    <w:p w14:paraId="3AD77ABB" w14:textId="77777777" w:rsidR="00711A5F" w:rsidRPr="00F414E8" w:rsidRDefault="001F3FF7">
      <w:pPr>
        <w:rPr>
          <w:rFonts w:ascii="Times New Roman" w:hAnsi="Times New Roman" w:cs="Times New Roman"/>
        </w:rPr>
      </w:pPr>
      <w:r w:rsidRPr="00F414E8">
        <w:rPr>
          <w:rFonts w:ascii="Times New Roman" w:hAnsi="Times New Roman" w:cs="Times New Roman"/>
        </w:rPr>
        <w:t>Future workforce systems will need to move beyond one-time education. Apprenticeships, workplace learning, short courses, reskilling, upskilling and portable certifications can help workers move between changing occupations [5, 6, 8].</w:t>
      </w:r>
    </w:p>
    <w:p w14:paraId="778C23E8" w14:textId="77777777" w:rsidR="00711A5F" w:rsidRPr="00F414E8" w:rsidRDefault="001F3FF7">
      <w:pPr>
        <w:pStyle w:val="Heading2"/>
        <w:rPr>
          <w:rFonts w:ascii="Times New Roman" w:hAnsi="Times New Roman" w:cs="Times New Roman"/>
        </w:rPr>
      </w:pPr>
      <w:r w:rsidRPr="00F414E8">
        <w:rPr>
          <w:rFonts w:ascii="Times New Roman" w:hAnsi="Times New Roman" w:cs="Times New Roman"/>
        </w:rPr>
        <w:lastRenderedPageBreak/>
        <w:t>6.5 Inclusive green employment</w:t>
      </w:r>
    </w:p>
    <w:p w14:paraId="564A8287" w14:textId="77777777" w:rsidR="00711A5F" w:rsidRPr="00F414E8" w:rsidRDefault="001F3FF7">
      <w:pPr>
        <w:rPr>
          <w:rFonts w:ascii="Times New Roman" w:hAnsi="Times New Roman" w:cs="Times New Roman"/>
        </w:rPr>
      </w:pPr>
      <w:r w:rsidRPr="00F414E8">
        <w:rPr>
          <w:rFonts w:ascii="Times New Roman" w:hAnsi="Times New Roman" w:cs="Times New Roman"/>
        </w:rPr>
        <w:t>Future policy will increasingly focus on who benefits from green employment. The IRENA report highlights gender and disability inclusion, while the ILO Workforce 2030 report identifies persistent differences by gender, age, income and geography [6, 8]. Inclusion is therefore both a social objective and a workforce-development requirement.</w:t>
      </w:r>
    </w:p>
    <w:p w14:paraId="037E49A4" w14:textId="77777777" w:rsidR="00711A5F" w:rsidRPr="00F414E8" w:rsidRDefault="001F3FF7">
      <w:pPr>
        <w:pStyle w:val="Heading1"/>
        <w:rPr>
          <w:rFonts w:ascii="Times New Roman" w:hAnsi="Times New Roman" w:cs="Times New Roman"/>
          <w:sz w:val="40"/>
          <w:szCs w:val="40"/>
        </w:rPr>
      </w:pPr>
      <w:r w:rsidRPr="00F414E8">
        <w:rPr>
          <w:rFonts w:ascii="Times New Roman" w:hAnsi="Times New Roman" w:cs="Times New Roman"/>
          <w:sz w:val="40"/>
          <w:szCs w:val="40"/>
        </w:rPr>
        <w:t>7. Research Gaps</w:t>
      </w:r>
    </w:p>
    <w:p w14:paraId="1EDBCED4" w14:textId="77777777" w:rsidR="00711A5F" w:rsidRPr="00F414E8" w:rsidRDefault="001F3FF7">
      <w:pPr>
        <w:rPr>
          <w:rFonts w:ascii="Times New Roman" w:hAnsi="Times New Roman" w:cs="Times New Roman"/>
        </w:rPr>
      </w:pPr>
      <w:r w:rsidRPr="00F414E8">
        <w:rPr>
          <w:rFonts w:ascii="Times New Roman" w:hAnsi="Times New Roman" w:cs="Times New Roman"/>
        </w:rPr>
        <w:t>The reviewed sources identify several areas where additional research is needed. These gaps are important because green-job policy depends on reliable information about occupations, skills, workers and regional labour markets.</w:t>
      </w:r>
    </w:p>
    <w:p w14:paraId="719A61F8" w14:textId="77777777" w:rsidR="00711A5F" w:rsidRPr="00F414E8" w:rsidRDefault="001F3FF7">
      <w:pPr>
        <w:pStyle w:val="ListBullet"/>
        <w:rPr>
          <w:rFonts w:ascii="Times New Roman" w:hAnsi="Times New Roman" w:cs="Times New Roman"/>
        </w:rPr>
      </w:pPr>
      <w:r w:rsidRPr="00F414E8">
        <w:rPr>
          <w:rFonts w:ascii="Times New Roman" w:hAnsi="Times New Roman" w:cs="Times New Roman"/>
        </w:rPr>
        <w:t>A standardized and internationally comparable definition and measurement framework for green jobs.</w:t>
      </w:r>
    </w:p>
    <w:p w14:paraId="4AAD67D2" w14:textId="77777777" w:rsidR="00711A5F" w:rsidRPr="00F414E8" w:rsidRDefault="001F3FF7">
      <w:pPr>
        <w:pStyle w:val="ListBullet"/>
        <w:rPr>
          <w:rFonts w:ascii="Times New Roman" w:hAnsi="Times New Roman" w:cs="Times New Roman"/>
        </w:rPr>
      </w:pPr>
      <w:r w:rsidRPr="00F414E8">
        <w:rPr>
          <w:rFonts w:ascii="Times New Roman" w:hAnsi="Times New Roman" w:cs="Times New Roman"/>
        </w:rPr>
        <w:t>More granular data on green skills and skill requirements at the occupation level.</w:t>
      </w:r>
    </w:p>
    <w:p w14:paraId="7974BF86" w14:textId="77777777" w:rsidR="00711A5F" w:rsidRPr="00F414E8" w:rsidRDefault="001F3FF7">
      <w:pPr>
        <w:pStyle w:val="ListBullet"/>
        <w:rPr>
          <w:rFonts w:ascii="Times New Roman" w:hAnsi="Times New Roman" w:cs="Times New Roman"/>
        </w:rPr>
      </w:pPr>
      <w:r w:rsidRPr="00F414E8">
        <w:rPr>
          <w:rFonts w:ascii="Times New Roman" w:hAnsi="Times New Roman" w:cs="Times New Roman"/>
        </w:rPr>
        <w:t>Better information on indirect and induced employment across green-technology supply chains.</w:t>
      </w:r>
    </w:p>
    <w:p w14:paraId="0EE46886" w14:textId="77777777" w:rsidR="00711A5F" w:rsidRPr="00F414E8" w:rsidRDefault="001F3FF7">
      <w:pPr>
        <w:pStyle w:val="ListBullet"/>
        <w:rPr>
          <w:rFonts w:ascii="Times New Roman" w:hAnsi="Times New Roman" w:cs="Times New Roman"/>
        </w:rPr>
      </w:pPr>
      <w:r w:rsidRPr="00F414E8">
        <w:rPr>
          <w:rFonts w:ascii="Times New Roman" w:hAnsi="Times New Roman" w:cs="Times New Roman"/>
        </w:rPr>
        <w:t>More evidence on how existing occupations become greener and how responsibilities change within those occupations.</w:t>
      </w:r>
    </w:p>
    <w:p w14:paraId="6B8AA56F" w14:textId="77777777" w:rsidR="00711A5F" w:rsidRPr="00F414E8" w:rsidRDefault="001F3FF7">
      <w:pPr>
        <w:pStyle w:val="ListBullet"/>
        <w:rPr>
          <w:rFonts w:ascii="Times New Roman" w:hAnsi="Times New Roman" w:cs="Times New Roman"/>
        </w:rPr>
      </w:pPr>
      <w:r w:rsidRPr="00F414E8">
        <w:rPr>
          <w:rFonts w:ascii="Times New Roman" w:hAnsi="Times New Roman" w:cs="Times New Roman"/>
        </w:rPr>
        <w:t>More empirical research on SMEs and the exact mechanisms linking carbon-reduction initiatives, green innovation and job creation.</w:t>
      </w:r>
    </w:p>
    <w:p w14:paraId="40F97B7A" w14:textId="77777777" w:rsidR="00711A5F" w:rsidRPr="00F414E8" w:rsidRDefault="001F3FF7">
      <w:pPr>
        <w:pStyle w:val="ListBullet"/>
        <w:rPr>
          <w:rFonts w:ascii="Times New Roman" w:hAnsi="Times New Roman" w:cs="Times New Roman"/>
        </w:rPr>
      </w:pPr>
      <w:r w:rsidRPr="00F414E8">
        <w:rPr>
          <w:rFonts w:ascii="Times New Roman" w:hAnsi="Times New Roman" w:cs="Times New Roman"/>
        </w:rPr>
        <w:t>Better evidence on worker transitions between declining carbon-intensive sectors and emerging green industries.</w:t>
      </w:r>
    </w:p>
    <w:p w14:paraId="3E02BD61" w14:textId="77777777" w:rsidR="00711A5F" w:rsidRPr="00F414E8" w:rsidRDefault="001F3FF7">
      <w:pPr>
        <w:pStyle w:val="ListBullet"/>
        <w:rPr>
          <w:rFonts w:ascii="Times New Roman" w:hAnsi="Times New Roman" w:cs="Times New Roman"/>
        </w:rPr>
      </w:pPr>
      <w:r w:rsidRPr="00F414E8">
        <w:rPr>
          <w:rFonts w:ascii="Times New Roman" w:hAnsi="Times New Roman" w:cs="Times New Roman"/>
        </w:rPr>
        <w:t>More regional research on geographic mismatch, worker mobility and local labour-market effects.</w:t>
      </w:r>
    </w:p>
    <w:p w14:paraId="0A2805B6" w14:textId="77777777" w:rsidR="00711A5F" w:rsidRPr="00F414E8" w:rsidRDefault="001F3FF7">
      <w:pPr>
        <w:pStyle w:val="ListBullet"/>
        <w:rPr>
          <w:rFonts w:ascii="Times New Roman" w:hAnsi="Times New Roman" w:cs="Times New Roman"/>
        </w:rPr>
      </w:pPr>
      <w:r w:rsidRPr="00F414E8">
        <w:rPr>
          <w:rFonts w:ascii="Times New Roman" w:hAnsi="Times New Roman" w:cs="Times New Roman"/>
        </w:rPr>
        <w:t>More research on the interaction between green and digital transitions, including AI, automation and green technologies.</w:t>
      </w:r>
    </w:p>
    <w:p w14:paraId="3C6FD7EE" w14:textId="77777777" w:rsidR="00711A5F" w:rsidRPr="00F414E8" w:rsidRDefault="001F3FF7">
      <w:pPr>
        <w:pStyle w:val="ListBullet"/>
        <w:rPr>
          <w:rFonts w:ascii="Times New Roman" w:hAnsi="Times New Roman" w:cs="Times New Roman"/>
        </w:rPr>
      </w:pPr>
      <w:r w:rsidRPr="00F414E8">
        <w:rPr>
          <w:rFonts w:ascii="Times New Roman" w:hAnsi="Times New Roman" w:cs="Times New Roman"/>
        </w:rPr>
        <w:t>More consistent assessment of inclusion outcomes for women, youth, older workers and persons with disabilities.</w:t>
      </w:r>
    </w:p>
    <w:p w14:paraId="29BBA3DF" w14:textId="77777777" w:rsidR="00711A5F" w:rsidRPr="00F414E8" w:rsidRDefault="001F3FF7">
      <w:pPr>
        <w:pStyle w:val="ListBullet"/>
        <w:rPr>
          <w:rFonts w:ascii="Times New Roman" w:hAnsi="Times New Roman" w:cs="Times New Roman"/>
        </w:rPr>
      </w:pPr>
      <w:r w:rsidRPr="00F414E8">
        <w:rPr>
          <w:rFonts w:ascii="Times New Roman" w:hAnsi="Times New Roman" w:cs="Times New Roman"/>
        </w:rPr>
        <w:t>More research from developing countries and emerging economies, including India, rather than concentrating evidence in Europe and the United States.</w:t>
      </w:r>
    </w:p>
    <w:p w14:paraId="1E8A76C2" w14:textId="77777777" w:rsidR="00711A5F" w:rsidRPr="00F414E8" w:rsidRDefault="001F3FF7">
      <w:pPr>
        <w:pStyle w:val="Heading1"/>
        <w:rPr>
          <w:rFonts w:ascii="Times New Roman" w:hAnsi="Times New Roman" w:cs="Times New Roman"/>
          <w:sz w:val="40"/>
          <w:szCs w:val="40"/>
        </w:rPr>
      </w:pPr>
      <w:r w:rsidRPr="00F414E8">
        <w:rPr>
          <w:rFonts w:ascii="Times New Roman" w:hAnsi="Times New Roman" w:cs="Times New Roman"/>
          <w:sz w:val="40"/>
          <w:szCs w:val="40"/>
        </w:rPr>
        <w:t>8. Future Directions</w:t>
      </w:r>
    </w:p>
    <w:p w14:paraId="40FAB4A9" w14:textId="77777777" w:rsidR="00711A5F" w:rsidRPr="00F414E8" w:rsidRDefault="001F3FF7">
      <w:pPr>
        <w:rPr>
          <w:rFonts w:ascii="Times New Roman" w:hAnsi="Times New Roman" w:cs="Times New Roman"/>
        </w:rPr>
      </w:pPr>
      <w:r w:rsidRPr="00F414E8">
        <w:rPr>
          <w:rFonts w:ascii="Times New Roman" w:hAnsi="Times New Roman" w:cs="Times New Roman"/>
        </w:rPr>
        <w:t>The evidence suggests that the next stage of green-job research should combine labour-market data with environmental and industrial data. Instead of measuring green jobs only by occupation titles, future studies could examine the tasks, skills, technologies and environmental outcomes associated with jobs.</w:t>
      </w:r>
    </w:p>
    <w:p w14:paraId="6CF19C78" w14:textId="77777777" w:rsidR="00711A5F" w:rsidRPr="00F414E8" w:rsidRDefault="001F3FF7">
      <w:pPr>
        <w:rPr>
          <w:rFonts w:ascii="Times New Roman" w:hAnsi="Times New Roman" w:cs="Times New Roman"/>
        </w:rPr>
      </w:pPr>
      <w:r w:rsidRPr="00F414E8">
        <w:rPr>
          <w:rFonts w:ascii="Times New Roman" w:hAnsi="Times New Roman" w:cs="Times New Roman"/>
        </w:rPr>
        <w:t>Future research should also pay greater attention to the interaction between green and digital technologies. The ILO identifies systems thinking, problem-solving, communication, digital capabilities and technical skills as important across the combined transition [8]. This indicates that the future workforce may need hybrid skill profiles rather than narrowly defined green qualifications.</w:t>
      </w:r>
    </w:p>
    <w:p w14:paraId="0C0CA913" w14:textId="77777777" w:rsidR="00711A5F" w:rsidRPr="00F414E8" w:rsidRDefault="001F3FF7">
      <w:pPr>
        <w:rPr>
          <w:rFonts w:ascii="Times New Roman" w:hAnsi="Times New Roman" w:cs="Times New Roman"/>
        </w:rPr>
      </w:pPr>
      <w:r w:rsidRPr="00F414E8">
        <w:rPr>
          <w:rFonts w:ascii="Times New Roman" w:hAnsi="Times New Roman" w:cs="Times New Roman"/>
        </w:rPr>
        <w:t>Policy research should move towards more location-specific approaches. Evidence from the United States and Europe shows that creating green jobs nationally does not guarantee that affected fossil-fuel workers will be able to access them [4, 5]. Local training centres, targeted investment, apprenticeships, portable certification and regional industrial strategies may therefore be more effective than broad national measures alone.</w:t>
      </w:r>
    </w:p>
    <w:p w14:paraId="5CBEEC95" w14:textId="77777777" w:rsidR="00711A5F" w:rsidRPr="00F414E8" w:rsidRDefault="001F3FF7">
      <w:pPr>
        <w:rPr>
          <w:rFonts w:ascii="Times New Roman" w:hAnsi="Times New Roman" w:cs="Times New Roman"/>
        </w:rPr>
      </w:pPr>
      <w:r w:rsidRPr="00F414E8">
        <w:rPr>
          <w:rFonts w:ascii="Times New Roman" w:hAnsi="Times New Roman" w:cs="Times New Roman"/>
        </w:rPr>
        <w:t>For India, a major future direction is to strengthen green-job data and coordination between skills development, employment policy, industrial policy and climate policy. The ILO assessment indicates that India already has several green initiatives, but policy coherence and labour-market information need further development [7].</w:t>
      </w:r>
    </w:p>
    <w:p w14:paraId="2386F030" w14:textId="77777777" w:rsidR="00711A5F" w:rsidRPr="00F414E8" w:rsidRDefault="001F3FF7">
      <w:pPr>
        <w:pStyle w:val="Heading1"/>
        <w:rPr>
          <w:rFonts w:ascii="Times New Roman" w:hAnsi="Times New Roman" w:cs="Times New Roman"/>
          <w:sz w:val="40"/>
          <w:szCs w:val="40"/>
        </w:rPr>
      </w:pPr>
      <w:r w:rsidRPr="00F414E8">
        <w:rPr>
          <w:rFonts w:ascii="Times New Roman" w:hAnsi="Times New Roman" w:cs="Times New Roman"/>
          <w:sz w:val="40"/>
          <w:szCs w:val="40"/>
        </w:rPr>
        <w:lastRenderedPageBreak/>
        <w:t>9. Conclusion</w:t>
      </w:r>
    </w:p>
    <w:p w14:paraId="0AB93609" w14:textId="77777777" w:rsidR="00711A5F" w:rsidRPr="00F414E8" w:rsidRDefault="001F3FF7">
      <w:pPr>
        <w:rPr>
          <w:rFonts w:ascii="Times New Roman" w:hAnsi="Times New Roman" w:cs="Times New Roman"/>
        </w:rPr>
      </w:pPr>
      <w:r w:rsidRPr="00F414E8">
        <w:rPr>
          <w:rFonts w:ascii="Times New Roman" w:hAnsi="Times New Roman" w:cs="Times New Roman"/>
        </w:rPr>
        <w:t>This literature review examined current trends in green jobs and sustainability using ten selected academic and institutional sources. The thematic analysis shows that green employment is developing alongside the wider transition towards renewable energy, resource efficiency, circular production and low-carbon economic activity.</w:t>
      </w:r>
    </w:p>
    <w:p w14:paraId="7E5AAD84" w14:textId="77777777" w:rsidR="00711A5F" w:rsidRPr="00F414E8" w:rsidRDefault="001F3FF7">
      <w:pPr>
        <w:rPr>
          <w:rFonts w:ascii="Times New Roman" w:hAnsi="Times New Roman" w:cs="Times New Roman"/>
        </w:rPr>
      </w:pPr>
      <w:r w:rsidRPr="00F414E8">
        <w:rPr>
          <w:rFonts w:ascii="Times New Roman" w:hAnsi="Times New Roman" w:cs="Times New Roman"/>
        </w:rPr>
        <w:t>The first major conclusion is that green jobs do not have one universally accepted definition. Nevertheless, the literature broadly connects them with environmental improvement, sustainable resource use and decent employment. This conceptual ambiguity remains a major challenge because inconsistent definitions affect measurement and policy.</w:t>
      </w:r>
    </w:p>
    <w:p w14:paraId="77BF8E45" w14:textId="77777777" w:rsidR="00711A5F" w:rsidRPr="00F414E8" w:rsidRDefault="001F3FF7">
      <w:pPr>
        <w:rPr>
          <w:rFonts w:ascii="Times New Roman" w:hAnsi="Times New Roman" w:cs="Times New Roman"/>
        </w:rPr>
      </w:pPr>
      <w:r w:rsidRPr="00F414E8">
        <w:rPr>
          <w:rFonts w:ascii="Times New Roman" w:hAnsi="Times New Roman" w:cs="Times New Roman"/>
        </w:rPr>
        <w:t>The second conclusion is that green employment opportunities are expanding, particularly in renewable energy and related industries. However, the number of jobs created should not be considered in isolation. Job quality, location, timing, accessibility and worker transitions are equally important.</w:t>
      </w:r>
    </w:p>
    <w:p w14:paraId="0AC1EDDF" w14:textId="77777777" w:rsidR="00711A5F" w:rsidRPr="00F414E8" w:rsidRDefault="001F3FF7">
      <w:pPr>
        <w:rPr>
          <w:rFonts w:ascii="Times New Roman" w:hAnsi="Times New Roman" w:cs="Times New Roman"/>
        </w:rPr>
      </w:pPr>
      <w:r w:rsidRPr="00F414E8">
        <w:rPr>
          <w:rFonts w:ascii="Times New Roman" w:hAnsi="Times New Roman" w:cs="Times New Roman"/>
        </w:rPr>
        <w:t>Third, skills are central to the success of the green transition. Workers will need combinations of technical, environmental, cognitive and digital capabilities. Reskilling and upskilling will therefore be essential, especially for workers moving from carbon-intensive sectors.</w:t>
      </w:r>
    </w:p>
    <w:p w14:paraId="4CCF40C7" w14:textId="77777777" w:rsidR="00711A5F" w:rsidRPr="00F414E8" w:rsidRDefault="001F3FF7">
      <w:pPr>
        <w:rPr>
          <w:rFonts w:ascii="Times New Roman" w:hAnsi="Times New Roman" w:cs="Times New Roman"/>
        </w:rPr>
      </w:pPr>
      <w:r w:rsidRPr="00F414E8">
        <w:rPr>
          <w:rFonts w:ascii="Times New Roman" w:hAnsi="Times New Roman" w:cs="Times New Roman"/>
        </w:rPr>
        <w:t>Fourth, a just transition requires attention to inequality. Workers may have transferable skills but still face geographical or institutional barriers. India and other developing economies also face challenges in establishing consistent definitions, labour-market data and coordinated policy systems.</w:t>
      </w:r>
    </w:p>
    <w:p w14:paraId="45F4F80C" w14:textId="2F33E92B" w:rsidR="00711A5F" w:rsidRDefault="001F3FF7">
      <w:pPr>
        <w:rPr>
          <w:rFonts w:ascii="Times New Roman" w:hAnsi="Times New Roman" w:cs="Times New Roman"/>
        </w:rPr>
      </w:pPr>
      <w:r w:rsidRPr="00F414E8">
        <w:rPr>
          <w:rFonts w:ascii="Times New Roman" w:hAnsi="Times New Roman" w:cs="Times New Roman"/>
        </w:rPr>
        <w:t>Finally, the future of green jobs is likely to involve both new occupations and the greening of existing occupations. Renewable energy, circular economy activities, green innovation and green-digital integration are likely to remain important areas of growth. Future research should improve measurement, expand regional and developing-country evidence, study SME-level job creation more closely, and examine how skills, technology and policy interact. A successful green transition will therefore depend not only on creating green jobs but on building the skills, institutions and inclusive policies needed to make those jobs accessible and sustainable.</w:t>
      </w:r>
    </w:p>
    <w:p w14:paraId="7584E166" w14:textId="1FFC0506" w:rsidR="00F414E8" w:rsidRDefault="00F414E8">
      <w:pPr>
        <w:rPr>
          <w:rFonts w:ascii="Times New Roman" w:hAnsi="Times New Roman" w:cs="Times New Roman"/>
        </w:rPr>
      </w:pPr>
    </w:p>
    <w:p w14:paraId="225969C2" w14:textId="15DC06AA" w:rsidR="00F414E8" w:rsidRDefault="00F414E8">
      <w:pPr>
        <w:rPr>
          <w:rFonts w:ascii="Times New Roman" w:hAnsi="Times New Roman" w:cs="Times New Roman"/>
        </w:rPr>
      </w:pPr>
    </w:p>
    <w:p w14:paraId="34F86919" w14:textId="5AF6D53E" w:rsidR="00F414E8" w:rsidRDefault="00F414E8">
      <w:pPr>
        <w:rPr>
          <w:rFonts w:ascii="Times New Roman" w:hAnsi="Times New Roman" w:cs="Times New Roman"/>
        </w:rPr>
      </w:pPr>
    </w:p>
    <w:p w14:paraId="671921DF" w14:textId="03D64B36" w:rsidR="00F414E8" w:rsidRDefault="00F414E8">
      <w:pPr>
        <w:rPr>
          <w:rFonts w:ascii="Times New Roman" w:hAnsi="Times New Roman" w:cs="Times New Roman"/>
        </w:rPr>
      </w:pPr>
    </w:p>
    <w:p w14:paraId="4F0FFA22" w14:textId="77777777" w:rsidR="00F414E8" w:rsidRPr="00F414E8" w:rsidRDefault="00F414E8">
      <w:pPr>
        <w:rPr>
          <w:rFonts w:ascii="Times New Roman" w:hAnsi="Times New Roman" w:cs="Times New Roman"/>
        </w:rPr>
      </w:pPr>
    </w:p>
    <w:p w14:paraId="61DCB175" w14:textId="77777777" w:rsidR="00711A5F" w:rsidRPr="00F414E8" w:rsidRDefault="001F3FF7">
      <w:pPr>
        <w:pStyle w:val="Heading1"/>
        <w:rPr>
          <w:rFonts w:ascii="Times New Roman" w:hAnsi="Times New Roman" w:cs="Times New Roman"/>
          <w:sz w:val="40"/>
          <w:szCs w:val="40"/>
        </w:rPr>
      </w:pPr>
      <w:r w:rsidRPr="00F414E8">
        <w:rPr>
          <w:rFonts w:ascii="Times New Roman" w:hAnsi="Times New Roman" w:cs="Times New Roman"/>
          <w:sz w:val="40"/>
          <w:szCs w:val="40"/>
        </w:rPr>
        <w:t>10. Source Contribution to the Thematic Analysis</w:t>
      </w:r>
    </w:p>
    <w:p w14:paraId="6A90D22F" w14:textId="77777777" w:rsidR="00711A5F" w:rsidRPr="00F414E8" w:rsidRDefault="001F3FF7">
      <w:pPr>
        <w:rPr>
          <w:rFonts w:ascii="Times New Roman" w:hAnsi="Times New Roman" w:cs="Times New Roman"/>
        </w:rPr>
      </w:pPr>
      <w:r w:rsidRPr="00F414E8">
        <w:rPr>
          <w:rFonts w:ascii="Times New Roman" w:hAnsi="Times New Roman" w:cs="Times New Roman"/>
        </w:rPr>
        <w:t>The following matrix shows how the selected sources were used in the review. It is included to make the research process transparent and to show how the literature was synthesized rather than summarized independently.</w:t>
      </w:r>
    </w:p>
    <w:tbl>
      <w:tblPr>
        <w:tblStyle w:val="TableGrid"/>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3216"/>
        <w:gridCol w:w="3216"/>
        <w:gridCol w:w="3216"/>
      </w:tblGrid>
      <w:tr w:rsidR="00711A5F" w:rsidRPr="00F414E8" w14:paraId="38271020" w14:textId="77777777">
        <w:trPr>
          <w:jc w:val="center"/>
        </w:trPr>
        <w:tc>
          <w:tcPr>
            <w:tcW w:w="3216" w:type="dxa"/>
            <w:shd w:val="clear" w:color="auto" w:fill="D9EAF7"/>
          </w:tcPr>
          <w:p w14:paraId="50DC3881" w14:textId="77777777" w:rsidR="00711A5F" w:rsidRPr="00F414E8" w:rsidRDefault="001F3FF7">
            <w:pPr>
              <w:rPr>
                <w:rFonts w:ascii="Times New Roman" w:hAnsi="Times New Roman" w:cs="Times New Roman"/>
              </w:rPr>
            </w:pPr>
            <w:r w:rsidRPr="00F414E8">
              <w:rPr>
                <w:rFonts w:ascii="Times New Roman" w:hAnsi="Times New Roman" w:cs="Times New Roman"/>
                <w:b/>
              </w:rPr>
              <w:t>Source</w:t>
            </w:r>
          </w:p>
        </w:tc>
        <w:tc>
          <w:tcPr>
            <w:tcW w:w="3216" w:type="dxa"/>
            <w:shd w:val="clear" w:color="auto" w:fill="D9EAF7"/>
          </w:tcPr>
          <w:p w14:paraId="2B708821" w14:textId="77777777" w:rsidR="00711A5F" w:rsidRPr="00F414E8" w:rsidRDefault="001F3FF7">
            <w:pPr>
              <w:rPr>
                <w:rFonts w:ascii="Times New Roman" w:hAnsi="Times New Roman" w:cs="Times New Roman"/>
              </w:rPr>
            </w:pPr>
            <w:r w:rsidRPr="00F414E8">
              <w:rPr>
                <w:rFonts w:ascii="Times New Roman" w:hAnsi="Times New Roman" w:cs="Times New Roman"/>
                <w:b/>
              </w:rPr>
              <w:t>Main contribution</w:t>
            </w:r>
          </w:p>
        </w:tc>
        <w:tc>
          <w:tcPr>
            <w:tcW w:w="3216" w:type="dxa"/>
            <w:shd w:val="clear" w:color="auto" w:fill="D9EAF7"/>
          </w:tcPr>
          <w:p w14:paraId="1723169C" w14:textId="77777777" w:rsidR="00711A5F" w:rsidRPr="00F414E8" w:rsidRDefault="001F3FF7">
            <w:pPr>
              <w:rPr>
                <w:rFonts w:ascii="Times New Roman" w:hAnsi="Times New Roman" w:cs="Times New Roman"/>
              </w:rPr>
            </w:pPr>
            <w:r w:rsidRPr="00F414E8">
              <w:rPr>
                <w:rFonts w:ascii="Times New Roman" w:hAnsi="Times New Roman" w:cs="Times New Roman"/>
                <w:b/>
              </w:rPr>
              <w:t>Where used</w:t>
            </w:r>
          </w:p>
        </w:tc>
      </w:tr>
      <w:tr w:rsidR="00711A5F" w:rsidRPr="00F414E8" w14:paraId="6550B2D5" w14:textId="77777777">
        <w:trPr>
          <w:jc w:val="center"/>
        </w:trPr>
        <w:tc>
          <w:tcPr>
            <w:tcW w:w="3216" w:type="dxa"/>
            <w:tcMar>
              <w:top w:w="80" w:type="dxa"/>
              <w:left w:w="80" w:type="dxa"/>
              <w:bottom w:w="80" w:type="dxa"/>
              <w:right w:w="80" w:type="dxa"/>
            </w:tcMar>
          </w:tcPr>
          <w:p w14:paraId="4DA270F8" w14:textId="77777777" w:rsidR="00711A5F" w:rsidRPr="00F414E8" w:rsidRDefault="001F3FF7">
            <w:pPr>
              <w:rPr>
                <w:rFonts w:ascii="Times New Roman" w:hAnsi="Times New Roman" w:cs="Times New Roman"/>
              </w:rPr>
            </w:pPr>
            <w:r w:rsidRPr="00F414E8">
              <w:rPr>
                <w:rFonts w:ascii="Times New Roman" w:hAnsi="Times New Roman" w:cs="Times New Roman"/>
              </w:rPr>
              <w:t>Stanef-Puică et al. (2022)</w:t>
            </w:r>
          </w:p>
        </w:tc>
        <w:tc>
          <w:tcPr>
            <w:tcW w:w="3216" w:type="dxa"/>
            <w:tcMar>
              <w:top w:w="80" w:type="dxa"/>
              <w:left w:w="80" w:type="dxa"/>
              <w:bottom w:w="80" w:type="dxa"/>
              <w:right w:w="80" w:type="dxa"/>
            </w:tcMar>
          </w:tcPr>
          <w:p w14:paraId="6BD4AFA9" w14:textId="77777777" w:rsidR="00711A5F" w:rsidRPr="00F414E8" w:rsidRDefault="001F3FF7">
            <w:pPr>
              <w:rPr>
                <w:rFonts w:ascii="Times New Roman" w:hAnsi="Times New Roman" w:cs="Times New Roman"/>
              </w:rPr>
            </w:pPr>
            <w:r w:rsidRPr="00F414E8">
              <w:rPr>
                <w:rFonts w:ascii="Times New Roman" w:hAnsi="Times New Roman" w:cs="Times New Roman"/>
              </w:rPr>
              <w:t>Definitions; literature landscape</w:t>
            </w:r>
          </w:p>
        </w:tc>
        <w:tc>
          <w:tcPr>
            <w:tcW w:w="3216" w:type="dxa"/>
            <w:tcMar>
              <w:top w:w="80" w:type="dxa"/>
              <w:left w:w="80" w:type="dxa"/>
              <w:bottom w:w="80" w:type="dxa"/>
              <w:right w:w="80" w:type="dxa"/>
            </w:tcMar>
          </w:tcPr>
          <w:p w14:paraId="5963D0DE" w14:textId="77777777" w:rsidR="00711A5F" w:rsidRPr="00F414E8" w:rsidRDefault="001F3FF7">
            <w:pPr>
              <w:rPr>
                <w:rFonts w:ascii="Times New Roman" w:hAnsi="Times New Roman" w:cs="Times New Roman"/>
              </w:rPr>
            </w:pPr>
            <w:r w:rsidRPr="00F414E8">
              <w:rPr>
                <w:rFonts w:ascii="Times New Roman" w:hAnsi="Times New Roman" w:cs="Times New Roman"/>
              </w:rPr>
              <w:t>Themes 1, 2, 6</w:t>
            </w:r>
          </w:p>
        </w:tc>
      </w:tr>
      <w:tr w:rsidR="00711A5F" w:rsidRPr="00F414E8" w14:paraId="13F7D927" w14:textId="77777777">
        <w:trPr>
          <w:jc w:val="center"/>
        </w:trPr>
        <w:tc>
          <w:tcPr>
            <w:tcW w:w="3216" w:type="dxa"/>
            <w:tcMar>
              <w:top w:w="80" w:type="dxa"/>
              <w:left w:w="80" w:type="dxa"/>
              <w:bottom w:w="80" w:type="dxa"/>
              <w:right w:w="80" w:type="dxa"/>
            </w:tcMar>
          </w:tcPr>
          <w:p w14:paraId="63E97B94" w14:textId="77777777" w:rsidR="00711A5F" w:rsidRPr="00F414E8" w:rsidRDefault="001F3FF7">
            <w:pPr>
              <w:rPr>
                <w:rFonts w:ascii="Times New Roman" w:hAnsi="Times New Roman" w:cs="Times New Roman"/>
              </w:rPr>
            </w:pPr>
            <w:r w:rsidRPr="00F414E8">
              <w:rPr>
                <w:rFonts w:ascii="Times New Roman" w:hAnsi="Times New Roman" w:cs="Times New Roman"/>
              </w:rPr>
              <w:t>Olekanma et al. (2024)</w:t>
            </w:r>
          </w:p>
        </w:tc>
        <w:tc>
          <w:tcPr>
            <w:tcW w:w="3216" w:type="dxa"/>
            <w:tcMar>
              <w:top w:w="80" w:type="dxa"/>
              <w:left w:w="80" w:type="dxa"/>
              <w:bottom w:w="80" w:type="dxa"/>
              <w:right w:w="80" w:type="dxa"/>
            </w:tcMar>
          </w:tcPr>
          <w:p w14:paraId="0F36D3AE" w14:textId="77777777" w:rsidR="00711A5F" w:rsidRPr="00F414E8" w:rsidRDefault="001F3FF7">
            <w:pPr>
              <w:rPr>
                <w:rFonts w:ascii="Times New Roman" w:hAnsi="Times New Roman" w:cs="Times New Roman"/>
              </w:rPr>
            </w:pPr>
            <w:r w:rsidRPr="00F414E8">
              <w:rPr>
                <w:rFonts w:ascii="Times New Roman" w:hAnsi="Times New Roman" w:cs="Times New Roman"/>
              </w:rPr>
              <w:t>SMEs; carbon reduction; green innovation</w:t>
            </w:r>
          </w:p>
        </w:tc>
        <w:tc>
          <w:tcPr>
            <w:tcW w:w="3216" w:type="dxa"/>
            <w:tcMar>
              <w:top w:w="80" w:type="dxa"/>
              <w:left w:w="80" w:type="dxa"/>
              <w:bottom w:w="80" w:type="dxa"/>
              <w:right w:w="80" w:type="dxa"/>
            </w:tcMar>
          </w:tcPr>
          <w:p w14:paraId="456377CD" w14:textId="77777777" w:rsidR="00711A5F" w:rsidRPr="00F414E8" w:rsidRDefault="001F3FF7">
            <w:pPr>
              <w:rPr>
                <w:rFonts w:ascii="Times New Roman" w:hAnsi="Times New Roman" w:cs="Times New Roman"/>
              </w:rPr>
            </w:pPr>
            <w:r w:rsidRPr="00F414E8">
              <w:rPr>
                <w:rFonts w:ascii="Times New Roman" w:hAnsi="Times New Roman" w:cs="Times New Roman"/>
              </w:rPr>
              <w:t>Themes 2, 7; research gaps</w:t>
            </w:r>
          </w:p>
        </w:tc>
      </w:tr>
      <w:tr w:rsidR="00711A5F" w:rsidRPr="00F414E8" w14:paraId="0A830951" w14:textId="77777777">
        <w:trPr>
          <w:jc w:val="center"/>
        </w:trPr>
        <w:tc>
          <w:tcPr>
            <w:tcW w:w="3216" w:type="dxa"/>
            <w:tcMar>
              <w:top w:w="80" w:type="dxa"/>
              <w:left w:w="80" w:type="dxa"/>
              <w:bottom w:w="80" w:type="dxa"/>
              <w:right w:w="80" w:type="dxa"/>
            </w:tcMar>
          </w:tcPr>
          <w:p w14:paraId="2652734E" w14:textId="018B8EAA" w:rsidR="00711A5F" w:rsidRPr="00F414E8" w:rsidRDefault="007D74C8">
            <w:pPr>
              <w:rPr>
                <w:rFonts w:ascii="Times New Roman" w:hAnsi="Times New Roman" w:cs="Times New Roman"/>
              </w:rPr>
            </w:pPr>
            <w:r>
              <w:rPr>
                <w:rFonts w:ascii="Times New Roman" w:hAnsi="Times New Roman" w:cs="Times New Roman"/>
              </w:rPr>
              <w:t>Consoli et al. (2016</w:t>
            </w:r>
            <w:r w:rsidR="001F3FF7" w:rsidRPr="00F414E8">
              <w:rPr>
                <w:rFonts w:ascii="Times New Roman" w:hAnsi="Times New Roman" w:cs="Times New Roman"/>
              </w:rPr>
              <w:t>)</w:t>
            </w:r>
          </w:p>
        </w:tc>
        <w:tc>
          <w:tcPr>
            <w:tcW w:w="3216" w:type="dxa"/>
            <w:tcMar>
              <w:top w:w="80" w:type="dxa"/>
              <w:left w:w="80" w:type="dxa"/>
              <w:bottom w:w="80" w:type="dxa"/>
              <w:right w:w="80" w:type="dxa"/>
            </w:tcMar>
          </w:tcPr>
          <w:p w14:paraId="441E2B69" w14:textId="77777777" w:rsidR="00711A5F" w:rsidRPr="00F414E8" w:rsidRDefault="001F3FF7">
            <w:pPr>
              <w:rPr>
                <w:rFonts w:ascii="Times New Roman" w:hAnsi="Times New Roman" w:cs="Times New Roman"/>
              </w:rPr>
            </w:pPr>
            <w:r w:rsidRPr="00F414E8">
              <w:rPr>
                <w:rFonts w:ascii="Times New Roman" w:hAnsi="Times New Roman" w:cs="Times New Roman"/>
              </w:rPr>
              <w:t>Skills and human capital</w:t>
            </w:r>
          </w:p>
        </w:tc>
        <w:tc>
          <w:tcPr>
            <w:tcW w:w="3216" w:type="dxa"/>
            <w:tcMar>
              <w:top w:w="80" w:type="dxa"/>
              <w:left w:w="80" w:type="dxa"/>
              <w:bottom w:w="80" w:type="dxa"/>
              <w:right w:w="80" w:type="dxa"/>
            </w:tcMar>
          </w:tcPr>
          <w:p w14:paraId="54743E33" w14:textId="77777777" w:rsidR="00711A5F" w:rsidRPr="00F414E8" w:rsidRDefault="001F3FF7">
            <w:pPr>
              <w:rPr>
                <w:rFonts w:ascii="Times New Roman" w:hAnsi="Times New Roman" w:cs="Times New Roman"/>
              </w:rPr>
            </w:pPr>
            <w:r w:rsidRPr="00F414E8">
              <w:rPr>
                <w:rFonts w:ascii="Times New Roman" w:hAnsi="Times New Roman" w:cs="Times New Roman"/>
              </w:rPr>
              <w:t>Theme 3</w:t>
            </w:r>
          </w:p>
        </w:tc>
      </w:tr>
      <w:tr w:rsidR="00711A5F" w:rsidRPr="00F414E8" w14:paraId="2C4437CC" w14:textId="77777777">
        <w:trPr>
          <w:jc w:val="center"/>
        </w:trPr>
        <w:tc>
          <w:tcPr>
            <w:tcW w:w="3216" w:type="dxa"/>
            <w:tcMar>
              <w:top w:w="80" w:type="dxa"/>
              <w:left w:w="80" w:type="dxa"/>
              <w:bottom w:w="80" w:type="dxa"/>
              <w:right w:w="80" w:type="dxa"/>
            </w:tcMar>
          </w:tcPr>
          <w:p w14:paraId="60091348" w14:textId="77777777" w:rsidR="00711A5F" w:rsidRPr="00F414E8" w:rsidRDefault="001F3FF7">
            <w:pPr>
              <w:rPr>
                <w:rFonts w:ascii="Times New Roman" w:hAnsi="Times New Roman" w:cs="Times New Roman"/>
              </w:rPr>
            </w:pPr>
            <w:r w:rsidRPr="00F414E8">
              <w:rPr>
                <w:rFonts w:ascii="Times New Roman" w:hAnsi="Times New Roman" w:cs="Times New Roman"/>
              </w:rPr>
              <w:t>Lim et al. (2023)</w:t>
            </w:r>
          </w:p>
        </w:tc>
        <w:tc>
          <w:tcPr>
            <w:tcW w:w="3216" w:type="dxa"/>
            <w:tcMar>
              <w:top w:w="80" w:type="dxa"/>
              <w:left w:w="80" w:type="dxa"/>
              <w:bottom w:w="80" w:type="dxa"/>
              <w:right w:w="80" w:type="dxa"/>
            </w:tcMar>
          </w:tcPr>
          <w:p w14:paraId="5735AD76" w14:textId="77777777" w:rsidR="00711A5F" w:rsidRPr="00F414E8" w:rsidRDefault="001F3FF7">
            <w:pPr>
              <w:rPr>
                <w:rFonts w:ascii="Times New Roman" w:hAnsi="Times New Roman" w:cs="Times New Roman"/>
              </w:rPr>
            </w:pPr>
            <w:r w:rsidRPr="00F414E8">
              <w:rPr>
                <w:rFonts w:ascii="Times New Roman" w:hAnsi="Times New Roman" w:cs="Times New Roman"/>
              </w:rPr>
              <w:t xml:space="preserve">Worker mobility; location of green </w:t>
            </w:r>
            <w:r w:rsidRPr="00F414E8">
              <w:rPr>
                <w:rFonts w:ascii="Times New Roman" w:hAnsi="Times New Roman" w:cs="Times New Roman"/>
              </w:rPr>
              <w:lastRenderedPageBreak/>
              <w:t>jobs</w:t>
            </w:r>
          </w:p>
        </w:tc>
        <w:tc>
          <w:tcPr>
            <w:tcW w:w="3216" w:type="dxa"/>
            <w:tcMar>
              <w:top w:w="80" w:type="dxa"/>
              <w:left w:w="80" w:type="dxa"/>
              <w:bottom w:w="80" w:type="dxa"/>
              <w:right w:w="80" w:type="dxa"/>
            </w:tcMar>
          </w:tcPr>
          <w:p w14:paraId="414C6ED2" w14:textId="77777777" w:rsidR="00711A5F" w:rsidRPr="00F414E8" w:rsidRDefault="001F3FF7">
            <w:pPr>
              <w:rPr>
                <w:rFonts w:ascii="Times New Roman" w:hAnsi="Times New Roman" w:cs="Times New Roman"/>
              </w:rPr>
            </w:pPr>
            <w:r w:rsidRPr="00F414E8">
              <w:rPr>
                <w:rFonts w:ascii="Times New Roman" w:hAnsi="Times New Roman" w:cs="Times New Roman"/>
              </w:rPr>
              <w:lastRenderedPageBreak/>
              <w:t>Theme 5</w:t>
            </w:r>
          </w:p>
        </w:tc>
      </w:tr>
      <w:tr w:rsidR="00711A5F" w:rsidRPr="00F414E8" w14:paraId="44C11233" w14:textId="77777777">
        <w:trPr>
          <w:jc w:val="center"/>
        </w:trPr>
        <w:tc>
          <w:tcPr>
            <w:tcW w:w="3216" w:type="dxa"/>
            <w:tcMar>
              <w:top w:w="80" w:type="dxa"/>
              <w:left w:w="80" w:type="dxa"/>
              <w:bottom w:w="80" w:type="dxa"/>
              <w:right w:w="80" w:type="dxa"/>
            </w:tcMar>
          </w:tcPr>
          <w:p w14:paraId="501D47DA" w14:textId="77777777" w:rsidR="00711A5F" w:rsidRPr="00F414E8" w:rsidRDefault="001F3FF7">
            <w:pPr>
              <w:rPr>
                <w:rFonts w:ascii="Times New Roman" w:hAnsi="Times New Roman" w:cs="Times New Roman"/>
              </w:rPr>
            </w:pPr>
            <w:r w:rsidRPr="00F414E8">
              <w:rPr>
                <w:rFonts w:ascii="Times New Roman" w:hAnsi="Times New Roman" w:cs="Times New Roman"/>
              </w:rPr>
              <w:t>Emmerling et al. (2025)</w:t>
            </w:r>
          </w:p>
        </w:tc>
        <w:tc>
          <w:tcPr>
            <w:tcW w:w="3216" w:type="dxa"/>
            <w:tcMar>
              <w:top w:w="80" w:type="dxa"/>
              <w:left w:w="80" w:type="dxa"/>
              <w:bottom w:w="80" w:type="dxa"/>
              <w:right w:w="80" w:type="dxa"/>
            </w:tcMar>
          </w:tcPr>
          <w:p w14:paraId="0E5A5F9F" w14:textId="77777777" w:rsidR="00711A5F" w:rsidRPr="00F414E8" w:rsidRDefault="001F3FF7">
            <w:pPr>
              <w:rPr>
                <w:rFonts w:ascii="Times New Roman" w:hAnsi="Times New Roman" w:cs="Times New Roman"/>
              </w:rPr>
            </w:pPr>
            <w:r w:rsidRPr="00F414E8">
              <w:rPr>
                <w:rFonts w:ascii="Times New Roman" w:hAnsi="Times New Roman" w:cs="Times New Roman"/>
              </w:rPr>
              <w:t>Europe; Net Zero; employment modelling</w:t>
            </w:r>
          </w:p>
        </w:tc>
        <w:tc>
          <w:tcPr>
            <w:tcW w:w="3216" w:type="dxa"/>
            <w:tcMar>
              <w:top w:w="80" w:type="dxa"/>
              <w:left w:w="80" w:type="dxa"/>
              <w:bottom w:w="80" w:type="dxa"/>
              <w:right w:w="80" w:type="dxa"/>
            </w:tcMar>
          </w:tcPr>
          <w:p w14:paraId="3C13200B" w14:textId="77777777" w:rsidR="00711A5F" w:rsidRPr="00F414E8" w:rsidRDefault="001F3FF7">
            <w:pPr>
              <w:rPr>
                <w:rFonts w:ascii="Times New Roman" w:hAnsi="Times New Roman" w:cs="Times New Roman"/>
              </w:rPr>
            </w:pPr>
            <w:r w:rsidRPr="00F414E8">
              <w:rPr>
                <w:rFonts w:ascii="Times New Roman" w:hAnsi="Times New Roman" w:cs="Times New Roman"/>
              </w:rPr>
              <w:t>Themes 2, 3, 5</w:t>
            </w:r>
          </w:p>
        </w:tc>
      </w:tr>
      <w:tr w:rsidR="00711A5F" w:rsidRPr="00F414E8" w14:paraId="35354967" w14:textId="77777777">
        <w:trPr>
          <w:jc w:val="center"/>
        </w:trPr>
        <w:tc>
          <w:tcPr>
            <w:tcW w:w="3216" w:type="dxa"/>
            <w:tcMar>
              <w:top w:w="80" w:type="dxa"/>
              <w:left w:w="80" w:type="dxa"/>
              <w:bottom w:w="80" w:type="dxa"/>
              <w:right w:w="80" w:type="dxa"/>
            </w:tcMar>
          </w:tcPr>
          <w:p w14:paraId="3DE3FDF4" w14:textId="77777777" w:rsidR="00711A5F" w:rsidRPr="00F414E8" w:rsidRDefault="001F3FF7">
            <w:pPr>
              <w:rPr>
                <w:rFonts w:ascii="Times New Roman" w:hAnsi="Times New Roman" w:cs="Times New Roman"/>
              </w:rPr>
            </w:pPr>
            <w:r w:rsidRPr="00F414E8">
              <w:rPr>
                <w:rFonts w:ascii="Times New Roman" w:hAnsi="Times New Roman" w:cs="Times New Roman"/>
              </w:rPr>
              <w:t>IRENA &amp; ILO (2026)</w:t>
            </w:r>
          </w:p>
        </w:tc>
        <w:tc>
          <w:tcPr>
            <w:tcW w:w="3216" w:type="dxa"/>
            <w:tcMar>
              <w:top w:w="80" w:type="dxa"/>
              <w:left w:w="80" w:type="dxa"/>
              <w:bottom w:w="80" w:type="dxa"/>
              <w:right w:w="80" w:type="dxa"/>
            </w:tcMar>
          </w:tcPr>
          <w:p w14:paraId="6E9241CB" w14:textId="77777777" w:rsidR="00711A5F" w:rsidRPr="00F414E8" w:rsidRDefault="001F3FF7">
            <w:pPr>
              <w:rPr>
                <w:rFonts w:ascii="Times New Roman" w:hAnsi="Times New Roman" w:cs="Times New Roman"/>
              </w:rPr>
            </w:pPr>
            <w:r w:rsidRPr="00F414E8">
              <w:rPr>
                <w:rFonts w:ascii="Times New Roman" w:hAnsi="Times New Roman" w:cs="Times New Roman"/>
              </w:rPr>
              <w:t>Renewable-energy employment</w:t>
            </w:r>
          </w:p>
        </w:tc>
        <w:tc>
          <w:tcPr>
            <w:tcW w:w="3216" w:type="dxa"/>
            <w:tcMar>
              <w:top w:w="80" w:type="dxa"/>
              <w:left w:w="80" w:type="dxa"/>
              <w:bottom w:w="80" w:type="dxa"/>
              <w:right w:w="80" w:type="dxa"/>
            </w:tcMar>
          </w:tcPr>
          <w:p w14:paraId="7BF305DF" w14:textId="77777777" w:rsidR="00711A5F" w:rsidRPr="00F414E8" w:rsidRDefault="001F3FF7">
            <w:pPr>
              <w:rPr>
                <w:rFonts w:ascii="Times New Roman" w:hAnsi="Times New Roman" w:cs="Times New Roman"/>
              </w:rPr>
            </w:pPr>
            <w:r w:rsidRPr="00F414E8">
              <w:rPr>
                <w:rFonts w:ascii="Times New Roman" w:hAnsi="Times New Roman" w:cs="Times New Roman"/>
              </w:rPr>
              <w:t>Themes 2, 3, 4, 5, 6</w:t>
            </w:r>
          </w:p>
        </w:tc>
      </w:tr>
      <w:tr w:rsidR="00711A5F" w:rsidRPr="00F414E8" w14:paraId="5844F9BF" w14:textId="77777777">
        <w:trPr>
          <w:jc w:val="center"/>
        </w:trPr>
        <w:tc>
          <w:tcPr>
            <w:tcW w:w="3216" w:type="dxa"/>
            <w:tcMar>
              <w:top w:w="80" w:type="dxa"/>
              <w:left w:w="80" w:type="dxa"/>
              <w:bottom w:w="80" w:type="dxa"/>
              <w:right w:w="80" w:type="dxa"/>
            </w:tcMar>
          </w:tcPr>
          <w:p w14:paraId="584DC4F7" w14:textId="77777777" w:rsidR="00711A5F" w:rsidRPr="00F414E8" w:rsidRDefault="001F3FF7">
            <w:pPr>
              <w:rPr>
                <w:rFonts w:ascii="Times New Roman" w:hAnsi="Times New Roman" w:cs="Times New Roman"/>
              </w:rPr>
            </w:pPr>
            <w:r w:rsidRPr="00F414E8">
              <w:rPr>
                <w:rFonts w:ascii="Times New Roman" w:hAnsi="Times New Roman" w:cs="Times New Roman"/>
              </w:rPr>
              <w:t>ILO (2024)</w:t>
            </w:r>
          </w:p>
        </w:tc>
        <w:tc>
          <w:tcPr>
            <w:tcW w:w="3216" w:type="dxa"/>
            <w:tcMar>
              <w:top w:w="80" w:type="dxa"/>
              <w:left w:w="80" w:type="dxa"/>
              <w:bottom w:w="80" w:type="dxa"/>
              <w:right w:w="80" w:type="dxa"/>
            </w:tcMar>
          </w:tcPr>
          <w:p w14:paraId="3A8A1BAF" w14:textId="77777777" w:rsidR="00711A5F" w:rsidRPr="00F414E8" w:rsidRDefault="001F3FF7">
            <w:pPr>
              <w:rPr>
                <w:rFonts w:ascii="Times New Roman" w:hAnsi="Times New Roman" w:cs="Times New Roman"/>
              </w:rPr>
            </w:pPr>
            <w:r w:rsidRPr="00F414E8">
              <w:rPr>
                <w:rFonts w:ascii="Times New Roman" w:hAnsi="Times New Roman" w:cs="Times New Roman"/>
              </w:rPr>
              <w:t>India policy readiness</w:t>
            </w:r>
          </w:p>
        </w:tc>
        <w:tc>
          <w:tcPr>
            <w:tcW w:w="3216" w:type="dxa"/>
            <w:tcMar>
              <w:top w:w="80" w:type="dxa"/>
              <w:left w:w="80" w:type="dxa"/>
              <w:bottom w:w="80" w:type="dxa"/>
              <w:right w:w="80" w:type="dxa"/>
            </w:tcMar>
          </w:tcPr>
          <w:p w14:paraId="5F54EE40" w14:textId="77777777" w:rsidR="00711A5F" w:rsidRPr="00F414E8" w:rsidRDefault="001F3FF7">
            <w:pPr>
              <w:rPr>
                <w:rFonts w:ascii="Times New Roman" w:hAnsi="Times New Roman" w:cs="Times New Roman"/>
              </w:rPr>
            </w:pPr>
            <w:r w:rsidRPr="00F414E8">
              <w:rPr>
                <w:rFonts w:ascii="Times New Roman" w:hAnsi="Times New Roman" w:cs="Times New Roman"/>
              </w:rPr>
              <w:t>Themes 1, 3, 5, 6</w:t>
            </w:r>
          </w:p>
        </w:tc>
      </w:tr>
      <w:tr w:rsidR="00711A5F" w:rsidRPr="00F414E8" w14:paraId="7260B45A" w14:textId="77777777">
        <w:trPr>
          <w:jc w:val="center"/>
        </w:trPr>
        <w:tc>
          <w:tcPr>
            <w:tcW w:w="3216" w:type="dxa"/>
            <w:tcMar>
              <w:top w:w="80" w:type="dxa"/>
              <w:left w:w="80" w:type="dxa"/>
              <w:bottom w:w="80" w:type="dxa"/>
              <w:right w:w="80" w:type="dxa"/>
            </w:tcMar>
          </w:tcPr>
          <w:p w14:paraId="692DEED3" w14:textId="77777777" w:rsidR="00711A5F" w:rsidRPr="00F414E8" w:rsidRDefault="001F3FF7">
            <w:pPr>
              <w:rPr>
                <w:rFonts w:ascii="Times New Roman" w:hAnsi="Times New Roman" w:cs="Times New Roman"/>
              </w:rPr>
            </w:pPr>
            <w:r w:rsidRPr="00F414E8">
              <w:rPr>
                <w:rFonts w:ascii="Times New Roman" w:hAnsi="Times New Roman" w:cs="Times New Roman"/>
              </w:rPr>
              <w:t>ILO (2025)</w:t>
            </w:r>
          </w:p>
        </w:tc>
        <w:tc>
          <w:tcPr>
            <w:tcW w:w="3216" w:type="dxa"/>
            <w:tcMar>
              <w:top w:w="80" w:type="dxa"/>
              <w:left w:w="80" w:type="dxa"/>
              <w:bottom w:w="80" w:type="dxa"/>
              <w:right w:w="80" w:type="dxa"/>
            </w:tcMar>
          </w:tcPr>
          <w:p w14:paraId="222FF7B6" w14:textId="77777777" w:rsidR="00711A5F" w:rsidRPr="00F414E8" w:rsidRDefault="001F3FF7">
            <w:pPr>
              <w:rPr>
                <w:rFonts w:ascii="Times New Roman" w:hAnsi="Times New Roman" w:cs="Times New Roman"/>
              </w:rPr>
            </w:pPr>
            <w:r w:rsidRPr="00F414E8">
              <w:rPr>
                <w:rFonts w:ascii="Times New Roman" w:hAnsi="Times New Roman" w:cs="Times New Roman"/>
              </w:rPr>
              <w:t>Green/digital skills and workforce</w:t>
            </w:r>
          </w:p>
        </w:tc>
        <w:tc>
          <w:tcPr>
            <w:tcW w:w="3216" w:type="dxa"/>
            <w:tcMar>
              <w:top w:w="80" w:type="dxa"/>
              <w:left w:w="80" w:type="dxa"/>
              <w:bottom w:w="80" w:type="dxa"/>
              <w:right w:w="80" w:type="dxa"/>
            </w:tcMar>
          </w:tcPr>
          <w:p w14:paraId="253EB98A" w14:textId="77777777" w:rsidR="00711A5F" w:rsidRPr="00F414E8" w:rsidRDefault="001F3FF7">
            <w:pPr>
              <w:rPr>
                <w:rFonts w:ascii="Times New Roman" w:hAnsi="Times New Roman" w:cs="Times New Roman"/>
              </w:rPr>
            </w:pPr>
            <w:r w:rsidRPr="00F414E8">
              <w:rPr>
                <w:rFonts w:ascii="Times New Roman" w:hAnsi="Times New Roman" w:cs="Times New Roman"/>
              </w:rPr>
              <w:t>Themes 3, 5, 6; future trends</w:t>
            </w:r>
          </w:p>
        </w:tc>
      </w:tr>
      <w:tr w:rsidR="00711A5F" w:rsidRPr="00F414E8" w14:paraId="54FC8671" w14:textId="77777777">
        <w:trPr>
          <w:jc w:val="center"/>
        </w:trPr>
        <w:tc>
          <w:tcPr>
            <w:tcW w:w="3216" w:type="dxa"/>
            <w:tcMar>
              <w:top w:w="80" w:type="dxa"/>
              <w:left w:w="80" w:type="dxa"/>
              <w:bottom w:w="80" w:type="dxa"/>
              <w:right w:w="80" w:type="dxa"/>
            </w:tcMar>
          </w:tcPr>
          <w:p w14:paraId="02F3DD01" w14:textId="77777777" w:rsidR="00711A5F" w:rsidRPr="00F414E8" w:rsidRDefault="001F3FF7">
            <w:pPr>
              <w:rPr>
                <w:rFonts w:ascii="Times New Roman" w:hAnsi="Times New Roman" w:cs="Times New Roman"/>
              </w:rPr>
            </w:pPr>
            <w:r w:rsidRPr="00F414E8">
              <w:rPr>
                <w:rFonts w:ascii="Times New Roman" w:hAnsi="Times New Roman" w:cs="Times New Roman"/>
              </w:rPr>
              <w:t>Bag et al. (2026)</w:t>
            </w:r>
          </w:p>
        </w:tc>
        <w:tc>
          <w:tcPr>
            <w:tcW w:w="3216" w:type="dxa"/>
            <w:tcMar>
              <w:top w:w="80" w:type="dxa"/>
              <w:left w:w="80" w:type="dxa"/>
              <w:bottom w:w="80" w:type="dxa"/>
              <w:right w:w="80" w:type="dxa"/>
            </w:tcMar>
          </w:tcPr>
          <w:p w14:paraId="60723006" w14:textId="77777777" w:rsidR="00711A5F" w:rsidRPr="00F414E8" w:rsidRDefault="001F3FF7">
            <w:pPr>
              <w:rPr>
                <w:rFonts w:ascii="Times New Roman" w:hAnsi="Times New Roman" w:cs="Times New Roman"/>
              </w:rPr>
            </w:pPr>
            <w:r w:rsidRPr="00F414E8">
              <w:rPr>
                <w:rFonts w:ascii="Times New Roman" w:hAnsi="Times New Roman" w:cs="Times New Roman"/>
              </w:rPr>
              <w:t>India green-job opportunities</w:t>
            </w:r>
          </w:p>
        </w:tc>
        <w:tc>
          <w:tcPr>
            <w:tcW w:w="3216" w:type="dxa"/>
            <w:tcMar>
              <w:top w:w="80" w:type="dxa"/>
              <w:left w:w="80" w:type="dxa"/>
              <w:bottom w:w="80" w:type="dxa"/>
              <w:right w:w="80" w:type="dxa"/>
            </w:tcMar>
          </w:tcPr>
          <w:p w14:paraId="17A94D05" w14:textId="77777777" w:rsidR="00711A5F" w:rsidRPr="00F414E8" w:rsidRDefault="001F3FF7">
            <w:pPr>
              <w:rPr>
                <w:rFonts w:ascii="Times New Roman" w:hAnsi="Times New Roman" w:cs="Times New Roman"/>
              </w:rPr>
            </w:pPr>
            <w:r w:rsidRPr="00F414E8">
              <w:rPr>
                <w:rFonts w:ascii="Times New Roman" w:hAnsi="Times New Roman" w:cs="Times New Roman"/>
              </w:rPr>
              <w:t>Themes 2, 4</w:t>
            </w:r>
          </w:p>
        </w:tc>
      </w:tr>
      <w:tr w:rsidR="00711A5F" w:rsidRPr="00F414E8" w14:paraId="52264073" w14:textId="77777777">
        <w:trPr>
          <w:jc w:val="center"/>
        </w:trPr>
        <w:tc>
          <w:tcPr>
            <w:tcW w:w="3216" w:type="dxa"/>
            <w:tcMar>
              <w:top w:w="80" w:type="dxa"/>
              <w:left w:w="80" w:type="dxa"/>
              <w:bottom w:w="80" w:type="dxa"/>
              <w:right w:w="80" w:type="dxa"/>
            </w:tcMar>
          </w:tcPr>
          <w:p w14:paraId="76BE7DC8" w14:textId="77777777" w:rsidR="00711A5F" w:rsidRPr="00F414E8" w:rsidRDefault="001F3FF7">
            <w:pPr>
              <w:rPr>
                <w:rFonts w:ascii="Times New Roman" w:hAnsi="Times New Roman" w:cs="Times New Roman"/>
              </w:rPr>
            </w:pPr>
            <w:r w:rsidRPr="00F414E8">
              <w:rPr>
                <w:rFonts w:ascii="Times New Roman" w:hAnsi="Times New Roman" w:cs="Times New Roman"/>
              </w:rPr>
              <w:t>Benlaria et al. (2026)</w:t>
            </w:r>
          </w:p>
        </w:tc>
        <w:tc>
          <w:tcPr>
            <w:tcW w:w="3216" w:type="dxa"/>
            <w:tcMar>
              <w:top w:w="80" w:type="dxa"/>
              <w:left w:w="80" w:type="dxa"/>
              <w:bottom w:w="80" w:type="dxa"/>
              <w:right w:w="80" w:type="dxa"/>
            </w:tcMar>
          </w:tcPr>
          <w:p w14:paraId="04EC4E9B" w14:textId="77777777" w:rsidR="00711A5F" w:rsidRPr="00F414E8" w:rsidRDefault="001F3FF7">
            <w:pPr>
              <w:rPr>
                <w:rFonts w:ascii="Times New Roman" w:hAnsi="Times New Roman" w:cs="Times New Roman"/>
              </w:rPr>
            </w:pPr>
            <w:r w:rsidRPr="00F414E8">
              <w:rPr>
                <w:rFonts w:ascii="Times New Roman" w:hAnsi="Times New Roman" w:cs="Times New Roman"/>
              </w:rPr>
              <w:t>Green employment and economic growth</w:t>
            </w:r>
          </w:p>
        </w:tc>
        <w:tc>
          <w:tcPr>
            <w:tcW w:w="3216" w:type="dxa"/>
            <w:tcMar>
              <w:top w:w="80" w:type="dxa"/>
              <w:left w:w="80" w:type="dxa"/>
              <w:bottom w:w="80" w:type="dxa"/>
              <w:right w:w="80" w:type="dxa"/>
            </w:tcMar>
          </w:tcPr>
          <w:p w14:paraId="789047FA" w14:textId="77777777" w:rsidR="00711A5F" w:rsidRPr="00F414E8" w:rsidRDefault="001F3FF7">
            <w:pPr>
              <w:rPr>
                <w:rFonts w:ascii="Times New Roman" w:hAnsi="Times New Roman" w:cs="Times New Roman"/>
              </w:rPr>
            </w:pPr>
            <w:r w:rsidRPr="00F414E8">
              <w:rPr>
                <w:rFonts w:ascii="Times New Roman" w:hAnsi="Times New Roman" w:cs="Times New Roman"/>
              </w:rPr>
              <w:t>Theme 6</w:t>
            </w:r>
          </w:p>
        </w:tc>
      </w:tr>
    </w:tbl>
    <w:p w14:paraId="208354B8" w14:textId="77777777" w:rsidR="00711A5F" w:rsidRPr="00F414E8" w:rsidRDefault="001F3FF7">
      <w:pPr>
        <w:pStyle w:val="Heading1"/>
        <w:rPr>
          <w:rFonts w:ascii="Times New Roman" w:hAnsi="Times New Roman" w:cs="Times New Roman"/>
          <w:sz w:val="40"/>
          <w:szCs w:val="40"/>
        </w:rPr>
      </w:pPr>
      <w:r w:rsidRPr="00F414E8">
        <w:rPr>
          <w:rFonts w:ascii="Times New Roman" w:hAnsi="Times New Roman" w:cs="Times New Roman"/>
          <w:sz w:val="40"/>
          <w:szCs w:val="40"/>
        </w:rPr>
        <w:t>References</w:t>
      </w:r>
    </w:p>
    <w:p w14:paraId="7F67FAB5" w14:textId="77777777" w:rsidR="00F414E8" w:rsidRDefault="001F3FF7" w:rsidP="007351FF">
      <w:pPr>
        <w:pStyle w:val="ListParagraph"/>
        <w:numPr>
          <w:ilvl w:val="0"/>
          <w:numId w:val="10"/>
        </w:numPr>
        <w:spacing w:after="140"/>
        <w:rPr>
          <w:rFonts w:ascii="Times New Roman" w:hAnsi="Times New Roman" w:cs="Times New Roman"/>
        </w:rPr>
      </w:pPr>
      <w:r w:rsidRPr="00F414E8">
        <w:rPr>
          <w:rFonts w:ascii="Times New Roman" w:hAnsi="Times New Roman" w:cs="Times New Roman"/>
        </w:rPr>
        <w:t>Bag, P., Malik, R., Behera, A., Dhali, M., &amp; Behera, S. (2026). Green and sustainable jobs in India: Opportunities, case studies, and future prospects. International Journal of Versatile Research and Analysis, 4(4), 649–655.</w:t>
      </w:r>
    </w:p>
    <w:p w14:paraId="0EF4F18C" w14:textId="5C4E20D2" w:rsidR="00F414E8" w:rsidRDefault="001F3FF7" w:rsidP="00F414E8">
      <w:pPr>
        <w:pStyle w:val="ListParagraph"/>
        <w:numPr>
          <w:ilvl w:val="0"/>
          <w:numId w:val="10"/>
        </w:numPr>
        <w:spacing w:after="140"/>
        <w:rPr>
          <w:rFonts w:ascii="Times New Roman" w:hAnsi="Times New Roman" w:cs="Times New Roman"/>
        </w:rPr>
      </w:pPr>
      <w:r w:rsidRPr="00F414E8">
        <w:rPr>
          <w:rFonts w:ascii="Times New Roman" w:hAnsi="Times New Roman" w:cs="Times New Roman"/>
        </w:rPr>
        <w:t xml:space="preserve">Benlaria, H., Sadaoui, N., Abdulrahman, B. M. A. A., Abdelrhman, B. S., Ibrahim, T. K. T., Aljofi, A. A., &amp; Henni, M. D. (2026). The relationship between environmental sustainability, economic growth, and the creation of green jobs in Saudi Arabia. Sustainability, 18, 5133. </w:t>
      </w:r>
      <w:hyperlink r:id="rId6" w:history="1">
        <w:r w:rsidR="00F414E8" w:rsidRPr="00E25B97">
          <w:rPr>
            <w:rStyle w:val="Hyperlink"/>
            <w:rFonts w:ascii="Times New Roman" w:hAnsi="Times New Roman" w:cs="Times New Roman"/>
          </w:rPr>
          <w:t>https://doi.org/10.3390/su18105133</w:t>
        </w:r>
      </w:hyperlink>
    </w:p>
    <w:p w14:paraId="4525D706" w14:textId="0C232EED" w:rsidR="00F414E8" w:rsidRDefault="001F3FF7" w:rsidP="00F414E8">
      <w:pPr>
        <w:pStyle w:val="ListParagraph"/>
        <w:numPr>
          <w:ilvl w:val="0"/>
          <w:numId w:val="10"/>
        </w:numPr>
        <w:spacing w:after="140"/>
        <w:rPr>
          <w:rFonts w:ascii="Times New Roman" w:hAnsi="Times New Roman" w:cs="Times New Roman"/>
        </w:rPr>
      </w:pPr>
      <w:r w:rsidRPr="00F414E8">
        <w:rPr>
          <w:rFonts w:ascii="Times New Roman" w:hAnsi="Times New Roman" w:cs="Times New Roman"/>
        </w:rPr>
        <w:t>Consoli, D., Marin, G.,</w:t>
      </w:r>
      <w:r w:rsidR="007351FF">
        <w:rPr>
          <w:rFonts w:ascii="Times New Roman" w:hAnsi="Times New Roman" w:cs="Times New Roman"/>
        </w:rPr>
        <w:t xml:space="preserve"> Marzucchi, A., &amp; Vona, F. (2016</w:t>
      </w:r>
      <w:r w:rsidRPr="00F414E8">
        <w:rPr>
          <w:rFonts w:ascii="Times New Roman" w:hAnsi="Times New Roman" w:cs="Times New Roman"/>
        </w:rPr>
        <w:t>). Do green jobs differ from non-green jobs in terms of skills and human capital? SPRU Working Paper Series, SWPS 2015-16.</w:t>
      </w:r>
    </w:p>
    <w:p w14:paraId="1C828D7A" w14:textId="5EB2561F" w:rsidR="00F414E8" w:rsidRDefault="001F3FF7" w:rsidP="00F414E8">
      <w:pPr>
        <w:pStyle w:val="ListParagraph"/>
        <w:numPr>
          <w:ilvl w:val="0"/>
          <w:numId w:val="10"/>
        </w:numPr>
        <w:spacing w:after="140"/>
        <w:rPr>
          <w:rFonts w:ascii="Times New Roman" w:hAnsi="Times New Roman" w:cs="Times New Roman"/>
        </w:rPr>
      </w:pPr>
      <w:r w:rsidRPr="00F414E8">
        <w:rPr>
          <w:rFonts w:ascii="Times New Roman" w:hAnsi="Times New Roman" w:cs="Times New Roman"/>
        </w:rPr>
        <w:t xml:space="preserve">Emmerling, J., Drouet, L., Jewell, J., Nacke, L., Pai, S., &amp; Zerriffi, H. (2025). Green jobs and just transition: Employment implications of Europe’s Net Zero pathway. Energy Research &amp; Social Science, 127, 104292. </w:t>
      </w:r>
      <w:hyperlink r:id="rId7" w:history="1">
        <w:r w:rsidR="00F414E8" w:rsidRPr="00E25B97">
          <w:rPr>
            <w:rStyle w:val="Hyperlink"/>
            <w:rFonts w:ascii="Times New Roman" w:hAnsi="Times New Roman" w:cs="Times New Roman"/>
          </w:rPr>
          <w:t>https://doi.org/10.1016/j.erss.2025.104292</w:t>
        </w:r>
      </w:hyperlink>
    </w:p>
    <w:p w14:paraId="5D1C155B" w14:textId="77777777" w:rsidR="00F414E8" w:rsidRDefault="001F3FF7" w:rsidP="00F414E8">
      <w:pPr>
        <w:pStyle w:val="ListParagraph"/>
        <w:numPr>
          <w:ilvl w:val="0"/>
          <w:numId w:val="10"/>
        </w:numPr>
        <w:spacing w:after="140"/>
        <w:rPr>
          <w:rFonts w:ascii="Times New Roman" w:hAnsi="Times New Roman" w:cs="Times New Roman"/>
        </w:rPr>
      </w:pPr>
      <w:r w:rsidRPr="00F414E8">
        <w:rPr>
          <w:rFonts w:ascii="Times New Roman" w:hAnsi="Times New Roman" w:cs="Times New Roman"/>
        </w:rPr>
        <w:t>International Labour Organization. (2024). Green jobs and just transition policy readiness assessment in India. ILO.</w:t>
      </w:r>
    </w:p>
    <w:p w14:paraId="643B1D32" w14:textId="0179B4BE" w:rsidR="00F414E8" w:rsidRDefault="001F3FF7" w:rsidP="00F414E8">
      <w:pPr>
        <w:pStyle w:val="ListParagraph"/>
        <w:numPr>
          <w:ilvl w:val="0"/>
          <w:numId w:val="10"/>
        </w:numPr>
        <w:spacing w:after="140"/>
        <w:rPr>
          <w:rFonts w:ascii="Times New Roman" w:hAnsi="Times New Roman" w:cs="Times New Roman"/>
        </w:rPr>
      </w:pPr>
      <w:r w:rsidRPr="00F414E8">
        <w:rPr>
          <w:rFonts w:ascii="Times New Roman" w:hAnsi="Times New Roman" w:cs="Times New Roman"/>
        </w:rPr>
        <w:t xml:space="preserve">International Labour Organization. (2025). Workforce 2030: Skills for thriving in the green and digital transition. ILO. </w:t>
      </w:r>
      <w:hyperlink r:id="rId8" w:history="1">
        <w:r w:rsidR="00F414E8" w:rsidRPr="00E25B97">
          <w:rPr>
            <w:rStyle w:val="Hyperlink"/>
            <w:rFonts w:ascii="Times New Roman" w:hAnsi="Times New Roman" w:cs="Times New Roman"/>
          </w:rPr>
          <w:t>https://doi.org/10.54394/XXZW7148</w:t>
        </w:r>
      </w:hyperlink>
    </w:p>
    <w:p w14:paraId="22610660" w14:textId="77777777" w:rsidR="00F414E8" w:rsidRDefault="001F3FF7" w:rsidP="00F414E8">
      <w:pPr>
        <w:pStyle w:val="ListParagraph"/>
        <w:numPr>
          <w:ilvl w:val="0"/>
          <w:numId w:val="10"/>
        </w:numPr>
        <w:spacing w:after="140"/>
        <w:rPr>
          <w:rFonts w:ascii="Times New Roman" w:hAnsi="Times New Roman" w:cs="Times New Roman"/>
        </w:rPr>
      </w:pPr>
      <w:r w:rsidRPr="00F414E8">
        <w:rPr>
          <w:rFonts w:ascii="Times New Roman" w:hAnsi="Times New Roman" w:cs="Times New Roman"/>
        </w:rPr>
        <w:t>International Renewable Energy Agency &amp; International Labour Organization. (2026). Renewable energy and jobs: Annual review 2025. IRENA and ILO.</w:t>
      </w:r>
    </w:p>
    <w:p w14:paraId="68A755FC" w14:textId="6548D296" w:rsidR="00F414E8" w:rsidRDefault="001F3FF7" w:rsidP="00F414E8">
      <w:pPr>
        <w:pStyle w:val="ListParagraph"/>
        <w:numPr>
          <w:ilvl w:val="0"/>
          <w:numId w:val="10"/>
        </w:numPr>
        <w:spacing w:after="140"/>
        <w:rPr>
          <w:rFonts w:ascii="Times New Roman" w:hAnsi="Times New Roman" w:cs="Times New Roman"/>
        </w:rPr>
      </w:pPr>
      <w:r w:rsidRPr="00F414E8">
        <w:rPr>
          <w:rFonts w:ascii="Times New Roman" w:hAnsi="Times New Roman" w:cs="Times New Roman"/>
        </w:rPr>
        <w:t xml:space="preserve">Lim, J., Aklin, M., &amp; Frank, M. R. (2023). Location is a major barrier for transferring US fossil fuel employment to green jobs. Nature Communications, 14, 5711. </w:t>
      </w:r>
      <w:hyperlink r:id="rId9" w:history="1">
        <w:r w:rsidR="00F414E8" w:rsidRPr="00E25B97">
          <w:rPr>
            <w:rStyle w:val="Hyperlink"/>
            <w:rFonts w:ascii="Times New Roman" w:hAnsi="Times New Roman" w:cs="Times New Roman"/>
          </w:rPr>
          <w:t>https://doi.org/10.1038/s41467-023-41133-9</w:t>
        </w:r>
      </w:hyperlink>
    </w:p>
    <w:p w14:paraId="01EC4BA8" w14:textId="135E9983" w:rsidR="00F414E8" w:rsidRDefault="001F3FF7" w:rsidP="00F414E8">
      <w:pPr>
        <w:pStyle w:val="ListParagraph"/>
        <w:numPr>
          <w:ilvl w:val="0"/>
          <w:numId w:val="10"/>
        </w:numPr>
        <w:spacing w:after="140"/>
        <w:rPr>
          <w:rFonts w:ascii="Times New Roman" w:hAnsi="Times New Roman" w:cs="Times New Roman"/>
        </w:rPr>
      </w:pPr>
      <w:r w:rsidRPr="00F414E8">
        <w:rPr>
          <w:rFonts w:ascii="Times New Roman" w:hAnsi="Times New Roman" w:cs="Times New Roman"/>
        </w:rPr>
        <w:t xml:space="preserve">Olekanma, O., Rodrigo, L. S., Adu, D. A., &amp; Gahir, B. (2024). Small- and medium-sized enterprises’ carbon footprint reduction initiatives as a catalyst for green jobs: A systematic review and comprehensive business strategy agenda. Business Strategy and the Environment, 33(7), 6911–6939. </w:t>
      </w:r>
      <w:hyperlink r:id="rId10" w:history="1">
        <w:r w:rsidR="00F414E8" w:rsidRPr="00E25B97">
          <w:rPr>
            <w:rStyle w:val="Hyperlink"/>
            <w:rFonts w:ascii="Times New Roman" w:hAnsi="Times New Roman" w:cs="Times New Roman"/>
          </w:rPr>
          <w:t>https://doi.org/10.1002/bse.3846</w:t>
        </w:r>
      </w:hyperlink>
    </w:p>
    <w:p w14:paraId="40FF4486" w14:textId="0AFC491F" w:rsidR="00711A5F" w:rsidRPr="00F414E8" w:rsidRDefault="001F3FF7" w:rsidP="00F414E8">
      <w:pPr>
        <w:pStyle w:val="ListParagraph"/>
        <w:numPr>
          <w:ilvl w:val="0"/>
          <w:numId w:val="10"/>
        </w:numPr>
        <w:spacing w:after="140"/>
        <w:rPr>
          <w:rFonts w:ascii="Times New Roman" w:hAnsi="Times New Roman" w:cs="Times New Roman"/>
        </w:rPr>
      </w:pPr>
      <w:r w:rsidRPr="00F414E8">
        <w:rPr>
          <w:rFonts w:ascii="Times New Roman" w:hAnsi="Times New Roman" w:cs="Times New Roman"/>
        </w:rPr>
        <w:t>Stanef-Puică, M.-R., Badea, L., Șerban-Oprescu, G.-L., Șerban-Oprescu, A.-T., Frâncu, L.-G., &amp; Crețu, A. (2022). Green jobs—A literature review. International Journal of Environmental Research and Public Health, 19, 7998. https://doi.org/10.3390/ijerph19137998</w:t>
      </w:r>
    </w:p>
    <w:sectPr w:rsidR="00711A5F" w:rsidRPr="00F414E8"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CB3617"/>
    <w:multiLevelType w:val="hybridMultilevel"/>
    <w:tmpl w:val="EBE07C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F3FF7"/>
    <w:rsid w:val="0029639D"/>
    <w:rsid w:val="00326F90"/>
    <w:rsid w:val="00711A5F"/>
    <w:rsid w:val="007351FF"/>
    <w:rsid w:val="007D74C8"/>
    <w:rsid w:val="00AA1D8D"/>
    <w:rsid w:val="00B47730"/>
    <w:rsid w:val="00BF40A8"/>
    <w:rsid w:val="00CB0664"/>
    <w:rsid w:val="00CC60E2"/>
    <w:rsid w:val="00F414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F74DBE7-1567-4033-9047-ADA3FC263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rPr>
      <w:rFonts w:ascii="Aptos" w:hAnsi="Aptos"/>
      <w:i/>
      <w:sz w:val="17"/>
    </w:rPr>
  </w:style>
  <w:style w:type="character" w:styleId="Hyperlink">
    <w:name w:val="Hyperlink"/>
    <w:basedOn w:val="DefaultParagraphFont"/>
    <w:uiPriority w:val="99"/>
    <w:unhideWhenUsed/>
    <w:rsid w:val="00F414E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4394/XXZW7148" TargetMode="External"/><Relationship Id="rId3" Type="http://schemas.openxmlformats.org/officeDocument/2006/relationships/styles" Target="styles.xml"/><Relationship Id="rId7" Type="http://schemas.openxmlformats.org/officeDocument/2006/relationships/hyperlink" Target="https://doi.org/10.1016/j.erss.2025.104292"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3390/su18105133"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1002/bse.3846" TargetMode="External"/><Relationship Id="rId4" Type="http://schemas.openxmlformats.org/officeDocument/2006/relationships/settings" Target="settings.xml"/><Relationship Id="rId9" Type="http://schemas.openxmlformats.org/officeDocument/2006/relationships/hyperlink" Target="https://doi.org/10.1038/s41467-023-4113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82A0D0-3D08-42D0-89BD-77D05D5843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14391</TotalTime>
  <Pages>11</Pages>
  <Words>4752</Words>
  <Characters>27087</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Unnimaya C</cp:lastModifiedBy>
  <cp:revision>5</cp:revision>
  <dcterms:created xsi:type="dcterms:W3CDTF">2013-12-23T23:15:00Z</dcterms:created>
  <dcterms:modified xsi:type="dcterms:W3CDTF">2026-10-14T08:50:00Z</dcterms:modified>
  <cp:category/>
</cp:coreProperties>
</file>