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C8027A" w14:textId="77777777" w:rsidR="004C39DC" w:rsidRDefault="004C39DC">
      <w:pPr>
        <w:jc w:val="center"/>
        <w:rPr>
          <w:b/>
          <w:color w:val="164A9F"/>
          <w:sz w:val="42"/>
        </w:rPr>
      </w:pPr>
    </w:p>
    <w:p w14:paraId="1713FEC7" w14:textId="77777777" w:rsidR="004C39DC" w:rsidRDefault="004C39DC">
      <w:pPr>
        <w:jc w:val="center"/>
        <w:rPr>
          <w:b/>
          <w:color w:val="164A9F"/>
          <w:sz w:val="42"/>
        </w:rPr>
      </w:pPr>
    </w:p>
    <w:p w14:paraId="7521E6D1" w14:textId="77777777" w:rsidR="004C39DC" w:rsidRDefault="004C39DC">
      <w:pPr>
        <w:jc w:val="center"/>
        <w:rPr>
          <w:b/>
          <w:color w:val="164A9F"/>
          <w:sz w:val="42"/>
        </w:rPr>
      </w:pPr>
    </w:p>
    <w:p w14:paraId="30A0C78E" w14:textId="77777777" w:rsidR="004C39DC" w:rsidRDefault="004C39DC">
      <w:pPr>
        <w:jc w:val="center"/>
        <w:rPr>
          <w:b/>
          <w:color w:val="164A9F"/>
          <w:sz w:val="42"/>
        </w:rPr>
      </w:pPr>
    </w:p>
    <w:p w14:paraId="23144E28" w14:textId="77777777" w:rsidR="004C39DC" w:rsidRDefault="004C39DC">
      <w:pPr>
        <w:jc w:val="center"/>
        <w:rPr>
          <w:b/>
          <w:color w:val="164A9F"/>
          <w:sz w:val="42"/>
        </w:rPr>
      </w:pPr>
    </w:p>
    <w:p w14:paraId="5D071784" w14:textId="77777777" w:rsidR="004C39DC" w:rsidRDefault="004C39DC">
      <w:pPr>
        <w:jc w:val="center"/>
        <w:rPr>
          <w:b/>
          <w:color w:val="164A9F"/>
          <w:sz w:val="42"/>
        </w:rPr>
      </w:pPr>
    </w:p>
    <w:p w14:paraId="741E0BA0" w14:textId="77777777" w:rsidR="008A7580" w:rsidRPr="00C3101B" w:rsidRDefault="0097537B">
      <w:pPr>
        <w:jc w:val="center"/>
        <w:rPr>
          <w:rFonts w:ascii="Times New Roman" w:hAnsi="Times New Roman" w:cs="Times New Roman"/>
          <w:sz w:val="52"/>
          <w:szCs w:val="52"/>
        </w:rPr>
      </w:pPr>
      <w:r w:rsidRPr="00C3101B">
        <w:rPr>
          <w:rFonts w:ascii="Times New Roman" w:hAnsi="Times New Roman" w:cs="Times New Roman"/>
          <w:b/>
          <w:sz w:val="52"/>
          <w:szCs w:val="52"/>
        </w:rPr>
        <w:t>DATA PREPARATION AND CLEANING</w:t>
      </w:r>
      <w:r w:rsidRPr="00C3101B">
        <w:rPr>
          <w:rFonts w:ascii="Times New Roman" w:hAnsi="Times New Roman" w:cs="Times New Roman"/>
          <w:b/>
          <w:sz w:val="52"/>
          <w:szCs w:val="52"/>
        </w:rPr>
        <w:br/>
        <w:t>PROCESS DOCUMENTATION</w:t>
      </w:r>
    </w:p>
    <w:p w14:paraId="3FB0EFD0" w14:textId="77777777" w:rsidR="008A7580" w:rsidRPr="00767A4F" w:rsidRDefault="0097537B">
      <w:pPr>
        <w:jc w:val="center"/>
        <w:rPr>
          <w:sz w:val="32"/>
          <w:szCs w:val="32"/>
        </w:rPr>
      </w:pPr>
      <w:r w:rsidRPr="00767A4F">
        <w:rPr>
          <w:b/>
          <w:sz w:val="32"/>
          <w:szCs w:val="32"/>
        </w:rPr>
        <w:t>Green Jobs and Sustainability Metrics</w:t>
      </w:r>
      <w:bookmarkStart w:id="0" w:name="_GoBack"/>
      <w:bookmarkEnd w:id="0"/>
    </w:p>
    <w:p w14:paraId="01ECCD9E" w14:textId="77777777" w:rsidR="004C39DC" w:rsidRDefault="004C39DC">
      <w:pPr>
        <w:jc w:val="center"/>
        <w:rPr>
          <w:b/>
        </w:rPr>
      </w:pPr>
    </w:p>
    <w:p w14:paraId="7498CBB6" w14:textId="77777777" w:rsidR="008A7580" w:rsidRPr="004C39DC" w:rsidRDefault="0097537B">
      <w:pPr>
        <w:jc w:val="center"/>
        <w:rPr>
          <w:rFonts w:ascii="Times New Roman" w:hAnsi="Times New Roman" w:cs="Times New Roman"/>
          <w:sz w:val="28"/>
          <w:szCs w:val="28"/>
        </w:rPr>
      </w:pPr>
      <w:r w:rsidRPr="004C39DC">
        <w:rPr>
          <w:rFonts w:ascii="Times New Roman" w:hAnsi="Times New Roman" w:cs="Times New Roman"/>
          <w:b/>
          <w:sz w:val="28"/>
          <w:szCs w:val="28"/>
        </w:rPr>
        <w:t>YuvaIntern – Junior Data Analyst Internship</w:t>
      </w:r>
      <w:r w:rsidRPr="004C39DC">
        <w:rPr>
          <w:rFonts w:ascii="Times New Roman" w:hAnsi="Times New Roman" w:cs="Times New Roman"/>
          <w:b/>
          <w:sz w:val="28"/>
          <w:szCs w:val="28"/>
        </w:rPr>
        <w:br/>
      </w:r>
      <w:r w:rsidRPr="004C39DC">
        <w:rPr>
          <w:rFonts w:ascii="Times New Roman" w:hAnsi="Times New Roman" w:cs="Times New Roman"/>
          <w:sz w:val="28"/>
          <w:szCs w:val="28"/>
        </w:rPr>
        <w:t>Prepared by: Unnimaya</w:t>
      </w:r>
      <w:r w:rsidR="004C39DC" w:rsidRPr="004C39DC">
        <w:rPr>
          <w:rFonts w:ascii="Times New Roman" w:hAnsi="Times New Roman" w:cs="Times New Roman"/>
          <w:sz w:val="28"/>
          <w:szCs w:val="28"/>
        </w:rPr>
        <w:t xml:space="preserve"> C</w:t>
      </w:r>
      <w:r w:rsidRPr="004C39DC">
        <w:rPr>
          <w:rFonts w:ascii="Times New Roman" w:hAnsi="Times New Roman" w:cs="Times New Roman"/>
          <w:sz w:val="28"/>
          <w:szCs w:val="28"/>
        </w:rPr>
        <w:br/>
        <w:t>Dataset type: Simulated practice data</w:t>
      </w:r>
      <w:r w:rsidRPr="004C39DC">
        <w:rPr>
          <w:rFonts w:ascii="Times New Roman" w:hAnsi="Times New Roman" w:cs="Times New Roman"/>
          <w:sz w:val="28"/>
          <w:szCs w:val="28"/>
        </w:rPr>
        <w:br/>
        <w:t>Date: October 2026</w:t>
      </w:r>
    </w:p>
    <w:p w14:paraId="24CBF07E" w14:textId="77777777" w:rsidR="008A7580" w:rsidRDefault="008A7580"/>
    <w:p w14:paraId="3ED5E76B" w14:textId="77777777" w:rsidR="008A7580" w:rsidRDefault="008A7580" w:rsidP="004C39DC">
      <w:pPr>
        <w:jc w:val="center"/>
      </w:pPr>
    </w:p>
    <w:p w14:paraId="2F1BBEF3" w14:textId="77777777" w:rsidR="004C39DC" w:rsidRDefault="004C39DC" w:rsidP="004C39DC">
      <w:pPr>
        <w:jc w:val="center"/>
      </w:pPr>
    </w:p>
    <w:p w14:paraId="56794A44" w14:textId="77777777" w:rsidR="004C39DC" w:rsidRDefault="004C39DC" w:rsidP="004C39DC">
      <w:pPr>
        <w:jc w:val="center"/>
      </w:pPr>
    </w:p>
    <w:p w14:paraId="0622F251" w14:textId="77777777" w:rsidR="004C39DC" w:rsidRDefault="004C39DC" w:rsidP="004C39DC">
      <w:pPr>
        <w:jc w:val="center"/>
      </w:pPr>
    </w:p>
    <w:p w14:paraId="05B6B837" w14:textId="77777777" w:rsidR="004C39DC" w:rsidRDefault="004C39DC" w:rsidP="004C39DC">
      <w:pPr>
        <w:jc w:val="center"/>
      </w:pPr>
    </w:p>
    <w:p w14:paraId="4DC5BE97" w14:textId="77777777" w:rsidR="004C39DC" w:rsidRDefault="004C39DC" w:rsidP="004C39DC">
      <w:pPr>
        <w:jc w:val="center"/>
      </w:pPr>
    </w:p>
    <w:p w14:paraId="362D91EE" w14:textId="77777777" w:rsidR="004C39DC" w:rsidRDefault="004C39DC" w:rsidP="004C39DC">
      <w:pPr>
        <w:jc w:val="center"/>
      </w:pPr>
    </w:p>
    <w:p w14:paraId="0D442098" w14:textId="77777777" w:rsidR="004C39DC" w:rsidRDefault="004C39DC" w:rsidP="004C39DC">
      <w:pPr>
        <w:jc w:val="center"/>
      </w:pPr>
    </w:p>
    <w:p w14:paraId="09A3257D" w14:textId="77777777" w:rsidR="004C39DC" w:rsidRDefault="004C39DC" w:rsidP="004C39DC">
      <w:pPr>
        <w:jc w:val="center"/>
      </w:pPr>
    </w:p>
    <w:p w14:paraId="52E1DDB6" w14:textId="77777777" w:rsidR="004C39DC" w:rsidRDefault="004C39DC" w:rsidP="004C39DC">
      <w:pPr>
        <w:jc w:val="center"/>
      </w:pPr>
    </w:p>
    <w:p w14:paraId="3E037CE3" w14:textId="77777777" w:rsidR="004C39DC" w:rsidRDefault="004C39DC" w:rsidP="004C39DC">
      <w:pPr>
        <w:jc w:val="center"/>
      </w:pPr>
    </w:p>
    <w:p w14:paraId="26DAEE47" w14:textId="77777777" w:rsidR="004C39DC" w:rsidRDefault="004C39DC" w:rsidP="004C39DC">
      <w:pPr>
        <w:jc w:val="center"/>
      </w:pPr>
    </w:p>
    <w:p w14:paraId="37F3DD28" w14:textId="77777777" w:rsidR="008A7580" w:rsidRPr="004C39DC" w:rsidRDefault="0097537B">
      <w:pPr>
        <w:pStyle w:val="Heading1"/>
        <w:rPr>
          <w:sz w:val="36"/>
          <w:szCs w:val="36"/>
        </w:rPr>
      </w:pPr>
      <w:r w:rsidRPr="004C39DC">
        <w:rPr>
          <w:sz w:val="36"/>
          <w:szCs w:val="36"/>
        </w:rPr>
        <w:lastRenderedPageBreak/>
        <w:t>1. Introduction</w:t>
      </w:r>
    </w:p>
    <w:p w14:paraId="21780653"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Data preparation is an important stage of data analysis because conclusions are only as reliable as the data used to produce them. Raw datasets can contain duplicate records, inconsistent labels, missing values, invalid values, and formatting problems. If these issues are not checked, they can lead to incorrect summaries or misleading comparisons.</w:t>
      </w:r>
    </w:p>
    <w:p w14:paraId="149759E0"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This document describes a practical data-cleaning workflow using a small simulated dataset about green jobs and solar capacity across selected Indian states. The topic connects to green jobs and renewable energy, areas tracked in research such as the International Renewable Energy Agency (IRENA) and International Labour Organization (ILO) annual review of renewable-energy employment. The spreadsheet created for this exercise does not reproduce official IRENA, ILO, or government figures; all numerical values are fictional and are used only to demonstrate the process.</w:t>
      </w:r>
    </w:p>
    <w:p w14:paraId="0D5F90F0"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objective is to explain how a junior data analyst can inspect raw data, identify quality issues, make justified corrections, document decisions, and validate a cleaned version before analysis. The workbook contains a raw-data sheet, a cleaned-data sheet, and a cleaning log.</w:t>
      </w:r>
    </w:p>
    <w:p w14:paraId="26480142" w14:textId="77777777" w:rsidR="008A7580" w:rsidRPr="004C39DC" w:rsidRDefault="0097537B">
      <w:pPr>
        <w:pStyle w:val="Heading1"/>
        <w:rPr>
          <w:sz w:val="36"/>
          <w:szCs w:val="36"/>
        </w:rPr>
      </w:pPr>
      <w:r w:rsidRPr="004C39DC">
        <w:rPr>
          <w:sz w:val="36"/>
          <w:szCs w:val="36"/>
        </w:rPr>
        <w:t>2. Dataset Overview</w:t>
      </w:r>
    </w:p>
    <w:p w14:paraId="3365120D"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simulated dataset uses five fields:</w:t>
      </w:r>
    </w:p>
    <w:tbl>
      <w:tblPr>
        <w:tblStyle w:val="TableGrid"/>
        <w:tblW w:w="0" w:type="auto"/>
        <w:jc w:val="center"/>
        <w:tblLook w:val="04A0" w:firstRow="1" w:lastRow="0" w:firstColumn="1" w:lastColumn="0" w:noHBand="0" w:noVBand="1"/>
      </w:tblPr>
      <w:tblGrid>
        <w:gridCol w:w="2256"/>
        <w:gridCol w:w="3665"/>
        <w:gridCol w:w="4231"/>
      </w:tblGrid>
      <w:tr w:rsidR="008A7580" w:rsidRPr="004C39DC" w14:paraId="16C6DC28" w14:textId="77777777">
        <w:trPr>
          <w:jc w:val="center"/>
        </w:trPr>
        <w:tc>
          <w:tcPr>
            <w:tcW w:w="1800" w:type="dxa"/>
            <w:shd w:val="clear" w:color="auto" w:fill="D9E8FB"/>
            <w:vAlign w:val="center"/>
          </w:tcPr>
          <w:p w14:paraId="477244BB"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Field</w:t>
            </w:r>
          </w:p>
        </w:tc>
        <w:tc>
          <w:tcPr>
            <w:tcW w:w="3744" w:type="dxa"/>
            <w:shd w:val="clear" w:color="auto" w:fill="D9E8FB"/>
            <w:vAlign w:val="center"/>
          </w:tcPr>
          <w:p w14:paraId="05C382C5"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Meaning</w:t>
            </w:r>
          </w:p>
        </w:tc>
        <w:tc>
          <w:tcPr>
            <w:tcW w:w="4320" w:type="dxa"/>
            <w:shd w:val="clear" w:color="auto" w:fill="D9E8FB"/>
            <w:vAlign w:val="center"/>
          </w:tcPr>
          <w:p w14:paraId="387C61F6"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Expected format / check</w:t>
            </w:r>
          </w:p>
        </w:tc>
      </w:tr>
      <w:tr w:rsidR="008A7580" w:rsidRPr="004C39DC" w14:paraId="0E74F386" w14:textId="77777777">
        <w:trPr>
          <w:jc w:val="center"/>
        </w:trPr>
        <w:tc>
          <w:tcPr>
            <w:tcW w:w="1800" w:type="dxa"/>
            <w:vAlign w:val="center"/>
          </w:tcPr>
          <w:p w14:paraId="65F8B070"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State</w:t>
            </w:r>
          </w:p>
        </w:tc>
        <w:tc>
          <w:tcPr>
            <w:tcW w:w="3744" w:type="dxa"/>
            <w:vAlign w:val="center"/>
          </w:tcPr>
          <w:p w14:paraId="1095A496"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Name of the Indian state represented by a record.</w:t>
            </w:r>
          </w:p>
        </w:tc>
        <w:tc>
          <w:tcPr>
            <w:tcW w:w="4320" w:type="dxa"/>
            <w:vAlign w:val="center"/>
          </w:tcPr>
          <w:p w14:paraId="57D7D78C"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Text; consistent spelling and capitalization.</w:t>
            </w:r>
          </w:p>
        </w:tc>
      </w:tr>
      <w:tr w:rsidR="008A7580" w:rsidRPr="004C39DC" w14:paraId="6427ECA7" w14:textId="77777777">
        <w:trPr>
          <w:jc w:val="center"/>
        </w:trPr>
        <w:tc>
          <w:tcPr>
            <w:tcW w:w="1800" w:type="dxa"/>
            <w:vAlign w:val="center"/>
          </w:tcPr>
          <w:p w14:paraId="37AF111B"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Year</w:t>
            </w:r>
          </w:p>
        </w:tc>
        <w:tc>
          <w:tcPr>
            <w:tcW w:w="3744" w:type="dxa"/>
            <w:vAlign w:val="center"/>
          </w:tcPr>
          <w:p w14:paraId="522FFFD7"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Year associated with the record.</w:t>
            </w:r>
          </w:p>
        </w:tc>
        <w:tc>
          <w:tcPr>
            <w:tcW w:w="4320" w:type="dxa"/>
            <w:vAlign w:val="center"/>
          </w:tcPr>
          <w:p w14:paraId="1676BC71"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Four-digit year stored consistently as a number or year value.</w:t>
            </w:r>
          </w:p>
        </w:tc>
      </w:tr>
      <w:tr w:rsidR="008A7580" w:rsidRPr="004C39DC" w14:paraId="0C9153B1" w14:textId="77777777">
        <w:trPr>
          <w:jc w:val="center"/>
        </w:trPr>
        <w:tc>
          <w:tcPr>
            <w:tcW w:w="1800" w:type="dxa"/>
            <w:vAlign w:val="center"/>
          </w:tcPr>
          <w:p w14:paraId="6AAEA5F2"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Green_Jobs</w:t>
            </w:r>
          </w:p>
        </w:tc>
        <w:tc>
          <w:tcPr>
            <w:tcW w:w="3744" w:type="dxa"/>
            <w:vAlign w:val="center"/>
          </w:tcPr>
          <w:p w14:paraId="4921289A"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Illustrative count of green jobs.</w:t>
            </w:r>
          </w:p>
        </w:tc>
        <w:tc>
          <w:tcPr>
            <w:tcW w:w="4320" w:type="dxa"/>
            <w:vAlign w:val="center"/>
          </w:tcPr>
          <w:p w14:paraId="181F872C"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Numeric; non-negative; missing values investigated.</w:t>
            </w:r>
          </w:p>
        </w:tc>
      </w:tr>
      <w:tr w:rsidR="008A7580" w:rsidRPr="004C39DC" w14:paraId="01463E63" w14:textId="77777777">
        <w:trPr>
          <w:jc w:val="center"/>
        </w:trPr>
        <w:tc>
          <w:tcPr>
            <w:tcW w:w="1800" w:type="dxa"/>
            <w:vAlign w:val="center"/>
          </w:tcPr>
          <w:p w14:paraId="3E446353"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Solar_Capacity_MW</w:t>
            </w:r>
          </w:p>
        </w:tc>
        <w:tc>
          <w:tcPr>
            <w:tcW w:w="3744" w:type="dxa"/>
            <w:vAlign w:val="center"/>
          </w:tcPr>
          <w:p w14:paraId="60A33F91"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Illustrative solar capacity in megawatts.</w:t>
            </w:r>
          </w:p>
        </w:tc>
        <w:tc>
          <w:tcPr>
            <w:tcW w:w="4320" w:type="dxa"/>
            <w:vAlign w:val="center"/>
          </w:tcPr>
          <w:p w14:paraId="71CA8466"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Numeric; non-negative; unit kept consistent.</w:t>
            </w:r>
          </w:p>
        </w:tc>
      </w:tr>
      <w:tr w:rsidR="008A7580" w:rsidRPr="004C39DC" w14:paraId="5251CA9B" w14:textId="77777777">
        <w:trPr>
          <w:jc w:val="center"/>
        </w:trPr>
        <w:tc>
          <w:tcPr>
            <w:tcW w:w="1800" w:type="dxa"/>
            <w:vAlign w:val="center"/>
          </w:tcPr>
          <w:p w14:paraId="7ED3FCDB"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Data_Status</w:t>
            </w:r>
          </w:p>
        </w:tc>
        <w:tc>
          <w:tcPr>
            <w:tcW w:w="3744" w:type="dxa"/>
            <w:vAlign w:val="center"/>
          </w:tcPr>
          <w:p w14:paraId="259853CC"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Indicates the status of the figures.</w:t>
            </w:r>
          </w:p>
        </w:tc>
        <w:tc>
          <w:tcPr>
            <w:tcW w:w="4320" w:type="dxa"/>
            <w:vAlign w:val="center"/>
          </w:tcPr>
          <w:p w14:paraId="5FD39040"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Text; should say “Simulated” for this exercise.</w:t>
            </w:r>
          </w:p>
        </w:tc>
      </w:tr>
    </w:tbl>
    <w:p w14:paraId="26D6709B" w14:textId="77777777" w:rsidR="008A7580" w:rsidRDefault="008A7580"/>
    <w:p w14:paraId="0BAAAB0D" w14:textId="77777777" w:rsidR="008A7580" w:rsidRDefault="0097537B">
      <w:r>
        <w:t>The raw sheet has ten data rows, including intentionally introduced problems. In the cleaned example, the Kerala duplicate is removed. The lowercase “tamil nadu” label is standardized to “Tamil Nadu”; after standardization, that row matches the other Tamil Nadu record exactly, so the duplicate is removed as well. This leaves eight data rows. Missing or invalid job counts are left blank and flagged for verification rather than replaced with invented numbers.</w:t>
      </w:r>
    </w:p>
    <w:p w14:paraId="2D70C2CD" w14:textId="77777777" w:rsidR="008A7580" w:rsidRPr="004C39DC" w:rsidRDefault="0097537B">
      <w:pPr>
        <w:pStyle w:val="Heading1"/>
        <w:rPr>
          <w:sz w:val="36"/>
          <w:szCs w:val="36"/>
        </w:rPr>
      </w:pPr>
      <w:r w:rsidRPr="004C39DC">
        <w:rPr>
          <w:sz w:val="36"/>
          <w:szCs w:val="36"/>
        </w:rPr>
        <w:lastRenderedPageBreak/>
        <w:t>3. Methodology</w:t>
      </w:r>
    </w:p>
    <w:p w14:paraId="59EE0B56"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3.1 Preserve the original data</w:t>
      </w:r>
    </w:p>
    <w:p w14:paraId="1C35CC6B"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first step is to keep an unchanged copy of the raw dataset. Cleaning should be performed on a separate copy or worksheet so that the original values remain available for comparison and audit. In this exercise, the raw dataset was retained in its own sheet and the corrections were recorded in a separate cleaning log.</w:t>
      </w:r>
    </w:p>
    <w:p w14:paraId="56EFE71B"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3.2 Inspect structure and data types</w:t>
      </w:r>
    </w:p>
    <w:p w14:paraId="4C81E687"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Before editing, check that each column has one clear heading and that each row represents one record. Review whether state names are stored as text, years are consistently formatted, and job counts and solar capacity are numeric. In Excel, column filters, sorting, and auto-fit can make the data easier to inspect. A value displayed as “###” often means the column is too narrow, not that the stored year is incorrect.</w:t>
      </w:r>
    </w:p>
    <w:p w14:paraId="2E759C37"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3.3 Identify duplicate records</w:t>
      </w:r>
    </w:p>
    <w:p w14:paraId="70F6B548" w14:textId="77777777" w:rsidR="008A7580" w:rsidRPr="004C39DC" w:rsidRDefault="0097537B">
      <w:pPr>
        <w:rPr>
          <w:rFonts w:ascii="Times New Roman" w:hAnsi="Times New Roman" w:cs="Times New Roman"/>
          <w:sz w:val="24"/>
          <w:szCs w:val="24"/>
        </w:rPr>
      </w:pPr>
      <w:r>
        <w:t>Compare records across all relevant fields before removing duplicates. The raw data contained two identical Kerala records for 2023, with the same illustrative job count, solar capacity, and data-status label. One duplicate Kerala row was removed. The raw data also contained “Tamil Nadu” and “tamil nadu”. After the capitalization was standardized, the two Tamil Nadu rows had identical values, so one of those duplicate rows was removed too. In real work, repeated state names should not automatically be deleted: two records may be valid if they refer to different years, sources, or measures.</w:t>
      </w:r>
    </w:p>
    <w:p w14:paraId="43957A0D"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3.4 Standardize text labels</w:t>
      </w:r>
    </w:p>
    <w:p w14:paraId="587817F8" w14:textId="77777777" w:rsidR="008A7580" w:rsidRPr="004C39DC" w:rsidRDefault="0097537B">
      <w:pPr>
        <w:rPr>
          <w:rFonts w:ascii="Times New Roman" w:hAnsi="Times New Roman" w:cs="Times New Roman"/>
          <w:sz w:val="24"/>
          <w:szCs w:val="24"/>
        </w:rPr>
      </w:pPr>
      <w:r>
        <w:t>The raw data contained both “Tamil Nadu” and “tamil nadu”. These labels refer to the same state in this exercise, so the lowercase version was standardized to “Tamil Nadu”. Once standardized, the two rows had identical values; one was therefore treated as a duplicate and removed. Standardizing case and removing leading or trailing spaces helps grouping and matching work correctly. Any ambiguous spelling should be checked against an authoritative state list rather than guessed.</w:t>
      </w:r>
    </w:p>
    <w:p w14:paraId="123C575E"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3.5 Handle missing values</w:t>
      </w:r>
    </w:p>
    <w:p w14:paraId="2FF0758F"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Gujarat record had a blank Green_Jobs value. A blank can mean that a value was not collected, was unavailable, or was accidentally omitted. The correct response is to check the source or data owner. If the value cannot be verified, keep it missing and document the reason. Do not automatically replace it with zero: zero means that the measured count is genuinely zero, while a blank means the value is unknown. Statistical agencies use documented editing and imputation procedures when filling missing or unusable values; any imputation should be justified and recorded.</w:t>
      </w:r>
    </w:p>
    <w:p w14:paraId="36DAC292"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3.6 Investigate invalid values and possible outliers</w:t>
      </w:r>
    </w:p>
    <w:p w14:paraId="016729CB"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Andhra Pradesh example had Green_Jobs = -500. A count of jobs cannot normally be negative, so the value fails a basic range check. It was changed to blank in the cleaned example and flagged for verification, not silently treated as a confirmed correction. In a real dataset, the analyst should check the original source, units, sign conventions, and possible data-entry mistakes before deciding whether to correct or exclude the value.</w:t>
      </w:r>
    </w:p>
    <w:p w14:paraId="6DBB008C"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 xml:space="preserve">An outlier is a value that differs markedly from other observations. An unusual value is not automatically an error: it could reflect a real difference, a special event, or a different measurement </w:t>
      </w:r>
      <w:r w:rsidRPr="004C39DC">
        <w:rPr>
          <w:rFonts w:ascii="Times New Roman" w:hAnsi="Times New Roman" w:cs="Times New Roman"/>
          <w:sz w:val="24"/>
          <w:szCs w:val="24"/>
        </w:rPr>
        <w:lastRenderedPageBreak/>
        <w:t>method. NIST guidance recommends identifying and investigating potential outliers rather than deleting them automatically. For a larger real dataset, an analyst might use a box plot, interquartile range (IQR), or an appropriate statistical test, while considering the distribution and context.</w:t>
      </w:r>
    </w:p>
    <w:p w14:paraId="3A10F6B8"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3.7 Check formatting and consistency</w:t>
      </w:r>
    </w:p>
    <w:p w14:paraId="37D5B99A"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Dates and years should use one consistent format. Text values can contain invisible leading or trailing spaces, which can cause values that look identical to be treated as different. In Excel, TRIM can remove ordinary extra spaces from text, and VALUE can convert numeric text to a number when appropriate. In this workbook, the year field was checked for consistent four-digit year values. The extra-space issue was intended in the example, but Excel may have removed it during pasting, so it should be described as a validation check rather than a confirmed visible correction if it was not present.</w:t>
      </w:r>
    </w:p>
    <w:p w14:paraId="1D3E0ABC" w14:textId="77777777" w:rsidR="008A7580" w:rsidRPr="004C39DC" w:rsidRDefault="0097537B">
      <w:pPr>
        <w:pStyle w:val="Heading2"/>
        <w:rPr>
          <w:rFonts w:ascii="Times New Roman" w:hAnsi="Times New Roman" w:cs="Times New Roman"/>
          <w:szCs w:val="24"/>
        </w:rPr>
      </w:pPr>
      <w:r w:rsidRPr="004C39DC">
        <w:rPr>
          <w:rFonts w:ascii="Times New Roman" w:hAnsi="Times New Roman" w:cs="Times New Roman"/>
          <w:szCs w:val="24"/>
        </w:rPr>
        <w:t>3.8 Validate the cleaned data</w:t>
      </w:r>
    </w:p>
    <w:p w14:paraId="702E9434"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After cleaning, review the dataset again. Confirm that column names are clear, state labels are consistent, years use a consistent format, numeric columns contain numbers or documented blanks, and exact duplicates have been reviewed. Compare the raw and cleaned row counts and check each change against the cleaning log. The cleaned data should not be considered ready for real-world analysis until missing and invalid values have been resolved or clearly disclosed.</w:t>
      </w:r>
    </w:p>
    <w:p w14:paraId="45F87ACA" w14:textId="77777777" w:rsidR="008A7580" w:rsidRDefault="0097537B">
      <w:pPr>
        <w:pStyle w:val="Heading1"/>
        <w:rPr>
          <w:sz w:val="36"/>
          <w:szCs w:val="36"/>
        </w:rPr>
      </w:pPr>
      <w:r w:rsidRPr="004C39DC">
        <w:rPr>
          <w:sz w:val="36"/>
          <w:szCs w:val="36"/>
        </w:rPr>
        <w:t>4. Practical Examples from the Simulated Dataset</w:t>
      </w:r>
    </w:p>
    <w:p w14:paraId="688B6070" w14:textId="77777777" w:rsidR="004C39DC" w:rsidRPr="004C39DC" w:rsidRDefault="004C39DC" w:rsidP="004C39DC"/>
    <w:tbl>
      <w:tblPr>
        <w:tblStyle w:val="TableGrid"/>
        <w:tblW w:w="0" w:type="auto"/>
        <w:jc w:val="center"/>
        <w:tblLook w:val="04A0" w:firstRow="1" w:lastRow="0" w:firstColumn="1" w:lastColumn="0" w:noHBand="0" w:noVBand="1"/>
      </w:tblPr>
      <w:tblGrid>
        <w:gridCol w:w="1584"/>
        <w:gridCol w:w="2592"/>
        <w:gridCol w:w="2880"/>
        <w:gridCol w:w="2880"/>
      </w:tblGrid>
      <w:tr w:rsidR="008A7580" w:rsidRPr="004C39DC" w14:paraId="21DD17CF" w14:textId="77777777">
        <w:trPr>
          <w:jc w:val="center"/>
        </w:trPr>
        <w:tc>
          <w:tcPr>
            <w:tcW w:w="1584" w:type="dxa"/>
            <w:shd w:val="clear" w:color="auto" w:fill="D9E8FB"/>
            <w:vAlign w:val="center"/>
          </w:tcPr>
          <w:p w14:paraId="45FF8659"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Issue</w:t>
            </w:r>
          </w:p>
        </w:tc>
        <w:tc>
          <w:tcPr>
            <w:tcW w:w="2592" w:type="dxa"/>
            <w:shd w:val="clear" w:color="auto" w:fill="D9E8FB"/>
            <w:vAlign w:val="center"/>
          </w:tcPr>
          <w:p w14:paraId="76D1E01E"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Raw example</w:t>
            </w:r>
          </w:p>
        </w:tc>
        <w:tc>
          <w:tcPr>
            <w:tcW w:w="2880" w:type="dxa"/>
            <w:shd w:val="clear" w:color="auto" w:fill="D9E8FB"/>
            <w:vAlign w:val="center"/>
          </w:tcPr>
          <w:p w14:paraId="6C8FCC4B"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Action in cleaned example</w:t>
            </w:r>
          </w:p>
        </w:tc>
        <w:tc>
          <w:tcPr>
            <w:tcW w:w="2880" w:type="dxa"/>
            <w:shd w:val="clear" w:color="auto" w:fill="D9E8FB"/>
            <w:vAlign w:val="center"/>
          </w:tcPr>
          <w:p w14:paraId="639D3A93" w14:textId="77777777" w:rsidR="008A7580" w:rsidRPr="004C39DC" w:rsidRDefault="0097537B">
            <w:pPr>
              <w:rPr>
                <w:rFonts w:ascii="Times New Roman" w:hAnsi="Times New Roman" w:cs="Times New Roman"/>
                <w:sz w:val="24"/>
                <w:szCs w:val="24"/>
              </w:rPr>
            </w:pPr>
            <w:r w:rsidRPr="004C39DC">
              <w:rPr>
                <w:rFonts w:ascii="Calibri" w:hAnsi="Calibri" w:cs="Times New Roman"/>
                <w:b/>
                <w:sz w:val="24"/>
                <w:szCs w:val="24"/>
              </w:rPr>
              <w:t>Reason / limitation</w:t>
            </w:r>
          </w:p>
        </w:tc>
      </w:tr>
      <w:tr w:rsidR="008A7580" w:rsidRPr="004C39DC" w14:paraId="0E9E37C0" w14:textId="77777777">
        <w:trPr>
          <w:jc w:val="center"/>
        </w:trPr>
        <w:tc>
          <w:tcPr>
            <w:tcW w:w="1584" w:type="dxa"/>
            <w:vAlign w:val="center"/>
          </w:tcPr>
          <w:p w14:paraId="39E72416"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Exact duplicate</w:t>
            </w:r>
          </w:p>
        </w:tc>
        <w:tc>
          <w:tcPr>
            <w:tcW w:w="2592" w:type="dxa"/>
            <w:vAlign w:val="center"/>
          </w:tcPr>
          <w:p>
            <w:r>
              <w:rPr>
                <w:rFonts w:ascii="Calibri" w:hAnsi="Calibri"/>
              </w:rPr>
              <w:t>Kerala, 2023 appears twice with identical values.</w:t>
            </w:r>
          </w:p>
        </w:tc>
        <w:tc>
          <w:tcPr>
            <w:tcW w:w="2880" w:type="dxa"/>
            <w:vAlign w:val="center"/>
          </w:tcPr>
          <w:p>
            <w:r>
              <w:rPr>
                <w:rFonts w:ascii="Calibri" w:hAnsi="Calibri"/>
              </w:rPr>
              <w:t>Removed one repeated Kerala row.</w:t>
            </w:r>
          </w:p>
        </w:tc>
        <w:tc>
          <w:tcPr>
            <w:tcW w:w="2880" w:type="dxa"/>
            <w:vAlign w:val="center"/>
          </w:tcPr>
          <w:p>
            <w:r>
              <w:rPr>
                <w:rFonts w:ascii="Calibri" w:hAnsi="Calibri"/>
              </w:rPr>
              <w:t>Prevents double-counting; repeated states are not automatically duplicates.</w:t>
            </w:r>
          </w:p>
        </w:tc>
      </w:tr>
      <w:tr w:rsidR="008A7580" w:rsidRPr="004C39DC" w14:paraId="73DB7422" w14:textId="77777777">
        <w:trPr>
          <w:jc w:val="center"/>
        </w:trPr>
        <w:tc>
          <w:tcPr>
            <w:tcW w:w="1584" w:type="dxa"/>
            <w:vAlign w:val="center"/>
          </w:tcPr>
          <w:p w14:paraId="66CD74AC"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Inconsistent label</w:t>
            </w:r>
          </w:p>
        </w:tc>
        <w:tc>
          <w:tcPr>
            <w:tcW w:w="2592" w:type="dxa"/>
            <w:vAlign w:val="center"/>
          </w:tcPr>
          <w:p>
            <w:r>
              <w:rPr>
                <w:rFonts w:ascii="Calibri" w:hAnsi="Calibri"/>
              </w:rPr>
              <w:t>“Tamil Nadu” and “tamil nadu” have identical other values.</w:t>
            </w:r>
          </w:p>
        </w:tc>
        <w:tc>
          <w:tcPr>
            <w:tcW w:w="2880" w:type="dxa"/>
            <w:vAlign w:val="center"/>
          </w:tcPr>
          <w:p>
            <w:r>
              <w:rPr>
                <w:rFonts w:ascii="Calibri" w:hAnsi="Calibri"/>
              </w:rPr>
              <w:t>Standardized capitalization, then removed one row because the records became identical.</w:t>
            </w:r>
          </w:p>
        </w:tc>
        <w:tc>
          <w:tcPr>
            <w:tcW w:w="2880" w:type="dxa"/>
            <w:vAlign w:val="center"/>
          </w:tcPr>
          <w:p>
            <w:r>
              <w:rPr>
                <w:rFonts w:ascii="Calibri" w:hAnsi="Calibri"/>
              </w:rPr>
              <w:t>Supports consistent grouping and avoids double-counting after standardization.</w:t>
            </w:r>
          </w:p>
        </w:tc>
      </w:tr>
      <w:tr w:rsidR="008A7580" w:rsidRPr="004C39DC" w14:paraId="543A0EF1" w14:textId="77777777">
        <w:trPr>
          <w:jc w:val="center"/>
        </w:trPr>
        <w:tc>
          <w:tcPr>
            <w:tcW w:w="1584" w:type="dxa"/>
            <w:vAlign w:val="center"/>
          </w:tcPr>
          <w:p w14:paraId="4503222E"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Missing value</w:t>
            </w:r>
          </w:p>
        </w:tc>
        <w:tc>
          <w:tcPr>
            <w:tcW w:w="2592" w:type="dxa"/>
            <w:vAlign w:val="center"/>
          </w:tcPr>
          <w:p w14:paraId="244312DC"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Gujarat Green_Jobs is blank.</w:t>
            </w:r>
          </w:p>
        </w:tc>
        <w:tc>
          <w:tcPr>
            <w:tcW w:w="2880" w:type="dxa"/>
            <w:vAlign w:val="center"/>
          </w:tcPr>
          <w:p w14:paraId="3C3734B9"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Left blank for verification.</w:t>
            </w:r>
          </w:p>
        </w:tc>
        <w:tc>
          <w:tcPr>
            <w:tcW w:w="2880" w:type="dxa"/>
            <w:vAlign w:val="center"/>
          </w:tcPr>
          <w:p w14:paraId="2CEE7CE4"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No replacement was invented; check source before analysis.</w:t>
            </w:r>
          </w:p>
        </w:tc>
      </w:tr>
      <w:tr w:rsidR="008A7580" w:rsidRPr="004C39DC" w14:paraId="3964F477" w14:textId="77777777">
        <w:trPr>
          <w:jc w:val="center"/>
        </w:trPr>
        <w:tc>
          <w:tcPr>
            <w:tcW w:w="1584" w:type="dxa"/>
            <w:vAlign w:val="center"/>
          </w:tcPr>
          <w:p w14:paraId="525C24C4"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Invalid count</w:t>
            </w:r>
          </w:p>
        </w:tc>
        <w:tc>
          <w:tcPr>
            <w:tcW w:w="2592" w:type="dxa"/>
            <w:vAlign w:val="center"/>
          </w:tcPr>
          <w:p w14:paraId="33FB5EA7"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Andhra Pradesh Green_Jobs = -500.</w:t>
            </w:r>
          </w:p>
        </w:tc>
        <w:tc>
          <w:tcPr>
            <w:tcW w:w="2880" w:type="dxa"/>
            <w:vAlign w:val="center"/>
          </w:tcPr>
          <w:p w14:paraId="4D6AF247"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Changed to blank and flagged for verification.</w:t>
            </w:r>
          </w:p>
        </w:tc>
        <w:tc>
          <w:tcPr>
            <w:tcW w:w="2880" w:type="dxa"/>
            <w:vAlign w:val="center"/>
          </w:tcPr>
          <w:p w14:paraId="1ADD5DD2"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Negative job count is not plausible for this measure; original source must be checked.</w:t>
            </w:r>
          </w:p>
        </w:tc>
      </w:tr>
      <w:tr w:rsidR="008A7580" w:rsidRPr="004C39DC" w14:paraId="1177DCBA" w14:textId="77777777">
        <w:trPr>
          <w:jc w:val="center"/>
        </w:trPr>
        <w:tc>
          <w:tcPr>
            <w:tcW w:w="1584" w:type="dxa"/>
            <w:vAlign w:val="center"/>
          </w:tcPr>
          <w:p w14:paraId="71035564"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Year formatting</w:t>
            </w:r>
          </w:p>
        </w:tc>
        <w:tc>
          <w:tcPr>
            <w:tcW w:w="2592" w:type="dxa"/>
            <w:vAlign w:val="center"/>
          </w:tcPr>
          <w:p w14:paraId="27EFC734"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Year field checked for extra spaces and consistent format.</w:t>
            </w:r>
          </w:p>
        </w:tc>
        <w:tc>
          <w:tcPr>
            <w:tcW w:w="2880" w:type="dxa"/>
            <w:vAlign w:val="center"/>
          </w:tcPr>
          <w:p w14:paraId="34B9E2B1"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Kept the year in a consistent four-digit format.</w:t>
            </w:r>
          </w:p>
        </w:tc>
        <w:tc>
          <w:tcPr>
            <w:tcW w:w="2880" w:type="dxa"/>
            <w:vAlign w:val="center"/>
          </w:tcPr>
          <w:p w14:paraId="5A3A811B" w14:textId="77777777" w:rsidR="008A7580" w:rsidRPr="004C39DC" w:rsidRDefault="0097537B">
            <w:pPr>
              <w:rPr>
                <w:rFonts w:ascii="Times New Roman" w:hAnsi="Times New Roman" w:cs="Times New Roman"/>
                <w:sz w:val="24"/>
                <w:szCs w:val="24"/>
              </w:rPr>
            </w:pPr>
            <w:r w:rsidRPr="004C39DC">
              <w:rPr>
                <w:rFonts w:ascii="Calibri" w:hAnsi="Calibri" w:cs="Times New Roman"/>
                <w:sz w:val="24"/>
                <w:szCs w:val="24"/>
              </w:rPr>
              <w:t>Excel may remove spaces during pasting, so only report an actual correction if observed.</w:t>
            </w:r>
          </w:p>
        </w:tc>
      </w:tr>
    </w:tbl>
    <w:p w14:paraId="3E5B7EF9" w14:textId="77777777" w:rsidR="008A7580" w:rsidRDefault="008A7580"/>
    <w:p w14:paraId="5722E129" w14:textId="77777777" w:rsidR="008A7580" w:rsidRPr="004C39DC" w:rsidRDefault="0097537B">
      <w:pPr>
        <w:pStyle w:val="Heading1"/>
        <w:rPr>
          <w:sz w:val="36"/>
          <w:szCs w:val="36"/>
        </w:rPr>
      </w:pPr>
      <w:r w:rsidRPr="004C39DC">
        <w:rPr>
          <w:sz w:val="36"/>
          <w:szCs w:val="36"/>
        </w:rPr>
        <w:lastRenderedPageBreak/>
        <w:t>5. Process Flow</w:t>
      </w:r>
    </w:p>
    <w:p w14:paraId="7024BF67"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cleaning process can be represented as the following flow:</w:t>
      </w:r>
    </w:p>
    <w:p w14:paraId="4CCFC6A2"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b/>
          <w:color w:val="164A9F"/>
          <w:sz w:val="24"/>
          <w:szCs w:val="24"/>
        </w:rPr>
        <w:t>Start with the raw dataset</w:t>
      </w:r>
    </w:p>
    <w:p w14:paraId="5A040433"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67220014"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Save an unchanged copy and inspect the columns</w:t>
      </w:r>
    </w:p>
    <w:p w14:paraId="1E69DA28"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5DE2F0AB"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Check data types, blank cells, labels, ranges, and duplicates</w:t>
      </w:r>
    </w:p>
    <w:p w14:paraId="6637BC8A"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0348F3F8"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Investigate each issue using the source or documented rules</w:t>
      </w:r>
    </w:p>
    <w:p w14:paraId="20C431E9"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21BB6FB2"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Apply justified corrections; retain unresolved values as missing and flag them</w:t>
      </w:r>
    </w:p>
    <w:p w14:paraId="2EB8C50D"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016C3ED8"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Record each change and the reason in the cleaning log</w:t>
      </w:r>
    </w:p>
    <w:p w14:paraId="30B3A402"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76A7BBC3"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Validate the cleaned dataset against the original</w:t>
      </w:r>
    </w:p>
    <w:p w14:paraId="1BDB27C8" w14:textId="77777777" w:rsidR="008A7580" w:rsidRPr="004C39DC" w:rsidRDefault="0097537B">
      <w:pPr>
        <w:jc w:val="center"/>
        <w:rPr>
          <w:rFonts w:ascii="Times New Roman" w:hAnsi="Times New Roman" w:cs="Times New Roman"/>
          <w:sz w:val="24"/>
          <w:szCs w:val="24"/>
        </w:rPr>
      </w:pPr>
      <w:r w:rsidRPr="004C39DC">
        <w:rPr>
          <w:rFonts w:ascii="Times New Roman" w:hAnsi="Times New Roman" w:cs="Times New Roman"/>
          <w:sz w:val="24"/>
          <w:szCs w:val="24"/>
        </w:rPr>
        <w:t>↓</w:t>
      </w:r>
    </w:p>
    <w:p w14:paraId="4191F029" w14:textId="77777777" w:rsidR="008A7580" w:rsidRPr="004C39DC" w:rsidRDefault="0097537B">
      <w:pPr>
        <w:jc w:val="center"/>
        <w:rPr>
          <w:rFonts w:ascii="Times New Roman" w:hAnsi="Times New Roman" w:cs="Times New Roman"/>
          <w:color w:val="000000" w:themeColor="text1"/>
          <w:sz w:val="24"/>
          <w:szCs w:val="24"/>
        </w:rPr>
      </w:pPr>
      <w:r w:rsidRPr="004C39DC">
        <w:rPr>
          <w:rFonts w:ascii="Times New Roman" w:hAnsi="Times New Roman" w:cs="Times New Roman"/>
          <w:color w:val="000000" w:themeColor="text1"/>
          <w:sz w:val="24"/>
          <w:szCs w:val="24"/>
        </w:rPr>
        <w:t>Ready for analysis only when limitations are documented</w:t>
      </w:r>
    </w:p>
    <w:p w14:paraId="16B719D5" w14:textId="77777777" w:rsidR="008A7580" w:rsidRDefault="0097537B">
      <w:pPr>
        <w:pStyle w:val="Heading1"/>
        <w:rPr>
          <w:sz w:val="36"/>
          <w:szCs w:val="36"/>
        </w:rPr>
      </w:pPr>
      <w:r w:rsidRPr="004C39DC">
        <w:rPr>
          <w:sz w:val="36"/>
          <w:szCs w:val="36"/>
        </w:rPr>
        <w:t>6. Common Challenges and Solutions</w:t>
      </w:r>
    </w:p>
    <w:p w14:paraId="0966B80E" w14:textId="77777777" w:rsidR="004C39DC" w:rsidRPr="004C39DC" w:rsidRDefault="004C39DC" w:rsidP="004C39DC"/>
    <w:tbl>
      <w:tblPr>
        <w:tblStyle w:val="TableGrid"/>
        <w:tblW w:w="0" w:type="auto"/>
        <w:tblInd w:w="108" w:type="dxa"/>
        <w:tblLook w:val="04A0" w:firstRow="1" w:lastRow="0" w:firstColumn="1" w:lastColumn="0" w:noHBand="0" w:noVBand="1"/>
      </w:tblPr>
      <w:tblGrid>
        <w:gridCol w:w="2232"/>
        <w:gridCol w:w="3168"/>
        <w:gridCol w:w="4536"/>
      </w:tblGrid>
      <w:tr w:rsidR="008A7580" w14:paraId="03995E29" w14:textId="77777777" w:rsidTr="004C39DC">
        <w:tc>
          <w:tcPr>
            <w:tcW w:w="2232" w:type="dxa"/>
            <w:shd w:val="clear" w:color="auto" w:fill="D9E8FB"/>
            <w:vAlign w:val="center"/>
          </w:tcPr>
          <w:p w14:paraId="44AFA2FD" w14:textId="77777777" w:rsidR="008A7580" w:rsidRPr="004C39DC" w:rsidRDefault="0097537B">
            <w:pPr>
              <w:rPr>
                <w:rFonts w:ascii="Times New Roman" w:hAnsi="Times New Roman" w:cs="Times New Roman"/>
                <w:sz w:val="22"/>
              </w:rPr>
            </w:pPr>
            <w:r w:rsidRPr="004C39DC">
              <w:rPr>
                <w:rFonts w:ascii="Calibri" w:hAnsi="Calibri" w:cs="Times New Roman"/>
                <w:b/>
                <w:sz w:val="22"/>
              </w:rPr>
              <w:t>Challenge</w:t>
            </w:r>
          </w:p>
        </w:tc>
        <w:tc>
          <w:tcPr>
            <w:tcW w:w="3168" w:type="dxa"/>
            <w:shd w:val="clear" w:color="auto" w:fill="D9E8FB"/>
            <w:vAlign w:val="center"/>
          </w:tcPr>
          <w:p w14:paraId="210C9CB4" w14:textId="77777777" w:rsidR="008A7580" w:rsidRPr="004C39DC" w:rsidRDefault="0097537B">
            <w:pPr>
              <w:rPr>
                <w:rFonts w:ascii="Times New Roman" w:hAnsi="Times New Roman" w:cs="Times New Roman"/>
                <w:sz w:val="22"/>
              </w:rPr>
            </w:pPr>
            <w:r w:rsidRPr="004C39DC">
              <w:rPr>
                <w:rFonts w:ascii="Calibri" w:hAnsi="Calibri" w:cs="Times New Roman"/>
                <w:b/>
                <w:sz w:val="22"/>
              </w:rPr>
              <w:t>Why it matters</w:t>
            </w:r>
          </w:p>
        </w:tc>
        <w:tc>
          <w:tcPr>
            <w:tcW w:w="4536" w:type="dxa"/>
            <w:shd w:val="clear" w:color="auto" w:fill="D9E8FB"/>
            <w:vAlign w:val="center"/>
          </w:tcPr>
          <w:p w14:paraId="7BE4623B" w14:textId="77777777" w:rsidR="008A7580" w:rsidRPr="004C39DC" w:rsidRDefault="0097537B">
            <w:pPr>
              <w:rPr>
                <w:rFonts w:ascii="Times New Roman" w:hAnsi="Times New Roman" w:cs="Times New Roman"/>
                <w:sz w:val="22"/>
              </w:rPr>
            </w:pPr>
            <w:r w:rsidRPr="004C39DC">
              <w:rPr>
                <w:rFonts w:ascii="Calibri" w:hAnsi="Calibri" w:cs="Times New Roman"/>
                <w:b/>
                <w:sz w:val="22"/>
              </w:rPr>
              <w:t>Practical response</w:t>
            </w:r>
          </w:p>
        </w:tc>
      </w:tr>
      <w:tr w:rsidR="008A7580" w14:paraId="63243E09" w14:textId="77777777" w:rsidTr="004C39DC">
        <w:tc>
          <w:tcPr>
            <w:tcW w:w="2232" w:type="dxa"/>
            <w:vAlign w:val="center"/>
          </w:tcPr>
          <w:p w14:paraId="2DBDED96" w14:textId="77777777" w:rsidR="008A7580" w:rsidRPr="004C39DC" w:rsidRDefault="0097537B">
            <w:pPr>
              <w:rPr>
                <w:rFonts w:ascii="Times New Roman" w:hAnsi="Times New Roman" w:cs="Times New Roman"/>
                <w:sz w:val="22"/>
              </w:rPr>
            </w:pPr>
            <w:r w:rsidRPr="004C39DC">
              <w:rPr>
                <w:rFonts w:ascii="Calibri" w:hAnsi="Calibri" w:cs="Times New Roman"/>
                <w:sz w:val="22"/>
              </w:rPr>
              <w:t>Missing public-data values</w:t>
            </w:r>
          </w:p>
        </w:tc>
        <w:tc>
          <w:tcPr>
            <w:tcW w:w="3168" w:type="dxa"/>
            <w:vAlign w:val="center"/>
          </w:tcPr>
          <w:p w14:paraId="6A507126" w14:textId="77777777" w:rsidR="008A7580" w:rsidRPr="004C39DC" w:rsidRDefault="0097537B">
            <w:pPr>
              <w:rPr>
                <w:rFonts w:ascii="Times New Roman" w:hAnsi="Times New Roman" w:cs="Times New Roman"/>
                <w:sz w:val="22"/>
              </w:rPr>
            </w:pPr>
            <w:r w:rsidRPr="004C39DC">
              <w:rPr>
                <w:rFonts w:ascii="Calibri" w:hAnsi="Calibri" w:cs="Times New Roman"/>
                <w:sz w:val="22"/>
              </w:rPr>
              <w:t>A blank may be mistaken for zero or may bias summaries.</w:t>
            </w:r>
          </w:p>
        </w:tc>
        <w:tc>
          <w:tcPr>
            <w:tcW w:w="4536" w:type="dxa"/>
            <w:vAlign w:val="center"/>
          </w:tcPr>
          <w:p w14:paraId="2B11C0F5" w14:textId="77777777" w:rsidR="008A7580" w:rsidRPr="004C39DC" w:rsidRDefault="0097537B">
            <w:pPr>
              <w:rPr>
                <w:rFonts w:ascii="Times New Roman" w:hAnsi="Times New Roman" w:cs="Times New Roman"/>
                <w:sz w:val="22"/>
              </w:rPr>
            </w:pPr>
            <w:r w:rsidRPr="004C39DC">
              <w:rPr>
                <w:rFonts w:ascii="Calibri" w:hAnsi="Calibri" w:cs="Times New Roman"/>
                <w:sz w:val="22"/>
              </w:rPr>
              <w:t>Check metadata and the original source; retain a documented missing value if unresolved.</w:t>
            </w:r>
          </w:p>
        </w:tc>
      </w:tr>
      <w:tr w:rsidR="008A7580" w14:paraId="74CE18E3" w14:textId="77777777" w:rsidTr="004C39DC">
        <w:tc>
          <w:tcPr>
            <w:tcW w:w="2232" w:type="dxa"/>
            <w:vAlign w:val="center"/>
          </w:tcPr>
          <w:p w14:paraId="006CC09B" w14:textId="77777777" w:rsidR="008A7580" w:rsidRPr="004C39DC" w:rsidRDefault="0097537B">
            <w:pPr>
              <w:rPr>
                <w:rFonts w:ascii="Times New Roman" w:hAnsi="Times New Roman" w:cs="Times New Roman"/>
                <w:sz w:val="22"/>
              </w:rPr>
            </w:pPr>
            <w:r w:rsidRPr="004C39DC">
              <w:rPr>
                <w:rFonts w:ascii="Calibri" w:hAnsi="Calibri" w:cs="Times New Roman"/>
                <w:sz w:val="22"/>
              </w:rPr>
              <w:t>Different names for the same place</w:t>
            </w:r>
          </w:p>
        </w:tc>
        <w:tc>
          <w:tcPr>
            <w:tcW w:w="3168" w:type="dxa"/>
            <w:vAlign w:val="center"/>
          </w:tcPr>
          <w:p w14:paraId="6725ABE9" w14:textId="77777777" w:rsidR="008A7580" w:rsidRPr="004C39DC" w:rsidRDefault="0097537B">
            <w:pPr>
              <w:rPr>
                <w:rFonts w:ascii="Times New Roman" w:hAnsi="Times New Roman" w:cs="Times New Roman"/>
                <w:sz w:val="22"/>
              </w:rPr>
            </w:pPr>
            <w:r w:rsidRPr="004C39DC">
              <w:rPr>
                <w:rFonts w:ascii="Calibri" w:hAnsi="Calibri" w:cs="Times New Roman"/>
                <w:sz w:val="22"/>
              </w:rPr>
              <w:t>Grouping and joins may split one state into multiple categories.</w:t>
            </w:r>
          </w:p>
        </w:tc>
        <w:tc>
          <w:tcPr>
            <w:tcW w:w="4536" w:type="dxa"/>
            <w:vAlign w:val="center"/>
          </w:tcPr>
          <w:p w14:paraId="2B40ECED" w14:textId="77777777" w:rsidR="008A7580" w:rsidRPr="004C39DC" w:rsidRDefault="0097537B">
            <w:pPr>
              <w:rPr>
                <w:rFonts w:ascii="Times New Roman" w:hAnsi="Times New Roman" w:cs="Times New Roman"/>
                <w:sz w:val="22"/>
              </w:rPr>
            </w:pPr>
            <w:r w:rsidRPr="004C39DC">
              <w:rPr>
                <w:rFonts w:ascii="Calibri" w:hAnsi="Calibri" w:cs="Times New Roman"/>
                <w:sz w:val="22"/>
              </w:rPr>
              <w:t>Use a standard reference list and consistent capitalization.</w:t>
            </w:r>
          </w:p>
        </w:tc>
      </w:tr>
      <w:tr w:rsidR="008A7580" w14:paraId="423B4478" w14:textId="77777777" w:rsidTr="004C39DC">
        <w:tc>
          <w:tcPr>
            <w:tcW w:w="2232" w:type="dxa"/>
            <w:vAlign w:val="center"/>
          </w:tcPr>
          <w:p w14:paraId="219D9FAC" w14:textId="77777777" w:rsidR="008A7580" w:rsidRPr="004C39DC" w:rsidRDefault="0097537B">
            <w:pPr>
              <w:rPr>
                <w:rFonts w:ascii="Times New Roman" w:hAnsi="Times New Roman" w:cs="Times New Roman"/>
                <w:sz w:val="22"/>
              </w:rPr>
            </w:pPr>
            <w:r w:rsidRPr="004C39DC">
              <w:rPr>
                <w:rFonts w:ascii="Calibri" w:hAnsi="Calibri" w:cs="Times New Roman"/>
                <w:sz w:val="22"/>
              </w:rPr>
              <w:t>Repeated records</w:t>
            </w:r>
          </w:p>
        </w:tc>
        <w:tc>
          <w:tcPr>
            <w:tcW w:w="3168" w:type="dxa"/>
            <w:vAlign w:val="center"/>
          </w:tcPr>
          <w:p w14:paraId="37034FD8" w14:textId="77777777" w:rsidR="008A7580" w:rsidRPr="004C39DC" w:rsidRDefault="0097537B">
            <w:pPr>
              <w:rPr>
                <w:rFonts w:ascii="Times New Roman" w:hAnsi="Times New Roman" w:cs="Times New Roman"/>
                <w:sz w:val="22"/>
              </w:rPr>
            </w:pPr>
            <w:r w:rsidRPr="004C39DC">
              <w:rPr>
                <w:rFonts w:ascii="Calibri" w:hAnsi="Calibri" w:cs="Times New Roman"/>
                <w:sz w:val="22"/>
              </w:rPr>
              <w:t>Duplicate rows can inflate totals.</w:t>
            </w:r>
          </w:p>
        </w:tc>
        <w:tc>
          <w:tcPr>
            <w:tcW w:w="4536" w:type="dxa"/>
            <w:vAlign w:val="center"/>
          </w:tcPr>
          <w:p w14:paraId="151ADA74" w14:textId="77777777" w:rsidR="008A7580" w:rsidRPr="004C39DC" w:rsidRDefault="0097537B">
            <w:pPr>
              <w:rPr>
                <w:rFonts w:ascii="Times New Roman" w:hAnsi="Times New Roman" w:cs="Times New Roman"/>
                <w:sz w:val="22"/>
              </w:rPr>
            </w:pPr>
            <w:r w:rsidRPr="004C39DC">
              <w:rPr>
                <w:rFonts w:ascii="Calibri" w:hAnsi="Calibri" w:cs="Times New Roman"/>
                <w:sz w:val="22"/>
              </w:rPr>
              <w:t>Compare key fields and source identifiers before removing; keep valid records for different years.</w:t>
            </w:r>
          </w:p>
        </w:tc>
      </w:tr>
      <w:tr w:rsidR="008A7580" w14:paraId="08E9E311" w14:textId="77777777" w:rsidTr="004C39DC">
        <w:tc>
          <w:tcPr>
            <w:tcW w:w="2232" w:type="dxa"/>
            <w:vAlign w:val="center"/>
          </w:tcPr>
          <w:p w14:paraId="76BE8F80" w14:textId="77777777" w:rsidR="008A7580" w:rsidRPr="004C39DC" w:rsidRDefault="0097537B">
            <w:pPr>
              <w:rPr>
                <w:rFonts w:ascii="Times New Roman" w:hAnsi="Times New Roman" w:cs="Times New Roman"/>
                <w:sz w:val="22"/>
              </w:rPr>
            </w:pPr>
            <w:r w:rsidRPr="004C39DC">
              <w:rPr>
                <w:rFonts w:ascii="Calibri" w:hAnsi="Calibri" w:cs="Times New Roman"/>
                <w:sz w:val="22"/>
              </w:rPr>
              <w:t>Extreme or invalid values</w:t>
            </w:r>
          </w:p>
        </w:tc>
        <w:tc>
          <w:tcPr>
            <w:tcW w:w="3168" w:type="dxa"/>
            <w:vAlign w:val="center"/>
          </w:tcPr>
          <w:p w14:paraId="07940E86" w14:textId="77777777" w:rsidR="008A7580" w:rsidRPr="004C39DC" w:rsidRDefault="0097537B">
            <w:pPr>
              <w:rPr>
                <w:rFonts w:ascii="Times New Roman" w:hAnsi="Times New Roman" w:cs="Times New Roman"/>
                <w:sz w:val="22"/>
              </w:rPr>
            </w:pPr>
            <w:r w:rsidRPr="004C39DC">
              <w:rPr>
                <w:rFonts w:ascii="Calibri" w:hAnsi="Calibri" w:cs="Times New Roman"/>
                <w:sz w:val="22"/>
              </w:rPr>
              <w:t>Errors can distort averages and charts.</w:t>
            </w:r>
          </w:p>
        </w:tc>
        <w:tc>
          <w:tcPr>
            <w:tcW w:w="4536" w:type="dxa"/>
            <w:vAlign w:val="center"/>
          </w:tcPr>
          <w:p w14:paraId="55FDE93E" w14:textId="77777777" w:rsidR="008A7580" w:rsidRPr="004C39DC" w:rsidRDefault="0097537B">
            <w:pPr>
              <w:rPr>
                <w:rFonts w:ascii="Times New Roman" w:hAnsi="Times New Roman" w:cs="Times New Roman"/>
                <w:sz w:val="22"/>
              </w:rPr>
            </w:pPr>
            <w:r w:rsidRPr="004C39DC">
              <w:rPr>
                <w:rFonts w:ascii="Calibri" w:hAnsi="Calibri" w:cs="Times New Roman"/>
                <w:sz w:val="22"/>
              </w:rPr>
              <w:t>Apply range checks and investigate with source context; do not delete outliers automatically.</w:t>
            </w:r>
          </w:p>
        </w:tc>
      </w:tr>
      <w:tr w:rsidR="008A7580" w14:paraId="6AD6AE30" w14:textId="77777777" w:rsidTr="004C39DC">
        <w:tc>
          <w:tcPr>
            <w:tcW w:w="2232" w:type="dxa"/>
            <w:vAlign w:val="center"/>
          </w:tcPr>
          <w:p w14:paraId="0FB8BA1A" w14:textId="77777777" w:rsidR="008A7580" w:rsidRPr="004C39DC" w:rsidRDefault="0097537B">
            <w:pPr>
              <w:rPr>
                <w:rFonts w:ascii="Times New Roman" w:hAnsi="Times New Roman" w:cs="Times New Roman"/>
                <w:sz w:val="22"/>
              </w:rPr>
            </w:pPr>
            <w:r w:rsidRPr="004C39DC">
              <w:rPr>
                <w:rFonts w:ascii="Calibri" w:hAnsi="Calibri" w:cs="Times New Roman"/>
                <w:sz w:val="22"/>
              </w:rPr>
              <w:t>Different units or definitions</w:t>
            </w:r>
          </w:p>
        </w:tc>
        <w:tc>
          <w:tcPr>
            <w:tcW w:w="3168" w:type="dxa"/>
            <w:vAlign w:val="center"/>
          </w:tcPr>
          <w:p w14:paraId="3CC83064" w14:textId="77777777" w:rsidR="008A7580" w:rsidRPr="004C39DC" w:rsidRDefault="0097537B">
            <w:pPr>
              <w:rPr>
                <w:rFonts w:ascii="Times New Roman" w:hAnsi="Times New Roman" w:cs="Times New Roman"/>
                <w:sz w:val="22"/>
              </w:rPr>
            </w:pPr>
            <w:r w:rsidRPr="004C39DC">
              <w:rPr>
                <w:rFonts w:ascii="Calibri" w:hAnsi="Calibri" w:cs="Times New Roman"/>
                <w:sz w:val="22"/>
              </w:rPr>
              <w:t>Solar capacity and job counts may not be comparable across sources.</w:t>
            </w:r>
          </w:p>
        </w:tc>
        <w:tc>
          <w:tcPr>
            <w:tcW w:w="4536" w:type="dxa"/>
            <w:vAlign w:val="center"/>
          </w:tcPr>
          <w:p w14:paraId="66F547F7" w14:textId="77777777" w:rsidR="008A7580" w:rsidRPr="004C39DC" w:rsidRDefault="0097537B">
            <w:pPr>
              <w:rPr>
                <w:rFonts w:ascii="Times New Roman" w:hAnsi="Times New Roman" w:cs="Times New Roman"/>
                <w:sz w:val="22"/>
              </w:rPr>
            </w:pPr>
            <w:r w:rsidRPr="004C39DC">
              <w:rPr>
                <w:rFonts w:ascii="Calibri" w:hAnsi="Calibri" w:cs="Times New Roman"/>
                <w:sz w:val="22"/>
              </w:rPr>
              <w:t>Record units, definitions, reference periods, and methodology before combining data.</w:t>
            </w:r>
          </w:p>
        </w:tc>
      </w:tr>
      <w:tr w:rsidR="008A7580" w14:paraId="220C2E76" w14:textId="77777777" w:rsidTr="004C39DC">
        <w:tc>
          <w:tcPr>
            <w:tcW w:w="2232" w:type="dxa"/>
            <w:vAlign w:val="center"/>
          </w:tcPr>
          <w:p w14:paraId="48E55103" w14:textId="77777777" w:rsidR="008A7580" w:rsidRPr="004C39DC" w:rsidRDefault="0097537B">
            <w:pPr>
              <w:rPr>
                <w:rFonts w:ascii="Times New Roman" w:hAnsi="Times New Roman" w:cs="Times New Roman"/>
                <w:sz w:val="22"/>
              </w:rPr>
            </w:pPr>
            <w:r w:rsidRPr="004C39DC">
              <w:rPr>
                <w:rFonts w:ascii="Calibri" w:hAnsi="Calibri" w:cs="Times New Roman"/>
                <w:sz w:val="22"/>
              </w:rPr>
              <w:t>Changing source methods over time</w:t>
            </w:r>
          </w:p>
        </w:tc>
        <w:tc>
          <w:tcPr>
            <w:tcW w:w="3168" w:type="dxa"/>
            <w:vAlign w:val="center"/>
          </w:tcPr>
          <w:p w14:paraId="2061B762" w14:textId="77777777" w:rsidR="008A7580" w:rsidRPr="004C39DC" w:rsidRDefault="0097537B">
            <w:pPr>
              <w:rPr>
                <w:rFonts w:ascii="Times New Roman" w:hAnsi="Times New Roman" w:cs="Times New Roman"/>
                <w:sz w:val="22"/>
              </w:rPr>
            </w:pPr>
            <w:r w:rsidRPr="004C39DC">
              <w:rPr>
                <w:rFonts w:ascii="Calibri" w:hAnsi="Calibri" w:cs="Times New Roman"/>
                <w:sz w:val="22"/>
              </w:rPr>
              <w:t>A trend may reflect a changed definition rather than a real change.</w:t>
            </w:r>
          </w:p>
        </w:tc>
        <w:tc>
          <w:tcPr>
            <w:tcW w:w="4536" w:type="dxa"/>
            <w:vAlign w:val="center"/>
          </w:tcPr>
          <w:p w14:paraId="5FC4F587" w14:textId="77777777" w:rsidR="008A7580" w:rsidRPr="004C39DC" w:rsidRDefault="0097537B">
            <w:pPr>
              <w:rPr>
                <w:rFonts w:ascii="Times New Roman" w:hAnsi="Times New Roman" w:cs="Times New Roman"/>
                <w:sz w:val="22"/>
              </w:rPr>
            </w:pPr>
            <w:r w:rsidRPr="004C39DC">
              <w:rPr>
                <w:rFonts w:ascii="Calibri" w:hAnsi="Calibri" w:cs="Times New Roman"/>
                <w:sz w:val="22"/>
              </w:rPr>
              <w:t>Read metadata and document revisions or breaks in the series.</w:t>
            </w:r>
          </w:p>
        </w:tc>
      </w:tr>
    </w:tbl>
    <w:p w14:paraId="485F265B" w14:textId="77777777" w:rsidR="008A7580" w:rsidRDefault="008A7580"/>
    <w:p w14:paraId="054F4176" w14:textId="77777777" w:rsidR="004C39DC" w:rsidRPr="004C39DC" w:rsidRDefault="0097537B" w:rsidP="004C39DC">
      <w:pPr>
        <w:pStyle w:val="Heading1"/>
        <w:spacing w:line="360" w:lineRule="auto"/>
        <w:rPr>
          <w:sz w:val="36"/>
          <w:szCs w:val="36"/>
        </w:rPr>
      </w:pPr>
      <w:r w:rsidRPr="004C39DC">
        <w:rPr>
          <w:sz w:val="36"/>
          <w:szCs w:val="36"/>
        </w:rPr>
        <w:lastRenderedPageBreak/>
        <w:t>7. Data Quality, Green Jobs, and Sustainability Analysis</w:t>
      </w:r>
    </w:p>
    <w:p w14:paraId="4C8EFB85" w14:textId="77777777" w:rsidR="008A7580" w:rsidRPr="004C39DC" w:rsidRDefault="0097537B" w:rsidP="004C39DC">
      <w:pPr>
        <w:rPr>
          <w:rFonts w:ascii="Times New Roman" w:hAnsi="Times New Roman" w:cs="Times New Roman"/>
          <w:sz w:val="24"/>
          <w:szCs w:val="24"/>
        </w:rPr>
      </w:pPr>
      <w:r w:rsidRPr="004C39DC">
        <w:rPr>
          <w:rFonts w:ascii="Times New Roman" w:hAnsi="Times New Roman" w:cs="Times New Roman"/>
          <w:sz w:val="24"/>
          <w:szCs w:val="24"/>
        </w:rPr>
        <w:t>Reliable data preparation matters when examining green jobs and renewable energy because decision-makers may use the results to discuss workforce planning, training, investment, and regional development. IRENA and the ILO’s Renewable Energy and Jobs: Annual Review 2025 estimates at least 16.6 million renewable-energy jobs worldwide in 2024 and discusses factors affecting employment growth, including automation and supply-chain conditions. This is published global context; it is separate from the fictional state-level values in this exercise.</w:t>
      </w:r>
    </w:p>
    <w:p w14:paraId="24540B3D" w14:textId="77777777" w:rsidR="008A7580" w:rsidRDefault="0097537B" w:rsidP="004C39DC">
      <w:r w:rsidRPr="004C39DC">
        <w:rPr>
          <w:rFonts w:ascii="Times New Roman" w:hAnsi="Times New Roman" w:cs="Times New Roman"/>
          <w:sz w:val="24"/>
          <w:szCs w:val="24"/>
        </w:rPr>
        <w:t>If a real analysis combines employment estimates with solar-capacity data, the analyst should check that both measures cover the same year, geographic area, technology scope, and definition. Installed capacity does not directly equal the number of jobs, so the two variables should not be interpreted as having a causal relationship without additional evidence. The simulated dataset is too small and fictional to support conclusions about which Indian state has more green jobs or whether solar capacity creates a particular number of jobs.</w:t>
      </w:r>
    </w:p>
    <w:p w14:paraId="473FE88B" w14:textId="77777777" w:rsidR="008A7580" w:rsidRPr="004C39DC" w:rsidRDefault="0097537B">
      <w:pPr>
        <w:pStyle w:val="Heading1"/>
        <w:rPr>
          <w:sz w:val="36"/>
          <w:szCs w:val="36"/>
        </w:rPr>
      </w:pPr>
      <w:r w:rsidRPr="004C39DC">
        <w:rPr>
          <w:sz w:val="36"/>
          <w:szCs w:val="36"/>
        </w:rPr>
        <w:t>8. Conclusion</w:t>
      </w:r>
    </w:p>
    <w:p w14:paraId="79C8FDF9" w14:textId="77777777" w:rsidR="008A7580" w:rsidRPr="004C39DC" w:rsidRDefault="0097537B">
      <w:pPr>
        <w:rPr>
          <w:rFonts w:ascii="Times New Roman" w:hAnsi="Times New Roman" w:cs="Times New Roman"/>
          <w:sz w:val="24"/>
          <w:szCs w:val="24"/>
        </w:rPr>
      </w:pPr>
      <w:r>
        <w:t>This exercise demonstrated a structured approach to preparing data for analysis. The raw practice dataset included an exact duplicate Kerala record, inconsistent capitalization for Tamil Nadu, a missing job-count value, and an implausible negative job count. The cleaned example removed the duplicate Kerala row, standardized the Tamil Nadu label, removed the resulting duplicate Tamil Nadu row, and left unresolved or invalid job counts blank for verification. The cleaning log records the decisions and their reasons.</w:t>
      </w:r>
    </w:p>
    <w:p w14:paraId="2EC445B9"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sz w:val="24"/>
          <w:szCs w:val="24"/>
        </w:rPr>
        <w:t>The most important lesson is that cleaning is not simply deleting unusual rows or filling blanks. Each action should be based on the variable’s meaning, the available source, and a documented rule. The original data should be preserved, corrections should be traceable, and the cleaned dataset should be validated before use. Further work with real official datasets would be needed before drawing conclusions about green jobs or renewable energy in India.</w:t>
      </w:r>
    </w:p>
    <w:p w14:paraId="3AB3A53F" w14:textId="77777777" w:rsidR="008A7580" w:rsidRPr="004C39DC" w:rsidRDefault="0097537B">
      <w:pPr>
        <w:pStyle w:val="Heading1"/>
        <w:rPr>
          <w:sz w:val="36"/>
          <w:szCs w:val="36"/>
        </w:rPr>
      </w:pPr>
      <w:r w:rsidRPr="004C39DC">
        <w:rPr>
          <w:sz w:val="36"/>
          <w:szCs w:val="36"/>
        </w:rPr>
        <w:t>9. References</w:t>
      </w:r>
    </w:p>
    <w:p w14:paraId="18D72FF7" w14:textId="77777777" w:rsidR="004C39DC" w:rsidRDefault="0097537B" w:rsidP="004C39DC">
      <w:pPr>
        <w:pStyle w:val="ListBullet"/>
        <w:numPr>
          <w:ilvl w:val="0"/>
          <w:numId w:val="1"/>
        </w:numPr>
        <w:rPr>
          <w:rFonts w:ascii="Times New Roman" w:hAnsi="Times New Roman" w:cs="Times New Roman"/>
          <w:sz w:val="24"/>
          <w:szCs w:val="24"/>
        </w:rPr>
      </w:pPr>
      <w:r w:rsidRPr="004C39DC">
        <w:rPr>
          <w:rFonts w:ascii="Times New Roman" w:hAnsi="Times New Roman" w:cs="Times New Roman"/>
          <w:sz w:val="24"/>
          <w:szCs w:val="24"/>
        </w:rPr>
        <w:t xml:space="preserve">International Renewable Energy Agency (IRENA) and International Labour Organization (ILO). (2026). Renewable energy and jobs: Annual review 2025. </w:t>
      </w:r>
      <w:hyperlink r:id="rId8" w:history="1">
        <w:r w:rsidR="004C39DC" w:rsidRPr="00934ADF">
          <w:rPr>
            <w:rStyle w:val="Hyperlink"/>
            <w:rFonts w:ascii="Times New Roman" w:hAnsi="Times New Roman" w:cs="Times New Roman"/>
            <w:sz w:val="24"/>
            <w:szCs w:val="24"/>
          </w:rPr>
          <w:t>https://www.irena.org/Publications/2026/Jan/Renewable-energy-and-jobs-Annual-review-2025</w:t>
        </w:r>
      </w:hyperlink>
    </w:p>
    <w:p w14:paraId="1257D48D" w14:textId="77777777" w:rsidR="004C39DC" w:rsidRDefault="0097537B" w:rsidP="004C39DC">
      <w:pPr>
        <w:pStyle w:val="ListBullet"/>
        <w:numPr>
          <w:ilvl w:val="0"/>
          <w:numId w:val="1"/>
        </w:numPr>
        <w:rPr>
          <w:rFonts w:ascii="Times New Roman" w:hAnsi="Times New Roman" w:cs="Times New Roman"/>
          <w:sz w:val="24"/>
          <w:szCs w:val="24"/>
        </w:rPr>
      </w:pPr>
      <w:r w:rsidRPr="004C39DC">
        <w:rPr>
          <w:rFonts w:ascii="Times New Roman" w:hAnsi="Times New Roman" w:cs="Times New Roman"/>
          <w:sz w:val="24"/>
          <w:szCs w:val="24"/>
        </w:rPr>
        <w:t xml:space="preserve">National Institute of Standards and Technology (NIST). (n.d.). Detection of outliers, NIST/SEMATECH e-Handbook of Statistical Methods. </w:t>
      </w:r>
      <w:hyperlink r:id="rId9" w:history="1">
        <w:r w:rsidR="004C39DC" w:rsidRPr="00934ADF">
          <w:rPr>
            <w:rStyle w:val="Hyperlink"/>
            <w:rFonts w:ascii="Times New Roman" w:hAnsi="Times New Roman" w:cs="Times New Roman"/>
            <w:sz w:val="24"/>
            <w:szCs w:val="24"/>
          </w:rPr>
          <w:t>https://itl.nist.gov/div898/handbook/eda/section3/eda35h.htm</w:t>
        </w:r>
      </w:hyperlink>
    </w:p>
    <w:p w14:paraId="4E81D314" w14:textId="77777777" w:rsidR="008A7580" w:rsidRDefault="0097537B" w:rsidP="004C39DC">
      <w:pPr>
        <w:pStyle w:val="ListBullet"/>
        <w:numPr>
          <w:ilvl w:val="0"/>
          <w:numId w:val="1"/>
        </w:numPr>
        <w:rPr>
          <w:rFonts w:ascii="Times New Roman" w:hAnsi="Times New Roman" w:cs="Times New Roman"/>
          <w:sz w:val="24"/>
          <w:szCs w:val="24"/>
        </w:rPr>
      </w:pPr>
      <w:r w:rsidRPr="004C39DC">
        <w:rPr>
          <w:rFonts w:ascii="Times New Roman" w:hAnsi="Times New Roman" w:cs="Times New Roman"/>
          <w:sz w:val="24"/>
          <w:szCs w:val="24"/>
        </w:rPr>
        <w:t xml:space="preserve">U.S. Census Bureau. (2021). Statistical Quality Standard C2: Editing and Imputing Data. </w:t>
      </w:r>
      <w:hyperlink r:id="rId10" w:history="1">
        <w:r w:rsidR="004C39DC" w:rsidRPr="00934ADF">
          <w:rPr>
            <w:rStyle w:val="Hyperlink"/>
            <w:rFonts w:ascii="Times New Roman" w:hAnsi="Times New Roman" w:cs="Times New Roman"/>
            <w:sz w:val="24"/>
            <w:szCs w:val="24"/>
          </w:rPr>
          <w:t>https://www.census.gov/about/policies/quality/standards/standardc2.html</w:t>
        </w:r>
      </w:hyperlink>
    </w:p>
    <w:p w14:paraId="658B8666" w14:textId="77777777" w:rsidR="004C39DC" w:rsidRPr="004C39DC" w:rsidRDefault="004C39DC" w:rsidP="004C39DC">
      <w:pPr>
        <w:pStyle w:val="ListBullet"/>
        <w:ind w:left="360"/>
        <w:rPr>
          <w:rFonts w:ascii="Times New Roman" w:hAnsi="Times New Roman" w:cs="Times New Roman"/>
          <w:sz w:val="24"/>
          <w:szCs w:val="24"/>
        </w:rPr>
      </w:pPr>
    </w:p>
    <w:p w14:paraId="34AFD29E" w14:textId="77777777" w:rsidR="008A7580" w:rsidRPr="004C39DC" w:rsidRDefault="0097537B">
      <w:pPr>
        <w:rPr>
          <w:rFonts w:ascii="Times New Roman" w:hAnsi="Times New Roman" w:cs="Times New Roman"/>
          <w:sz w:val="24"/>
          <w:szCs w:val="24"/>
        </w:rPr>
      </w:pPr>
      <w:r w:rsidRPr="004C39DC">
        <w:rPr>
          <w:rFonts w:ascii="Times New Roman" w:hAnsi="Times New Roman" w:cs="Times New Roman"/>
          <w:b/>
          <w:sz w:val="24"/>
          <w:szCs w:val="24"/>
        </w:rPr>
        <w:t xml:space="preserve">Appendix: Workbook reference. </w:t>
      </w:r>
      <w:r w:rsidRPr="004C39DC">
        <w:rPr>
          <w:rFonts w:ascii="Times New Roman" w:hAnsi="Times New Roman" w:cs="Times New Roman"/>
          <w:sz w:val="24"/>
          <w:szCs w:val="24"/>
        </w:rPr>
        <w:t>The accompanying Excel workbook should retain the Raw_Data, Cleaned_Data, and Cleaning_Log worksheets. The figures are simulated for this documentation exercise and must not be cited as official data.</w:t>
      </w:r>
    </w:p>
    <w:sectPr w:rsidR="008A7580" w:rsidRPr="004C39DC"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3573" w14:textId="77777777" w:rsidR="0097537B" w:rsidRDefault="0097537B">
      <w:pPr>
        <w:spacing w:after="0" w:line="240" w:lineRule="auto"/>
      </w:pPr>
      <w:r>
        <w:separator/>
      </w:r>
    </w:p>
  </w:endnote>
  <w:endnote w:type="continuationSeparator" w:id="0">
    <w:p w14:paraId="6FBE7CC1" w14:textId="77777777" w:rsidR="0097537B" w:rsidRDefault="0097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BBF2E" w14:textId="76C50784" w:rsidR="008A7580" w:rsidRDefault="0097537B">
    <w:pPr>
      <w:pStyle w:val="Footer"/>
      <w:jc w:val="center"/>
    </w:pPr>
    <w:r>
      <w:fldChar w:fldCharType="begin"/>
    </w:r>
    <w:r>
      <w:instrText>PAGE</w:instrText>
    </w:r>
    <w:r>
      <w:fldChar w:fldCharType="separate"/>
    </w:r>
    <w:r w:rsidR="00767A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521C28" w14:textId="77777777" w:rsidR="0097537B" w:rsidRDefault="0097537B">
      <w:pPr>
        <w:spacing w:after="0" w:line="240" w:lineRule="auto"/>
      </w:pPr>
      <w:r>
        <w:separator/>
      </w:r>
    </w:p>
  </w:footnote>
  <w:footnote w:type="continuationSeparator" w:id="0">
    <w:p w14:paraId="410EF935" w14:textId="77777777" w:rsidR="0097537B" w:rsidRDefault="00975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F"/>
    <w:lvl w:ilvl="0">
      <w:start w:val="1"/>
      <w:numFmt w:val="decimal"/>
      <w:lvlText w:val="%1."/>
      <w:lvlJc w:val="left"/>
      <w:pPr>
        <w:ind w:left="360"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C39DC"/>
    <w:rsid w:val="00767A4F"/>
    <w:rsid w:val="008A7580"/>
    <w:rsid w:val="0097537B"/>
    <w:rsid w:val="00AA1D8D"/>
    <w:rsid w:val="00B47730"/>
    <w:rsid w:val="00C310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6F9B9"/>
  <w14:defaultImageDpi w14:val="300"/>
  <w15:docId w15:val="{D7BBE1CB-4504-4F82-957D-62CE8550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A9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67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4A9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9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ena.org/Publications/2026/Jan/Renewable-energy-and-jobs-Annual-review-202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ensus.gov/about/policies/quality/standards/standardc2.html" TargetMode="External"/><Relationship Id="rId4" Type="http://schemas.openxmlformats.org/officeDocument/2006/relationships/settings" Target="settings.xml"/><Relationship Id="rId9" Type="http://schemas.openxmlformats.org/officeDocument/2006/relationships/hyperlink" Target="https://itl.nist.gov/div898/handbook/eda/section3/eda35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E771B-935D-46C5-8253-597999A7D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Unnimaya C</cp:lastModifiedBy>
  <cp:revision>4</cp:revision>
  <dcterms:created xsi:type="dcterms:W3CDTF">2013-12-23T23:15:00Z</dcterms:created>
  <dcterms:modified xsi:type="dcterms:W3CDTF">2026-10-21T16:11:00Z</dcterms:modified>
  <cp:category/>
</cp:coreProperties>
</file>