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Evaluación Formal del Modelo Baseline</w:t>
      </w:r>
    </w:p>
    <w:p>
      <w:pPr>
        <w:spacing w:after="360"/>
        <w:jc w:val="center"/>
      </w:pPr>
      <w:r>
        <w:rPr>
          <w:rFonts w:ascii="Arial" w:cs="Arial" w:eastAsia="Arial" w:hAnsi="Arial"/>
          <w:color w:val="4472C4"/>
          <w:sz w:val="28"/>
          <w:szCs w:val="28"/>
        </w:rPr>
        <w:t xml:space="preserve">Reporte Técnico — Semana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Estudiante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Erick Alberto Sánchez Aranda  |  A01641715</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Carrera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ITC — 4to semestre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Fecha de entrega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24 de marzo,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Semana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4 — Evaluación Formal del Modelo Baseline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Dataset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GTSRB — German Traffic Sign Recognition Benchmark</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Modelo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CNNBaseline (3 bloques conv, 628,843 parámetros)</w:t>
            </w:r>
          </w:p>
        </w:tc>
      </w:tr>
    </w:tbl>
    <w:p>
      <w:r>
        <w:t xml:space="preserve"/>
      </w:r>
    </w:p>
    <w:p>
      <w:pPr>
        <w:pStyle w:val="Heading1"/>
        <w:spacing w:before="280" w:after="140"/>
      </w:pPr>
      <w:r>
        <w:rPr>
          <w:rFonts w:ascii="Arial" w:cs="Arial" w:eastAsia="Arial" w:hAnsi="Arial"/>
          <w:b/>
          <w:bCs/>
          <w:color w:val="1F3864"/>
          <w:sz w:val="32"/>
          <w:szCs w:val="32"/>
        </w:rPr>
        <w:t xml:space="preserve">1. Resumen de Métricas</w:t>
      </w:r>
    </w:p>
    <w:p>
      <w:pPr>
        <w:spacing w:after="120"/>
      </w:pPr>
      <w:r>
        <w:rPr>
          <w:rFonts w:ascii="Arial" w:cs="Arial" w:eastAsia="Arial" w:hAnsi="Arial"/>
          <w:sz w:val="24"/>
          <w:szCs w:val="24"/>
        </w:rPr>
        <w:t xml:space="preserve">El modelo baseline (CNNBaseline) fue evaluado sobre el conjunto de test del GTSRB compuesto por 12,630 imágenes de 43 clases. Los resultados generales son los siguientes: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Métrica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Valor (macro avg)</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Valor (weighted avg)</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Global sobre 12,630 imágenes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Promedio entre 43 clases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Promedio entre 43 clases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F1-score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Balance precision/recall</w:t>
            </w:r>
          </w:p>
        </w:tc>
      </w:tr>
    </w:tbl>
    <w:p>
      <w:r>
        <w:t xml:space="preserve"/>
      </w:r>
    </w:p>
    <w:p>
      <w:pPr>
        <w:spacing w:after="120"/>
      </w:pPr>
      <w:r>
        <w:rPr>
          <w:rFonts w:ascii="Arial" w:cs="Arial" w:eastAsia="Arial" w:hAnsi="Arial"/>
          <w:sz w:val="24"/>
          <w:szCs w:val="24"/>
        </w:rPr>
        <w:t xml:space="preserve">El accuracy global de 93% es un resultado sólido para un modelo CNN entrenado desde cero con solo 10 epochs. Sin embargo, el macro average de F1 (90%) revela que hay clases con desempeño significativamente inferior al promedio, lo que no se refleja en el accuracy global.</w:t>
      </w:r>
    </w:p>
    <w:p>
      <w:r>
        <w:t xml:space="preserve"/>
      </w:r>
    </w:p>
    <w:p>
      <w:pPr>
        <w:pStyle w:val="Heading1"/>
        <w:spacing w:before="280" w:after="140"/>
      </w:pPr>
      <w:r>
        <w:rPr>
          <w:rFonts w:ascii="Arial" w:cs="Arial" w:eastAsia="Arial" w:hAnsi="Arial"/>
          <w:b/>
          <w:bCs/>
          <w:color w:val="1F3864"/>
          <w:sz w:val="32"/>
          <w:szCs w:val="32"/>
        </w:rPr>
        <w:t xml:space="preserve">2. Análisis de Errores por Clase</w:t>
      </w:r>
    </w:p>
    <w:p>
      <w:pPr>
        <w:pStyle w:val="Heading2"/>
        <w:spacing w:before="200" w:after="100"/>
      </w:pPr>
      <w:r>
        <w:rPr>
          <w:rFonts w:ascii="Arial" w:cs="Arial" w:eastAsia="Arial" w:hAnsi="Arial"/>
          <w:b/>
          <w:bCs/>
          <w:color w:val="2E5096"/>
          <w:sz w:val="28"/>
          <w:szCs w:val="28"/>
        </w:rPr>
        <w:t xml:space="preserve">Clases con peor desempeño</w:t>
      </w:r>
    </w:p>
    <w:p>
      <w:pPr>
        <w:spacing w:after="120"/>
      </w:pPr>
      <w:r>
        <w:rPr>
          <w:rFonts w:ascii="Arial" w:cs="Arial" w:eastAsia="Arial" w:hAnsi="Arial"/>
          <w:sz w:val="24"/>
          <w:szCs w:val="24"/>
        </w:rPr>
        <w:t xml:space="preserve">Las tres clases con menor F1-score son las siguientes: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Clase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Precision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Recall</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F1</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Support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Problema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Desbalance + confusión con clase 26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Sobrepredicción — recall alto pero precision baja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Pocos ejemplos + sobrepredicción</w:t>
            </w:r>
          </w:p>
        </w:tc>
      </w:tr>
    </w:tbl>
    <w:p>
      <w:r>
        <w:t xml:space="preserve"/>
      </w:r>
    </w:p>
    <w:p>
      <w:pPr>
        <w:spacing w:after="120"/>
      </w:pPr>
      <w:r>
        <w:rPr>
          <w:rFonts w:ascii="Arial" w:cs="Arial" w:eastAsia="Arial" w:hAnsi="Arial"/>
          <w:sz w:val="24"/>
          <w:szCs w:val="24"/>
        </w:rPr>
        <w:t xml:space="preserve">Las clases 27 y 37 tienen solo 60 imágenes en el conjunto de test, lo que sugiere que también tienen pocas imágenes en entrenamiento. El desbalance de clases es la causa principal de su bajo desempeño. La clase 20 presenta el patrón opuesto: recall muy alto (0.99) pero precision baja (0.50), lo que indica que el modelo sobreidentifica esta clase, prediciendo clase 20 para imágenes que pertenecen a otras clases.</w:t>
      </w:r>
    </w:p>
    <w:p>
      <w:r>
        <w:t xml:space="preserve"/>
      </w:r>
    </w:p>
    <w:p>
      <w:pPr>
        <w:pStyle w:val="Heading2"/>
        <w:spacing w:before="200" w:after="100"/>
      </w:pPr>
      <w:r>
        <w:rPr>
          <w:rFonts w:ascii="Arial" w:cs="Arial" w:eastAsia="Arial" w:hAnsi="Arial"/>
          <w:b/>
          <w:bCs/>
          <w:color w:val="2E5096"/>
          <w:sz w:val="28"/>
          <w:szCs w:val="28"/>
        </w:rPr>
        <w:t xml:space="preserve">Clases con mejor desempeño</w:t>
      </w:r>
    </w:p>
    <w:p>
      <w:pPr>
        <w:pStyle w:val="ListParagraph"/>
        <w:numPr>
          <w:ilvl w:val="0"/>
          <w:numId w:val="2"/>
        </w:numPr>
        <w:spacing w:after="80"/>
      </w:pPr>
      <w:r>
        <w:rPr>
          <w:rFonts w:ascii="Arial" w:cs="Arial" w:eastAsia="Arial" w:hAnsi="Arial"/>
          <w:sz w:val="24"/>
          <w:szCs w:val="24"/>
        </w:rPr>
        <w:t xml:space="preserve">Clase 10: F1 de 0.98, 660 imágenes. Señal bien representada y visualmente distinta.</w:t>
      </w:r>
    </w:p>
    <w:p>
      <w:pPr>
        <w:pStyle w:val="ListParagraph"/>
        <w:numPr>
          <w:ilvl w:val="0"/>
          <w:numId w:val="2"/>
        </w:numPr>
        <w:spacing w:after="80"/>
      </w:pPr>
      <w:r>
        <w:rPr>
          <w:rFonts w:ascii="Arial" w:cs="Arial" w:eastAsia="Arial" w:hAnsi="Arial"/>
          <w:sz w:val="24"/>
          <w:szCs w:val="24"/>
        </w:rPr>
        <w:t xml:space="preserve">Clase 13: F1 de 0.97, 720 imágenes. Alta representación en el dataset.</w:t>
      </w:r>
    </w:p>
    <w:p>
      <w:pPr>
        <w:pStyle w:val="ListParagraph"/>
        <w:numPr>
          <w:ilvl w:val="0"/>
          <w:numId w:val="2"/>
        </w:numPr>
        <w:spacing w:after="80"/>
      </w:pPr>
      <w:r>
        <w:rPr>
          <w:rFonts w:ascii="Arial" w:cs="Arial" w:eastAsia="Arial" w:hAnsi="Arial"/>
          <w:sz w:val="24"/>
          <w:szCs w:val="24"/>
        </w:rPr>
        <w:t xml:space="preserve">Clase 19: F1 de 0.97, 60 imágenes. Caso interesante: pocas imágenes pero F1 alto, posiblemente por ser visualmente muy distinta al resto.</w:t>
      </w:r>
    </w:p>
    <w:p>
      <w:r>
        <w:t xml:space="preserve"/>
      </w:r>
    </w:p>
    <w:p>
      <w:pPr>
        <w:pStyle w:val="Heading1"/>
        <w:spacing w:before="280" w:after="140"/>
      </w:pPr>
      <w:r>
        <w:rPr>
          <w:rFonts w:ascii="Arial" w:cs="Arial" w:eastAsia="Arial" w:hAnsi="Arial"/>
          <w:b/>
          <w:bCs/>
          <w:color w:val="1F3864"/>
          <w:sz w:val="32"/>
          <w:szCs w:val="32"/>
        </w:rPr>
        <w:t xml:space="preserve">3. Matriz de Confusión</w:t>
      </w:r>
    </w:p>
    <w:p>
      <w:pPr>
        <w:spacing w:after="120"/>
      </w:pPr>
      <w:r>
        <w:rPr>
          <w:rFonts w:ascii="Arial" w:cs="Arial" w:eastAsia="Arial" w:hAnsi="Arial"/>
          <w:sz w:val="24"/>
          <w:szCs w:val="24"/>
        </w:rPr>
        <w:t xml:space="preserve">La siguiente matriz muestra la distribución de predicciones del modelo sobre el conjunto de test. La diagonal representa los aciertos; los valores fuera de la diagonal son errores.</w:t>
      </w:r>
    </w:p>
    <w:p>
      <w:r>
        <w:t xml:space="preserve"/>
      </w:r>
    </w:p>
    <w:p>
      <w:pPr>
        <w:jc w:val="center"/>
      </w:pPr>
      <w:r>
        <w:drawing>
          <wp:inline distT="0" distB="0" distL="0" distR="0">
            <wp:extent cx="523875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5686425"/>
                    </a:xfrm>
                    <a:prstGeom prst="rect">
                      <a:avLst/>
                    </a:prstGeom>
                  </pic:spPr>
                </pic:pic>
              </a:graphicData>
            </a:graphic>
          </wp:inline>
        </w:drawing>
      </w:r>
    </w:p>
    <w:p>
      <w:r>
        <w:t xml:space="preserve"/>
      </w:r>
    </w:p>
    <w:p>
      <w:pPr>
        <w:spacing w:after="120"/>
      </w:pPr>
      <w:r>
        <w:rPr>
          <w:rFonts w:ascii="Arial" w:cs="Arial" w:eastAsia="Arial" w:hAnsi="Arial"/>
          <w:sz w:val="24"/>
          <w:szCs w:val="24"/>
        </w:rPr>
        <w:t xml:space="preserve">La diagonal dominante confirma que el modelo clasifica correctamente la mayoría de las imágenes. Los errores más notables son la confusión entre clase 27 y clase 26 (30 de 60 imágenes mal clasificadas) y entre clase 2 y clase 1 (22 de 750 mal clasificadas). Estas confusiones son esperables ya que las señales de esas clases son visualmente similares entre sí.</w:t>
      </w:r>
    </w:p>
    <w:p>
      <w:r>
        <w:t xml:space="preserve"/>
      </w:r>
    </w:p>
    <w:p>
      <w:pPr>
        <w:pStyle w:val="Heading1"/>
        <w:spacing w:before="280" w:after="140"/>
      </w:pPr>
      <w:r>
        <w:rPr>
          <w:rFonts w:ascii="Arial" w:cs="Arial" w:eastAsia="Arial" w:hAnsi="Arial"/>
          <w:b/>
          <w:bCs/>
          <w:color w:val="1F3864"/>
          <w:sz w:val="32"/>
          <w:szCs w:val="32"/>
        </w:rPr>
        <w:t xml:space="preserve">4. Reflexión Crítica</w:t>
      </w:r>
    </w:p>
    <w:p>
      <w:pPr>
        <w:spacing w:after="120"/>
      </w:pPr>
      <w:r>
        <w:rPr>
          <w:rFonts w:ascii="Arial" w:cs="Arial" w:eastAsia="Arial" w:hAnsi="Arial"/>
          <w:sz w:val="24"/>
          <w:szCs w:val="24"/>
        </w:rPr>
        <w:t xml:space="preserve">El modelo baseline alcanza 93% de accuracy con una arquitectura simple de 3 bloques convolucionales y ~628,000 parámetros. Es un resultado adecuado como punto de referencia, pero tiene limitaciones claras:</w:t>
      </w:r>
    </w:p>
    <w:p>
      <w:r>
        <w:t xml:space="preserve"/>
      </w:r>
    </w:p>
    <w:p>
      <w:pPr>
        <w:pStyle w:val="ListParagraph"/>
        <w:numPr>
          <w:ilvl w:val="0"/>
          <w:numId w:val="2"/>
        </w:numPr>
        <w:spacing w:after="80"/>
      </w:pPr>
      <w:r>
        <w:rPr>
          <w:rFonts w:ascii="Arial" w:cs="Arial" w:eastAsia="Arial" w:hAnsi="Arial"/>
          <w:sz w:val="24"/>
          <w:szCs w:val="24"/>
        </w:rPr>
        <w:t xml:space="preserve">El desbalance de clases afecta directamente el desempeño en clases minoritarias. Clases con 60 imágenes en test tienen F1 hasta 0.47, mientras que clases con 700+ imágenes alcanzan F1 de 0.97.</w:t>
      </w:r>
    </w:p>
    <w:p>
      <w:pPr>
        <w:pStyle w:val="ListParagraph"/>
        <w:numPr>
          <w:ilvl w:val="0"/>
          <w:numId w:val="2"/>
        </w:numPr>
        <w:spacing w:after="80"/>
      </w:pPr>
      <w:r>
        <w:rPr>
          <w:rFonts w:ascii="Arial" w:cs="Arial" w:eastAsia="Arial" w:hAnsi="Arial"/>
          <w:sz w:val="24"/>
          <w:szCs w:val="24"/>
        </w:rPr>
        <w:t xml:space="preserve">El modelo aprende features desde cero, lo que limita su capacidad de generalización comparado con modelos preentrenados.</w:t>
      </w:r>
    </w:p>
    <w:p>
      <w:pPr>
        <w:pStyle w:val="ListParagraph"/>
        <w:numPr>
          <w:ilvl w:val="0"/>
          <w:numId w:val="2"/>
        </w:numPr>
        <w:spacing w:after="80"/>
      </w:pPr>
      <w:r>
        <w:rPr>
          <w:rFonts w:ascii="Arial" w:cs="Arial" w:eastAsia="Arial" w:hAnsi="Arial"/>
          <w:sz w:val="24"/>
          <w:szCs w:val="24"/>
        </w:rPr>
        <w:t xml:space="preserve">El accuracy global de 93% oculta la variabilidad entre clases. El macro F1 de 90% es un indicador más honesto del desempeño real.</w:t>
      </w:r>
    </w:p>
    <w:p>
      <w:r>
        <w:t xml:space="preserve"/>
      </w:r>
    </w:p>
    <w:p>
      <w:pPr>
        <w:spacing w:after="120"/>
      </w:pPr>
      <w:r>
        <w:rPr>
          <w:rFonts w:ascii="Arial" w:cs="Arial" w:eastAsia="Arial" w:hAnsi="Arial"/>
          <w:sz w:val="24"/>
          <w:szCs w:val="24"/>
        </w:rPr>
        <w:t xml:space="preserve">Estos resultados sirven como línea base para la comparación con Transfer Learning en semana 5, donde se espera una mejora significativa especialmente en las clases con bajo desempeño.</w:t>
      </w:r>
    </w:p>
    <w:p>
      <w:r>
        <w:t xml:space="preserve"/>
      </w:r>
    </w:p>
    <w:p>
      <w:pPr>
        <w:pBdr>
          <w:top w:val="single" w:color="CCCCCC" w:sz="6" w:space="1"/>
        </w:pBdr>
        <w:spacing w:before="400"/>
        <w:jc w:val="center"/>
      </w:pPr>
      <w:r>
        <w:rPr>
          <w:rFonts w:ascii="Arial" w:cs="Arial" w:eastAsia="Arial" w:hAnsi="Arial"/>
          <w:color w:val="888888"/>
          <w:sz w:val="18"/>
          <w:szCs w:val="18"/>
        </w:rPr>
        <w:t xml:space="preserve">Servicio Becario — Área de Inteligencia Artificial  |  Tecnológico de Monterrey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7c148d03c52c179283ee923f4a62937ef630c15.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2026-03-31T18:51:10.143Z</dcterms:created>
  <dcterms:modified xsi:type="dcterms:W3CDTF">2026-03-31T18:51:10.144Z</dcterms:modified>
</cp:coreProperties>
</file>

<file path=docProps/custom.xml><?xml version="1.0" encoding="utf-8"?>
<Properties xmlns="http://schemas.openxmlformats.org/officeDocument/2006/custom-properties" xmlns:vt="http://schemas.openxmlformats.org/officeDocument/2006/docPropsVTypes"/>
</file>