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40"/>
          <w:szCs w:val="40"/>
        </w:rPr>
        <w:t xml:space="preserve">Optimización de Hiperparámetros</w:t>
      </w:r>
    </w:p>
    <w:p>
      <w:pPr>
        <w:spacing w:after="360"/>
        <w:jc w:val="center"/>
      </w:pPr>
      <w:r>
        <w:rPr>
          <w:rFonts w:ascii="Arial" w:cs="Arial" w:eastAsia="Arial" w:hAnsi="Arial"/>
          <w:color w:val="4472C4"/>
          <w:sz w:val="28"/>
          <w:szCs w:val="28"/>
        </w:rPr>
        <w:t xml:space="preserve">Reporte Técnico — Semana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Estudiante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Erick Alberto Sánchez Aranda  |  A01641715</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Carrera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ITC — 4to semestre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Fecha de entrega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05 de mayo, 2026</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Semana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6 — Optimización de Hiperparámetros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Dataset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GTSRB — German Traffic Sign Recognition Benchmark</w:t>
            </w:r>
          </w:p>
        </w:tc>
      </w:tr>
    </w:tbl>
    <w:p>
      <w:r>
        <w:t xml:space="preserve"/>
      </w:r>
    </w:p>
    <w:p>
      <w:pPr>
        <w:pStyle w:val="Heading1"/>
        <w:spacing w:after="140" w:before="280"/>
      </w:pPr>
      <w:r>
        <w:rPr>
          <w:rFonts w:ascii="Arial" w:cs="Arial" w:eastAsia="Arial" w:hAnsi="Arial"/>
          <w:b/>
          <w:bCs/>
          <w:color w:val="1F3864"/>
          <w:sz w:val="32"/>
          <w:szCs w:val="32"/>
        </w:rPr>
        <w:t xml:space="preserve">1. Experimento 1 — Batch Size y DataLoader</w:t>
      </w:r>
    </w:p>
    <w:p>
      <w:pPr>
        <w:spacing w:after="120"/>
      </w:pPr>
      <w:r>
        <w:rPr>
          <w:rFonts w:ascii="Arial" w:cs="Arial" w:eastAsia="Arial" w:hAnsi="Arial"/>
          <w:sz w:val="24"/>
          <w:szCs w:val="24"/>
        </w:rPr>
        <w:t xml:space="preserve">El primer experimento se realizó sobre el modelo CNNBaseline. Se identificó que la GPU operaba al 6% de utilización debido a que el DataLoader no alimentaba datos suficientemente rápido. Se ajustaron los siguientes parámetros: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Batch Size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Acc. Val</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Tiempo (10 ep.)</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GPU Util.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32 (sin num_workers)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98.56%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172s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64 + num_workers=4 + pin_memory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98.83%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44.7s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~26%</w:t>
            </w:r>
          </w:p>
        </w:tc>
      </w:tr>
    </w:tbl>
    <w:p>
      <w:r>
        <w:t xml:space="preserve"/>
      </w:r>
    </w:p>
    <w:p>
      <w:pPr>
        <w:spacing w:after="120"/>
      </w:pPr>
      <w:r>
        <w:rPr>
          <w:rFonts w:ascii="Arial" w:cs="Arial" w:eastAsia="Arial" w:hAnsi="Arial"/>
          <w:sz w:val="24"/>
          <w:szCs w:val="24"/>
        </w:rPr>
        <w:t xml:space="preserve">La adición de num_workers=4 y pin_memory=True permitió paralelizar la carga de datos en CPU mientras la GPU entrena, reduciendo el tiempo de 172s a 45s (casi 4x más rápido) sin impacto negativo en accuracy.</w:t>
      </w:r>
    </w:p>
    <w:p>
      <w:r>
        <w:t xml:space="preserve"/>
      </w:r>
    </w:p>
    <w:p>
      <w:pPr>
        <w:spacing w:after="120"/>
      </w:pPr>
      <w:r>
        <w:rPr>
          <w:rFonts w:ascii="Arial" w:cs="Arial" w:eastAsia="Arial" w:hAnsi="Arial"/>
          <w:sz w:val="24"/>
          <w:szCs w:val="24"/>
        </w:rPr>
        <w:t xml:space="preserve">Análisis crítico: el aumento de batch_size de 32 a 64 mejoró la velocidad significativamente. Con imágenes de 32x32 la GPU sigue sin saturarse al 100% porque cada batch se procesa muy rápido. Para saturar la GPU se necesitarían imágenes más grandes o un modelo más complejo, lo cual no es el objetivo de este proyecto.</w:t>
      </w:r>
    </w:p>
    <w:p>
      <w:r>
        <w:t xml:space="preserve"/>
      </w:r>
    </w:p>
    <w:p>
      <w:pPr>
        <w:pStyle w:val="Heading1"/>
        <w:spacing w:after="140" w:before="280"/>
      </w:pPr>
      <w:r>
        <w:rPr>
          <w:rFonts w:ascii="Arial" w:cs="Arial" w:eastAsia="Arial" w:hAnsi="Arial"/>
          <w:b/>
          <w:bCs/>
          <w:color w:val="1F3864"/>
          <w:sz w:val="32"/>
          <w:szCs w:val="32"/>
        </w:rPr>
        <w:t xml:space="preserve">2. Experimento 2 — Learning Rate y Capas Entrenables (ResNet18)</w:t>
      </w:r>
    </w:p>
    <w:p>
      <w:pPr>
        <w:spacing w:after="120"/>
      </w:pPr>
      <w:r>
        <w:rPr>
          <w:rFonts w:ascii="Arial" w:cs="Arial" w:eastAsia="Arial" w:hAnsi="Arial"/>
          <w:sz w:val="24"/>
          <w:szCs w:val="24"/>
        </w:rPr>
        <w:t xml:space="preserve">El segundo experimento se realizó sobre ResNet18 durante el fine-tuning. Se probaron dos configuraciones: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Modelo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Capas entrenables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Acc. Val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ResNet18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0.001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Solo fc (22,059)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65% (epoch 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ResNet18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0.0001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layer4 + fc (8,415,787)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98.08% (epoch 10)</w:t>
            </w:r>
          </w:p>
        </w:tc>
      </w:tr>
    </w:tbl>
    <w:p>
      <w:r>
        <w:t xml:space="preserve"/>
      </w:r>
    </w:p>
    <w:p>
      <w:pPr>
        <w:spacing w:after="120"/>
      </w:pPr>
      <w:r>
        <w:rPr>
          <w:rFonts w:ascii="Arial" w:cs="Arial" w:eastAsia="Arial" w:hAnsi="Arial"/>
          <w:sz w:val="24"/>
          <w:szCs w:val="24"/>
        </w:rPr>
        <w:t xml:space="preserve">Con solo la capa fc entrenada y lr=0.001, el modelo no logró adaptar sus features al dominio de señales de tráfico, resultando en 65% de accuracy. Al descongelar layer4 y reducir el lr a 0.0001, el modelo pudo adaptar sus representaciones más profundas sin destruir los pesos preentrenados de ImageNet, alcanzando 97.92%.</w:t>
      </w:r>
    </w:p>
    <w:p>
      <w:r>
        <w:t xml:space="preserve"/>
      </w:r>
    </w:p>
    <w:p>
      <w:pPr>
        <w:spacing w:after="120"/>
      </w:pPr>
      <w:r>
        <w:rPr>
          <w:rFonts w:ascii="Arial" w:cs="Arial" w:eastAsia="Arial" w:hAnsi="Arial"/>
          <w:sz w:val="24"/>
          <w:szCs w:val="24"/>
        </w:rPr>
        <w:t xml:space="preserve">Análisis crítico: el learning rate es crítico en fine-tuning. Un lr alto destruye los pesos preentrenados, un lr bajo permite adaptación gradual. La elección de 0.0001 fue validada experimentalmente. Usar SGD en lugar de Adam queda pendiente como experimento futuro, ya que hay literatura que sugiere que SGD con momentum puede superar a Adam en generalización.</w:t>
      </w:r>
    </w:p>
    <w:p>
      <w:r>
        <w:t xml:space="preserve"/>
      </w:r>
    </w:p>
    <w:p>
      <w:pPr>
        <w:pStyle w:val="Heading1"/>
        <w:spacing w:after="140" w:before="280"/>
      </w:pPr>
      <w:r>
        <w:rPr>
          <w:rFonts w:ascii="Arial" w:cs="Arial" w:eastAsia="Arial" w:hAnsi="Arial"/>
          <w:b/>
          <w:bCs/>
          <w:color w:val="1F3864"/>
          <w:sz w:val="32"/>
          <w:szCs w:val="32"/>
        </w:rPr>
        <w:t xml:space="preserve">3. Regularización</w:t>
      </w:r>
    </w:p>
    <w:p>
      <w:pPr>
        <w:spacing w:after="120"/>
      </w:pPr>
      <w:r>
        <w:rPr>
          <w:rFonts w:ascii="Arial" w:cs="Arial" w:eastAsia="Arial" w:hAnsi="Arial"/>
          <w:sz w:val="24"/>
          <w:szCs w:val="24"/>
        </w:rPr>
        <w:t xml:space="preserve">El modelo CNNBaseline incluye Dropout(0.5) antes de la capa densa, lo que redujo el overfitting durante el entrenamiento. En ResNet18 el Dropout no fue agregado explícitamente ya que las capas BatchNorm existentes ya actúan como regularizadores implícitos.</w:t>
      </w:r>
    </w:p>
    <w:p>
      <w:r>
        <w:t xml:space="preserve"/>
      </w:r>
    </w:p>
    <w:p>
      <w:pPr>
        <w:pStyle w:val="Heading1"/>
        <w:spacing w:after="140" w:before="280"/>
      </w:pPr>
      <w:r>
        <w:rPr>
          <w:rFonts w:ascii="Arial" w:cs="Arial" w:eastAsia="Arial" w:hAnsi="Arial"/>
          <w:b/>
          <w:bCs/>
          <w:color w:val="1F3864"/>
          <w:sz w:val="32"/>
          <w:szCs w:val="32"/>
        </w:rPr>
        <w:t xml:space="preserve">4. Conclusiones</w:t>
      </w:r>
    </w:p>
    <w:p>
      <w:pPr>
        <w:pStyle w:val="ListParagraph"/>
        <w:numPr>
          <w:ilvl w:val="0"/>
          <w:numId w:val="2"/>
        </w:numPr>
        <w:spacing w:after="80"/>
      </w:pPr>
      <w:r>
        <w:rPr>
          <w:rFonts w:ascii="Arial" w:cs="Arial" w:eastAsia="Arial" w:hAnsi="Arial"/>
          <w:sz w:val="24"/>
          <w:szCs w:val="24"/>
        </w:rPr>
        <w:t xml:space="preserve">El cuello de botella inicial era el DataLoader, no la GPU. Resolverlo con num_workers y pin_memory fue el cambio de mayor impacto en velocidad.</w:t>
      </w:r>
    </w:p>
    <w:p>
      <w:pPr>
        <w:pStyle w:val="ListParagraph"/>
        <w:numPr>
          <w:ilvl w:val="0"/>
          <w:numId w:val="2"/>
        </w:numPr>
        <w:spacing w:after="80"/>
      </w:pPr>
      <w:r>
        <w:rPr>
          <w:rFonts w:ascii="Arial" w:cs="Arial" w:eastAsia="Arial" w:hAnsi="Arial"/>
          <w:sz w:val="24"/>
          <w:szCs w:val="24"/>
        </w:rPr>
        <w:t xml:space="preserve">El learning rate es el hiperparámetro más crítico en Transfer Learning. La diferencia entre lr=0.001 y lr=0.0001 fue de 65% a 97.92% de accuracy.</w:t>
      </w:r>
    </w:p>
    <w:p>
      <w:pPr>
        <w:pStyle w:val="ListParagraph"/>
        <w:numPr>
          <w:ilvl w:val="0"/>
          <w:numId w:val="2"/>
        </w:numPr>
        <w:spacing w:after="80"/>
      </w:pPr>
      <w:r>
        <w:rPr>
          <w:rFonts w:ascii="Arial" w:cs="Arial" w:eastAsia="Arial" w:hAnsi="Arial"/>
          <w:sz w:val="24"/>
          <w:szCs w:val="24"/>
        </w:rPr>
        <w:t xml:space="preserve">El número de capas descongeladas en fine-tuning tiene impacto directo en la capacidad de adaptación al dominio. Solo fc es insuficiente para imágenes de resolución diferente a la de preentrenamiento.</w:t>
      </w:r>
    </w:p>
    <w:p>
      <w:r>
        <w:t xml:space="preserve"/>
      </w:r>
    </w:p>
    <w:p>
      <w:pPr>
        <w:pBdr>
          <w:top w:val="single" w:color="CCCCCC" w:sz="6" w:space="1"/>
        </w:pBdr>
        <w:spacing w:before="400"/>
        <w:jc w:val="center"/>
      </w:pPr>
      <w:r>
        <w:rPr>
          <w:rFonts w:ascii="Arial" w:cs="Arial" w:eastAsia="Arial" w:hAnsi="Arial"/>
          <w:color w:val="888888"/>
          <w:sz w:val="18"/>
          <w:szCs w:val="18"/>
        </w:rPr>
        <w:t xml:space="preserve">Servicio Becario — Área de Inteligencia Artificial  |  Tecnológico de Monterrey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2026-05-05T22:22:16.797Z</dcterms:created>
  <dcterms:modified xsi:type="dcterms:W3CDTF">2026-05-05T22:22:16.816Z</dcterms:modified>
</cp:coreProperties>
</file>

<file path=docProps/custom.xml><?xml version="1.0" encoding="utf-8"?>
<Properties xmlns="http://schemas.openxmlformats.org/officeDocument/2006/custom-properties" xmlns:vt="http://schemas.openxmlformats.org/officeDocument/2006/docPropsVTypes"/>
</file>