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Transfer Learning</w:t>
      </w:r>
    </w:p>
    <w:p>
      <w:pPr>
        <w:spacing w:after="360"/>
        <w:jc w:val="center"/>
      </w:pPr>
      <w:r>
        <w:rPr>
          <w:rFonts w:ascii="Arial" w:cs="Arial" w:eastAsia="Arial" w:hAnsi="Arial"/>
          <w:color w:val="4472C4"/>
          <w:sz w:val="28"/>
          <w:szCs w:val="28"/>
        </w:rPr>
        <w:t xml:space="preserve">Reporte Técnico — Semana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Estudiante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Erick Alberto Sánchez Aranda  |  A01641715</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Carrera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ITC — 4to semestre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Fecha de entrega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17 de abril,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Semana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5 — Transfer Learning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Dataset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GTSRB — German Traffic Sign Recognition Benchmark</w:t>
            </w:r>
          </w:p>
        </w:tc>
      </w:tr>
    </w:tbl>
    <w:p>
      <w:r>
        <w:t xml:space="preserve"/>
      </w:r>
    </w:p>
    <w:p>
      <w:pPr>
        <w:pStyle w:val="Heading1"/>
        <w:spacing w:after="140" w:before="280"/>
      </w:pPr>
      <w:r>
        <w:rPr>
          <w:rFonts w:ascii="Arial" w:cs="Arial" w:eastAsia="Arial" w:hAnsi="Arial"/>
          <w:b/>
          <w:bCs/>
          <w:color w:val="1F3864"/>
          <w:sz w:val="32"/>
          <w:szCs w:val="32"/>
        </w:rPr>
        <w:t xml:space="preserve">1. Modelo Preentrenado Seleccionado</w:t>
      </w:r>
    </w:p>
    <w:p>
      <w:pPr>
        <w:spacing w:after="120"/>
      </w:pPr>
      <w:r>
        <w:rPr>
          <w:rFonts w:ascii="Arial" w:cs="Arial" w:eastAsia="Arial" w:hAnsi="Arial"/>
          <w:sz w:val="24"/>
          <w:szCs w:val="24"/>
        </w:rPr>
        <w:t xml:space="preserve">Se utilizó ResNet18 preentrenado en ImageNet (1.2 millones de imágenes, 1000 clases) como modelo base para Transfer Learning. ResNet18 fue seleccionado por ser el modelo más ligero de la familia ResNet manteniendo una arquitectura robusta con conexiones residuales (skip connections) que mitigan el problema del gradiente desvaneciente.</w:t>
      </w:r>
    </w:p>
    <w:p>
      <w:r>
        <w:t xml:space="preserve"/>
      </w:r>
    </w:p>
    <w:p>
      <w:pPr>
        <w:pStyle w:val="Heading1"/>
        <w:spacing w:after="140" w:before="280"/>
      </w:pPr>
      <w:r>
        <w:rPr>
          <w:rFonts w:ascii="Arial" w:cs="Arial" w:eastAsia="Arial" w:hAnsi="Arial"/>
          <w:b/>
          <w:bCs/>
          <w:color w:val="1F3864"/>
          <w:sz w:val="32"/>
          <w:szCs w:val="32"/>
        </w:rPr>
        <w:t xml:space="preserve">2. Estrategia de Fine-tuning</w:t>
      </w:r>
    </w:p>
    <w:p>
      <w:pPr>
        <w:spacing w:after="120"/>
      </w:pPr>
      <w:r>
        <w:rPr>
          <w:rFonts w:ascii="Arial" w:cs="Arial" w:eastAsia="Arial" w:hAnsi="Arial"/>
          <w:sz w:val="24"/>
          <w:szCs w:val="24"/>
        </w:rPr>
        <w:t xml:space="preserve">Se implementó fine-tuning parcial en dos etapas:</w:t>
      </w:r>
    </w:p>
    <w:p>
      <w:r>
        <w:t xml:space="preserve"/>
      </w:r>
    </w:p>
    <w:p>
      <w:pPr>
        <w:pStyle w:val="ListParagraph"/>
        <w:numPr>
          <w:ilvl w:val="0"/>
          <w:numId w:val="2"/>
        </w:numPr>
        <w:spacing w:after="80"/>
      </w:pPr>
      <w:r>
        <w:rPr>
          <w:rFonts w:ascii="Arial" w:cs="Arial" w:eastAsia="Arial" w:hAnsi="Arial"/>
          <w:sz w:val="24"/>
          <w:szCs w:val="24"/>
        </w:rPr>
        <w:t xml:space="preserve">Etapa 1 — Solo FC: Se congelaron todas las capas y se entrenó únicamente la capa final (fc), reemplazada de Linear(512, 1000) a Linear(512, 43). Resultado: 65% de accuracy en val. Insuficiente.</w:t>
      </w:r>
    </w:p>
    <w:p>
      <w:pPr>
        <w:pStyle w:val="ListParagraph"/>
        <w:numPr>
          <w:ilvl w:val="0"/>
          <w:numId w:val="2"/>
        </w:numPr>
        <w:spacing w:after="80"/>
      </w:pPr>
      <w:r>
        <w:rPr>
          <w:rFonts w:ascii="Arial" w:cs="Arial" w:eastAsia="Arial" w:hAnsi="Arial"/>
          <w:sz w:val="24"/>
          <w:szCs w:val="24"/>
        </w:rPr>
        <w:t xml:space="preserve">Etapa 2 — Layer4 + FC: Se descongelaron adicionalmente los bloques de layer4 con learning rate reducido (lr=0.0001). Resultado: 97.92% en val. Significativamente mejor.</w:t>
      </w:r>
    </w:p>
    <w:p>
      <w:r>
        <w:t xml:space="preserve"/>
      </w:r>
    </w:p>
    <w:p>
      <w:pPr>
        <w:spacing w:after="120"/>
      </w:pPr>
      <w:r>
        <w:rPr>
          <w:rFonts w:ascii="Arial" w:cs="Arial" w:eastAsia="Arial" w:hAnsi="Arial"/>
          <w:sz w:val="24"/>
          <w:szCs w:val="24"/>
        </w:rPr>
        <w:t xml:space="preserve">La diferencia entre ambas etapas confirma que para imágenes de 64x64 (vs las 224x224 para las que ResNet fue diseñado), las capas más profundas necesitan adaptarse al dominio específico del problema.</w:t>
      </w:r>
    </w:p>
    <w:p>
      <w:r>
        <w:t xml:space="preserve"/>
      </w:r>
    </w:p>
    <w:p>
      <w:pPr>
        <w:pStyle w:val="Heading1"/>
        <w:spacing w:after="140" w:before="280"/>
      </w:pPr>
      <w:r>
        <w:rPr>
          <w:rFonts w:ascii="Arial" w:cs="Arial" w:eastAsia="Arial" w:hAnsi="Arial"/>
          <w:b/>
          <w:bCs/>
          <w:color w:val="1F3864"/>
          <w:sz w:val="32"/>
          <w:szCs w:val="32"/>
        </w:rPr>
        <w:t xml:space="preserve">3. Tabla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Modelo</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Acc. Val</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Acc. Test</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Tiempo (10 ep.)</w:t>
            </w:r>
          </w:p>
        </w:tc>
        <w:tc>
          <w:tcPr>
            <w:tcW w:type="dxa" w:w="1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Params entrenables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CNNBaseline (desde cero)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98.62%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628,843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ResNet18 (fine-tuning layer4+fc)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97.92%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53s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8,415,787</w:t>
            </w:r>
          </w:p>
        </w:tc>
      </w:tr>
    </w:tbl>
    <w:p>
      <w:r>
        <w:t xml:space="preserve"/>
      </w:r>
    </w:p>
    <w:p>
      <w:pPr>
        <w:spacing w:after="120"/>
      </w:pPr>
      <w:r>
        <w:rPr>
          <w:rFonts w:ascii="Arial" w:cs="Arial" w:eastAsia="Arial" w:hAnsi="Arial"/>
          <w:sz w:val="24"/>
          <w:szCs w:val="24"/>
        </w:rPr>
        <w:t xml:space="preserve">* El baseline fue evaluado sobre el test set con imágenes de 32x32.</w:t>
      </w:r>
    </w:p>
    <w:p>
      <w:pPr>
        <w:spacing w:after="120"/>
      </w:pPr>
      <w:r>
        <w:rPr>
          <w:rFonts w:ascii="Arial" w:cs="Arial" w:eastAsia="Arial" w:hAnsi="Arial"/>
          <w:sz w:val="24"/>
          <w:szCs w:val="24"/>
        </w:rPr>
        <w:t xml:space="preserve">** El ResNet fue evaluado sobre el test set con imágenes de 64x64. La diferencia entre val (97.92%) y test (76%) se explica en la sección 4.</w:t>
      </w:r>
    </w:p>
    <w:p>
      <w:r>
        <w:t xml:space="preserve"/>
      </w:r>
    </w:p>
    <w:p>
      <w:pPr>
        <w:pStyle w:val="Heading1"/>
        <w:spacing w:after="140" w:before="280"/>
      </w:pPr>
      <w:r>
        <w:rPr>
          <w:rFonts w:ascii="Arial" w:cs="Arial" w:eastAsia="Arial" w:hAnsi="Arial"/>
          <w:b/>
          <w:bCs/>
          <w:color w:val="1F3864"/>
          <w:sz w:val="32"/>
          <w:szCs w:val="32"/>
        </w:rPr>
        <w:t xml:space="preserve">4. Domain Shift: Hallazgo Crítico</w:t>
      </w:r>
    </w:p>
    <w:p>
      <w:pPr>
        <w:spacing w:after="120"/>
      </w:pPr>
      <w:r>
        <w:rPr>
          <w:rFonts w:ascii="Arial" w:cs="Arial" w:eastAsia="Arial" w:hAnsi="Arial"/>
          <w:sz w:val="24"/>
          <w:szCs w:val="24"/>
        </w:rPr>
        <w:t xml:space="preserve">Durante la evaluación se identificó una discrepancia significativa entre el accuracy en val (97.92%) y en el test set oficial del GTSRB (76%). La inspección visual de las imágenes reveló diferencias notables entre ambos conjuntos:</w:t>
      </w:r>
    </w:p>
    <w:p>
      <w:r>
        <w:t xml:space="preserve"/>
      </w:r>
    </w:p>
    <w:p>
      <w:pPr>
        <w:pStyle w:val="ListParagraph"/>
        <w:numPr>
          <w:ilvl w:val="0"/>
          <w:numId w:val="2"/>
        </w:numPr>
        <w:spacing w:after="80"/>
      </w:pPr>
      <w:r>
        <w:rPr>
          <w:rFonts w:ascii="Arial" w:cs="Arial" w:eastAsia="Arial" w:hAnsi="Arial"/>
          <w:sz w:val="24"/>
          <w:szCs w:val="24"/>
        </w:rPr>
        <w:t xml:space="preserve">Las imágenes del train/val presentan baja iluminación, bordes negros, bajo contraste y mayor variabilidad de condiciones.</w:t>
      </w:r>
    </w:p>
    <w:p>
      <w:pPr>
        <w:pStyle w:val="ListParagraph"/>
        <w:numPr>
          <w:ilvl w:val="0"/>
          <w:numId w:val="2"/>
        </w:numPr>
        <w:spacing w:after="80"/>
      </w:pPr>
      <w:r>
        <w:rPr>
          <w:rFonts w:ascii="Arial" w:cs="Arial" w:eastAsia="Arial" w:hAnsi="Arial"/>
          <w:sz w:val="24"/>
          <w:szCs w:val="24"/>
        </w:rPr>
        <w:t xml:space="preserve">Las imágenes del test oficial presentan mejor iluminación y mayor resolución visual, pero provienen de secuencias de video diferentes.</w:t>
      </w:r>
    </w:p>
    <w:p>
      <w:r>
        <w:t xml:space="preserve"/>
      </w:r>
    </w:p>
    <w:p>
      <w:pPr>
        <w:spacing w:after="120"/>
      </w:pPr>
      <w:r>
        <w:rPr>
          <w:rFonts w:ascii="Arial" w:cs="Arial" w:eastAsia="Arial" w:hAnsi="Arial"/>
          <w:sz w:val="24"/>
          <w:szCs w:val="24"/>
        </w:rPr>
        <w:t xml:space="preserve">Este fenómeno se conoce como domain shift: el modelo aprende patrones específicos del dominio de entrenamiento que no generalizan perfectamente al dominio del test. Es un problema documentado del GTSRB original donde train y test provienen de secuencias de video capturadas en condiciones distintas, no de un split aleatorio.</w:t>
      </w:r>
    </w:p>
    <w:p>
      <w:r>
        <w:t xml:space="preserve"/>
      </w:r>
    </w:p>
    <w:p>
      <w:pPr>
        <w:spacing w:after="120"/>
      </w:pPr>
      <w:r>
        <w:rPr>
          <w:rFonts w:ascii="Arial" w:cs="Arial" w:eastAsia="Arial" w:hAnsi="Arial"/>
          <w:sz w:val="24"/>
          <w:szCs w:val="24"/>
        </w:rPr>
        <w:t xml:space="preserve">Este hallazgo no invalida los modelos, sino que contextualiza sus limitaciones. La mejora de generalización entre dominios queda como objetivo de semana 6 mediante data augmentation más agresiva (simulando condiciones del test) y fine-tuning más profundo descongelando layer3+layer4.</w:t>
      </w:r>
    </w:p>
    <w:p>
      <w:r>
        <w:t xml:space="preserve"/>
      </w:r>
    </w:p>
    <w:p>
      <w:pPr>
        <w:pStyle w:val="Heading1"/>
        <w:spacing w:after="140" w:before="280"/>
      </w:pPr>
      <w:r>
        <w:rPr>
          <w:rFonts w:ascii="Arial" w:cs="Arial" w:eastAsia="Arial" w:hAnsi="Arial"/>
          <w:b/>
          <w:bCs/>
          <w:color w:val="1F3864"/>
          <w:sz w:val="32"/>
          <w:szCs w:val="32"/>
        </w:rPr>
        <w:t xml:space="preserve">5. Decisión Justificada</w:t>
      </w:r>
    </w:p>
    <w:p>
      <w:pPr>
        <w:spacing w:after="120"/>
      </w:pPr>
      <w:r>
        <w:rPr>
          <w:rFonts w:ascii="Arial" w:cs="Arial" w:eastAsia="Arial" w:hAnsi="Arial"/>
          <w:sz w:val="24"/>
          <w:szCs w:val="24"/>
        </w:rPr>
        <w:t xml:space="preserve">Ambos modelos muestran accuracy alto en validación pero sufren domain shift al evaluar en el test oficial. Para la siguiente etapa se optará por:</w:t>
      </w:r>
    </w:p>
    <w:p>
      <w:r>
        <w:t xml:space="preserve"/>
      </w:r>
    </w:p>
    <w:p>
      <w:pPr>
        <w:pStyle w:val="ListParagraph"/>
        <w:numPr>
          <w:ilvl w:val="0"/>
          <w:numId w:val="2"/>
        </w:numPr>
        <w:spacing w:after="80"/>
      </w:pPr>
      <w:r>
        <w:rPr>
          <w:rFonts w:ascii="Arial" w:cs="Arial" w:eastAsia="Arial" w:hAnsi="Arial"/>
          <w:sz w:val="24"/>
          <w:szCs w:val="24"/>
        </w:rPr>
        <w:t xml:space="preserve">Mantener ResNet18 como arquitectura base por su eficiencia (53s por 10 epochs) y capacidad de features preaprendidas.</w:t>
      </w:r>
    </w:p>
    <w:p>
      <w:pPr>
        <w:pStyle w:val="ListParagraph"/>
        <w:numPr>
          <w:ilvl w:val="0"/>
          <w:numId w:val="2"/>
        </w:numPr>
        <w:spacing w:after="80"/>
      </w:pPr>
      <w:r>
        <w:rPr>
          <w:rFonts w:ascii="Arial" w:cs="Arial" w:eastAsia="Arial" w:hAnsi="Arial"/>
          <w:sz w:val="24"/>
          <w:szCs w:val="24"/>
        </w:rPr>
        <w:t xml:space="preserve">Aumentar el data augmentation en train para incluir variaciones de brillo, contraste y blur que aproximen las condiciones del test.</w:t>
      </w:r>
    </w:p>
    <w:p>
      <w:pPr>
        <w:pStyle w:val="ListParagraph"/>
        <w:numPr>
          <w:ilvl w:val="0"/>
          <w:numId w:val="2"/>
        </w:numPr>
        <w:spacing w:after="80"/>
      </w:pPr>
      <w:r>
        <w:rPr>
          <w:rFonts w:ascii="Arial" w:cs="Arial" w:eastAsia="Arial" w:hAnsi="Arial"/>
          <w:sz w:val="24"/>
          <w:szCs w:val="24"/>
        </w:rPr>
        <w:t xml:space="preserve">Descongelar layer3+layer4+fc con lr=0.00001 para permitir mayor adaptación al dominio.</w:t>
      </w:r>
    </w:p>
    <w:p>
      <w:r>
        <w:t xml:space="preserve"/>
      </w:r>
    </w:p>
    <w:p>
      <w:pPr>
        <w:spacing w:after="120"/>
      </w:pPr>
      <w:r>
        <w:rPr>
          <w:rFonts w:ascii="Arial" w:cs="Arial" w:eastAsia="Arial" w:hAnsi="Arial"/>
          <w:sz w:val="24"/>
          <w:szCs w:val="24"/>
        </w:rPr>
        <w:t xml:space="preserve">La decisión de no usar el baseline CNN para las etapas siguientes se basa en que ResNet18 tiene mayor capacidad de representación y mejor punto de partida para resolver el domain shift mediante fine-tuning adicional.</w:t>
      </w:r>
    </w:p>
    <w:p>
      <w:r>
        <w:t xml:space="preserve"/>
      </w:r>
    </w:p>
    <w:p>
      <w:pPr>
        <w:pBdr>
          <w:top w:val="single" w:color="CCCCCC" w:sz="6" w:space="1"/>
        </w:pBdr>
        <w:spacing w:before="400"/>
        <w:jc w:val="center"/>
      </w:pPr>
      <w:r>
        <w:rPr>
          <w:rFonts w:ascii="Arial" w:cs="Arial" w:eastAsia="Arial" w:hAnsi="Arial"/>
          <w:color w:val="888888"/>
          <w:sz w:val="18"/>
          <w:szCs w:val="18"/>
        </w:rPr>
        <w:t xml:space="preserve">Servicio Becario — Área de Inteligencia Artificial  |  Tecnológico de Monterrey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2026-04-17T18:54:38.997Z</dcterms:created>
  <dcterms:modified xsi:type="dcterms:W3CDTF">2026-04-17T18:54:38.999Z</dcterms:modified>
</cp:coreProperties>
</file>

<file path=docProps/custom.xml><?xml version="1.0" encoding="utf-8"?>
<Properties xmlns="http://schemas.openxmlformats.org/officeDocument/2006/custom-properties" xmlns:vt="http://schemas.openxmlformats.org/officeDocument/2006/docPropsVTypes"/>
</file>