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Definición del Problema</w:t>
      </w:r>
    </w:p>
    <w:p>
      <w:pPr>
        <w:spacing w:after="360"/>
        <w:jc w:val="center"/>
      </w:pPr>
      <w:r>
        <w:rPr>
          <w:rFonts w:ascii="Arial" w:cs="Arial" w:eastAsia="Arial" w:hAnsi="Arial"/>
          <w:color w:val="4472C4"/>
          <w:sz w:val="28"/>
          <w:szCs w:val="28"/>
        </w:rPr>
        <w:t xml:space="preserve">Clasificación de Señales de Tráfico con CNN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Estudiante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Erick Alberto Sánchez Aranda  |  A01641715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Carrera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ITC — 4to semestre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Fecha de entrega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03 de marzo,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Semana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1 — Definición del Problema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Dataset seleccionado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GTSRB — German Traffic Sign Recognition Benchmark</w:t>
            </w:r>
          </w:p>
        </w:tc>
      </w:tr>
    </w:tbl>
    <w:p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Dataset Seleccionado</w:t>
      </w:r>
    </w:p>
    <w:p>
      <w:r>
        <w:rPr>
          <w:rFonts w:ascii="Arial" w:cs="Arial" w:eastAsia="Arial" w:hAnsi="Arial"/>
          <w:sz w:val="24"/>
          <w:szCs w:val="24"/>
        </w:rPr>
        <w:t xml:space="preserve">El dataset elegido es el German Traffic Sign Recognition Benchmark (GTSRB), disponible públicamente en Hugging Face (https://huggingface.co/datasets/tanganke/gtsrb) y originalmente publicado por el Institut für Neuroinformatik de la Universidad de Bochum para la competencia IJCNN 2011.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Características del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Más de 50,000 imágenes en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43 clases de señales de tráfico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División en train, validación y test incluida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Imágenes con variaciones reales: iluminación, ángulos, clima, oclusiones parciales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Uso académico permitido</w:t>
      </w:r>
    </w:p>
    <w:p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Justificación de la Elección</w:t>
      </w:r>
    </w:p>
    <w:p>
      <w:r>
        <w:rPr>
          <w:rFonts w:ascii="Arial" w:cs="Arial" w:eastAsia="Arial" w:hAnsi="Arial"/>
          <w:sz w:val="24"/>
          <w:szCs w:val="24"/>
        </w:rPr>
        <w:t xml:space="preserve">La selección de este dataset responde a criterios técnicos y de relevancia práctica.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Descarte de otras opciones</w:t>
      </w:r>
    </w:p>
    <w:p>
      <w:r>
        <w:rPr>
          <w:rFonts w:ascii="Arial" w:cs="Arial" w:eastAsia="Arial" w:hAnsi="Arial"/>
          <w:sz w:val="24"/>
          <w:szCs w:val="24"/>
        </w:rPr>
        <w:t xml:space="preserve">Durante la evaluación de posibles datasets se consideraron otras alternativas: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Datasets de enfermedades o imágenes médicas: descartados por el alto riesgo de que un modelo mal calibrado cause daño real. Un falso negativo en diagnóstico médico tiene consecuencias graves, y la responsabilidad de validar ese tipo de sistemas va mucho más allá del alcance de este proyecto.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Clasificación de basura: descartado por bajo impacto en aplicaciones de alto nivel tecnológico.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Clasificación de plantas: interesante pero con aplicaciones más limitadas en el contexto de sistemas embebidos o robótica avanzada.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Por qué señales de tráfico</w:t>
      </w:r>
    </w:p>
    <w:p>
      <w:r>
        <w:rPr>
          <w:rFonts w:ascii="Arial" w:cs="Arial" w:eastAsia="Arial" w:hAnsi="Arial"/>
          <w:sz w:val="24"/>
          <w:szCs w:val="24"/>
        </w:rPr>
        <w:t xml:space="preserve">El reconocimiento de señales de tráfico es un problema directamente relevante en dos áreas de alto impacto: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Vehículos autónomos: empresas como Tesla, Waymo y NVIDIA Drive trabajan activamente en visión computacional para conducción autónoma. Este tipo de modelos es parte central de sus sistemas de percepción.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Robótica móvil: robots de navegación en entornos urbanos requieren reconocer señales para interactuar con su entorno de forma segura.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Aprender a construir y optimizar una CNN sobre este problema es directamente transferible a los tipos de trabajo que realizan equipos de ML en empresas como NVIDIA, Intel o Cloudflare en proyectos de visión en tiempo real. El objetivo no es solo cumplir con el proyecto académico, sino construir experiencia práctica relevante para ese tipo de posiciones.</w:t>
      </w:r>
    </w:p>
    <w:p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Arquitectura CNN Inicial Propuesta</w:t>
      </w:r>
    </w:p>
    <w:p>
      <w:r>
        <w:rPr>
          <w:rFonts w:ascii="Arial" w:cs="Arial" w:eastAsia="Arial" w:hAnsi="Arial"/>
          <w:sz w:val="24"/>
          <w:szCs w:val="24"/>
        </w:rPr>
        <w:t xml:space="preserve">Para el baseline de la semana 3 se propone una arquitectura CNN diseñada desde cero, compuesta por bloques convolucionales seguidos de capas completamente conectadas: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Bloque 1: Conv2D (32 filtros, 3x3) + ReLU + MaxPooling (2x2)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Bloque 2: Conv2D (64 filtros, 3x3) + ReLU + MaxPooling (2x2)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Bloque 3: Conv2D (128 filtros, 3x3) + ReLU + MaxPooling (2x2)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Flatten + Dropout (0.5)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Dense (256 neuronas) + ReLU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Dense (43 neuronas) + Softmax — salida para las 43 clases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Esta arquitectura será el punto de comparación para la semana 5, donde se implementará Transfer Learning con un modelo preentrenado (ResNet o EfficientNet) para medir la diferencia en desempeño.</w:t>
      </w:r>
    </w:p>
    <w:p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Métricas de Evaluación</w:t>
      </w:r>
    </w:p>
    <w:p>
      <w:r>
        <w:rPr>
          <w:rFonts w:ascii="Arial" w:cs="Arial" w:eastAsia="Arial" w:hAnsi="Arial"/>
          <w:sz w:val="24"/>
          <w:szCs w:val="24"/>
        </w:rPr>
        <w:t xml:space="preserve">Se utilizarán las métricas obligatorias definidas en el plan del proyecto: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Accuracy global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Precision, Recall y F1-score por clase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Matriz de confusión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ROC-AUC (aplicable dado que el problema es multiclase con probabilidades de salida)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Se prestará especial atención a las clases con menor representación en el dataset, ya que el desbalance de clases en GTSRB puede afectar el desempeño en señales menos frecuentes.</w:t>
      </w:r>
    </w:p>
    <w:p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Referencias y Recursos Consultados</w:t>
      </w:r>
    </w:p>
    <w:p>
      <w:r>
        <w:rPr>
          <w:rFonts w:ascii="Arial" w:cs="Arial" w:eastAsia="Arial" w:hAnsi="Arial"/>
          <w:sz w:val="24"/>
          <w:szCs w:val="24"/>
        </w:rPr>
        <w:t xml:space="preserve">La propuesta de arquitectura CNN y los conceptos utilizados en este documento se basan en los siguientes recursos: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Bourke, D. (2022) — Learn PyTorch for Deep Learning: Zero to Mastery. Curso disponible en Udemy y Zero to Mastery Academy. Material de referencia principal para la implementación con PyTorch. Repositorio: https://github.com/mrdbourke/pytorch-deep-learning — Libro online: https://learnpytorch.io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CNN Explainer — Polo Club of Data Science, Georgia Tech. Herramienta interactiva de visualización de redes convolucionales, utilizada para entender el funcionamiento de filtros, feature maps y capas de pooling. Disponible en: https://poloclub.github.io/cnn-explainer/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3Blue1Brown — Serie "Neural Networks" en YouTube. Videos utilizados para comprender los fundamentos matemáticos de redes neuronales, capas convolucionales y mecanismos de atención en modelos de lenguaje. Canal: https://www.youtube.com/@3blue1brown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Stallkamp, J. et al. (2012) — Man vs. Computer: Benchmarking Machine Learning Algorithms for Traffic Sign Recognition. Neural Networks, vol. 32. Paper original del dataset GTSRB.</w:t>
      </w:r>
    </w:p>
    <w:p>
      <w:r>
        <w:t xml:space="preserve"/>
      </w:r>
    </w:p>
    <w:p>
      <w:pPr>
        <w:pBdr>
          <w:top w:val="single" w:color="CCCCCC" w:sz="6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Servicio Becario — Área de Inteligencia Artificial  |  Tecnológico de Monterrey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2026-02-28T22:02:04.299Z</dcterms:created>
  <dcterms:modified xsi:type="dcterms:W3CDTF">2026-02-28T22:02:04.301Z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