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DECISION REQUIRED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Credit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Harborview Logistics loan package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type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{{loan.currency}}{{loan.amount}}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Market / collateral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{{loan.region}} / {{loan.collateralType}}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Target closing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{{loan.targetClosingDate}}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officer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{{loan.loanOfficer}}</w:t>
            </w:r>
          </w:p>
        </w:tc>
      </w:tr>
    </w:tbl>
    <w:p>
      <w:pPr>
        <w:spacing w:after="0"/>
      </w:pPr>
    </w:p>
    <w:p>
      <w:pPr>
        <w:pStyle w:val="Heading2"/>
      </w:pPr>
      <w:r>
        <w:t>Executive summary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{{memo.executiveSummary}}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Credit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{{reviews.creditStatus}} - {{reviews.creditSummary}}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Collateral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{{reviews.collateralStatus}} - {{reviews.collateralSummary}}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Compliance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{{reviews.complianceStatus}} - {{reviews.complianceSummary}}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 rating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{{memo.riskRating}}</w:t>
            </w:r>
          </w:p>
        </w:tc>
      </w:tr>
    </w:tbl>
    <w:p>
      <w:pPr>
        <w:spacing w:after="0"/>
      </w:pPr>
    </w:p>
    <w:p>
      <w:pPr>
        <w:pStyle w:val="Heading2"/>
      </w:pPr>
      <w:r>
        <w:t>Recommendation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{{memo.recommendation}}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{{approval.approver}}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{{approval.decisionDate}}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Crestline Bank | LOS-2026-Harborview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Credit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Credit Memo Template</dc:title>
  <dc:subject>Box DocGen template for the Harborview LOS demo</dc:subject>
  <dc:creator>Crestline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