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18"/>
        </w:rPr>
        <w:t>CLOSING RECORD</w:t>
      </w:r>
    </w:p>
    <w:p>
      <w:pPr>
        <w:spacing w:after="80"/>
      </w:pPr>
      <w:r>
        <w:rPr>
          <w:rFonts w:ascii="Calibri" w:hAnsi="Calibri"/>
          <w:b/>
          <w:i w:val="0"/>
          <w:color w:val="000000"/>
          <w:sz w:val="46"/>
        </w:rPr>
        <w:t>Closing Summary</w:t>
      </w:r>
    </w:p>
    <w:p>
      <w:pPr>
        <w:spacing w:after="320"/>
      </w:pPr>
      <w:r>
        <w:rPr>
          <w:rFonts w:ascii="Calibri" w:hAnsi="Calibri"/>
          <w:b w:val="0"/>
          <w:i w:val="0"/>
          <w:color w:val="5F6368"/>
          <w:sz w:val="24"/>
        </w:rPr>
        <w:t>Structured loan terms for closing and servicing hand-off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ID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{{loan.id}}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Borrower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{{loan.borrower}}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Borrowing entity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{{loan.borrowerEntity}}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Loan amount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{{terms.currency}}{{terms.loanAmount}}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Interest rate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{{terms.interestRate}}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Term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{{terms.termMonths}} months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Amortization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{{terms.amortizationMonths}} months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Closing date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{{terms.closingDate}}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Maturity date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{{terms.maturityDate}}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Collateral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{{terms.collateral}}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Financial covenants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{{terms.covenants}}</w:t>
            </w:r>
          </w:p>
        </w:tc>
      </w:tr>
      <w:tr>
        <w:tc>
          <w:tcPr>
            <w:tcW w:type="dxa" w:w="27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Guaranty</w:t>
            </w:r>
          </w:p>
        </w:tc>
        <w:tc>
          <w:tcPr>
            <w:tcW w:type="dxa" w:w="66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{{terms.guaranty}}</w:t>
            </w:r>
          </w:p>
        </w:tc>
      </w:tr>
    </w:tbl>
    <w:p>
      <w:pPr>
        <w:spacing w:after="0"/>
      </w:pPr>
    </w:p>
    <w:p>
      <w:pPr>
        <w:pStyle w:val="Heading2"/>
      </w:pPr>
      <w:r>
        <w:t>Policy exception</w:t>
      </w:r>
    </w:p>
    <w:p>
      <w:r>
        <w:rPr>
          <w:rFonts w:ascii="Calibri" w:hAnsi="Calibri"/>
          <w:b w:val="0"/>
          <w:i w:val="0"/>
          <w:color w:val="000000"/>
          <w:sz w:val="22"/>
        </w:rPr>
        <w:t>{{closing.exceptionSummary}}</w:t>
      </w:r>
    </w:p>
    <w:p>
      <w:pPr>
        <w:pStyle w:val="Heading2"/>
      </w:pPr>
      <w:r>
        <w:t>Approval note</w:t>
      </w:r>
    </w:p>
    <w:p>
      <w:r>
        <w:rPr>
          <w:rFonts w:ascii="Calibri" w:hAnsi="Calibri"/>
          <w:b w:val="0"/>
          <w:i w:val="0"/>
          <w:color w:val="000000"/>
          <w:sz w:val="22"/>
        </w:rPr>
        <w:t>{{closing.approvalNote}}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368"/>
        <w:sz w:val="16"/>
      </w:rPr>
      <w:t>Acme Bank | LOS-2026-Harborview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F6368"/>
        <w:sz w:val="18"/>
      </w:rPr>
      <w:t>Loan Closing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Closing Summary Template</dc:title>
  <dc:subject>Box DocGen template for the Harborview LOS demo</dc:subject>
  <dc:creator>Acme Bank LOS Demo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