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CLOSING RECORD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Closing Summary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Structured loan terms for closing and servicing hand-off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Borrowing entity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{{loan.borrowerEntity}}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{{terms.currency}}{{terms.loanAmount}}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Interest rate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{{terms.interestRate}}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Term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{{terms.termMonths}} months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Amortization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{{terms.amortizationMonths}} months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Closing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{{terms.closingDate}}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Maturity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{{terms.maturityDate}}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Collateral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{{terms.collateral}}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Financial covenants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{{terms.covenants}}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Guaranty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{{terms.guaranty}}</w:t>
            </w:r>
          </w:p>
        </w:tc>
      </w:tr>
    </w:tbl>
    <w:p>
      <w:pPr>
        <w:spacing w:after="0"/>
      </w:pPr>
    </w:p>
    <w:p>
      <w:pPr>
        <w:pStyle w:val="Heading2"/>
      </w:pPr>
      <w:r>
        <w:t>Policy exception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{{closing.exceptionSummary}}</w:t>
      </w:r>
    </w:p>
    <w:p>
      <w:pPr>
        <w:pStyle w:val="Heading2"/>
      </w:pPr>
      <w:r>
        <w:t>Approval note</w:t>
      </w:r>
    </w:p>
    <w:p>
      <w:r>
        <w:rPr>
          <w:rFonts w:ascii="Calibri" w:hAnsi="Calibri"/>
          <w:b w:val="0"/>
          <w:i w:val="0"/>
          <w:color w:val="000000"/>
          <w:sz w:val="22"/>
        </w:rPr>
        <w:t>{{closing.approvalNote}}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Bank | LOS-2026-Dockwright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Loan Closing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Closing Summary Template</dc:title>
  <dc:subject>Box DocGen template for the Dockwright LOS demo</dc:subject>
  <dc:creator>Acme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