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18"/>
        </w:rPr>
        <w:t>DECISION REQUIRED</w:t>
      </w:r>
    </w:p>
    <w:p>
      <w:pPr>
        <w:spacing w:after="80"/>
      </w:pPr>
      <w:r>
        <w:rPr>
          <w:rFonts w:ascii="Calibri" w:hAnsi="Calibri"/>
          <w:b/>
          <w:i w:val="0"/>
          <w:color w:val="000000"/>
          <w:sz w:val="46"/>
        </w:rPr>
        <w:t>Credit Memo</w:t>
      </w:r>
    </w:p>
    <w:p>
      <w:pPr>
        <w:spacing w:after="320"/>
      </w:pPr>
      <w:r>
        <w:rPr>
          <w:rFonts w:ascii="Calibri" w:hAnsi="Calibri"/>
          <w:b w:val="0"/>
          <w:i w:val="0"/>
          <w:color w:val="5F6368"/>
          <w:sz w:val="24"/>
        </w:rPr>
        <w:t>Dockwright Logistics loan package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ID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{{loan.id}}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Borrower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{{loan.borrower}}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type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Amount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{{loan.currency}}{{loan.amount}}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Market / collateral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{{loan.region}} / {{loan.collateralType}}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Target closing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{{loan.targetClosingDate}}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Loan officer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{{loan.loanOfficer}}</w:t>
            </w:r>
          </w:p>
        </w:tc>
      </w:tr>
    </w:tbl>
    <w:p>
      <w:pPr>
        <w:spacing w:after="0"/>
      </w:pPr>
    </w:p>
    <w:p>
      <w:pPr>
        <w:pStyle w:val="Heading2"/>
      </w:pPr>
      <w:r>
        <w:t>Executive summary</w:t>
      </w:r>
    </w:p>
    <w:p>
      <w:r>
        <w:rPr>
          <w:rFonts w:ascii="Calibri" w:hAnsi="Calibri"/>
          <w:b w:val="0"/>
          <w:i w:val="0"/>
          <w:color w:val="000000"/>
          <w:sz w:val="22"/>
        </w:rPr>
        <w:t>{{memo.executiveSummary}}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Credit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{{reviews.creditStatus}} - {{reviews.creditSummary}}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Collateral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{{reviews.collateralStatus}} - {{reviews.collateralSummary}}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Compliance review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{{reviews.complianceStatus}} - {{reviews.complianceSummary}}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Risk rating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{{memo.riskRating}}</w:t>
            </w:r>
          </w:p>
        </w:tc>
      </w:tr>
    </w:tbl>
    <w:p>
      <w:pPr>
        <w:spacing w:after="0"/>
      </w:pPr>
    </w:p>
    <w:p>
      <w:pPr>
        <w:pStyle w:val="Heading2"/>
      </w:pPr>
      <w:r>
        <w:t>Recommendation</w:t>
      </w:r>
    </w:p>
    <w:p>
      <w:r>
        <w:rPr>
          <w:rFonts w:ascii="Calibri" w:hAnsi="Calibri"/>
          <w:b w:val="0"/>
          <w:i w:val="0"/>
          <w:color w:val="000000"/>
          <w:sz w:val="22"/>
        </w:rPr>
        <w:t>{{memo.recommendation}}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Approver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{{approval.approver}}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{{approval.decision}}</w:t>
            </w:r>
          </w:p>
        </w:tc>
      </w:tr>
      <w:tr>
        <w:tc>
          <w:tcPr>
            <w:tcW w:type="dxa" w:w="2700"/>
            <w:vAlign w:val="center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i w:val="0"/>
                <w:color w:val="1F4D78"/>
                <w:sz w:val="20"/>
              </w:rPr>
              <w:t>Decision date</w:t>
            </w:r>
          </w:p>
        </w:tc>
        <w:tc>
          <w:tcPr>
            <w:tcW w:type="dxa" w:w="66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{{approval.decisionDate}}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F6368"/>
        <w:sz w:val="16"/>
      </w:rPr>
      <w:t>Acme Bank | LOS-2026-Dockwright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F6368"/>
        <w:sz w:val="18"/>
      </w:rPr>
      <w:t>LOS Credit Memo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Los Credit Memo Template</dc:title>
  <dc:subject>Box DocGen template for the Dockwright LOS demo</dc:subject>
  <dc:creator>Acme Bank LOS 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