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i w:val="0"/>
          <w:color w:val="2E74B5"/>
          <w:sz w:val="18"/>
        </w:rPr>
        <w:t>DECISION REQUIRED</w:t>
      </w:r>
    </w:p>
    <w:p>
      <w:pPr>
        <w:spacing w:after="80"/>
      </w:pPr>
      <w:r>
        <w:rPr>
          <w:rFonts w:ascii="Calibri" w:hAnsi="Calibri"/>
          <w:b/>
          <w:i w:val="0"/>
          <w:color w:val="000000"/>
          <w:sz w:val="46"/>
        </w:rPr>
        <w:t>Contract Approval Memo</w:t>
      </w:r>
    </w:p>
    <w:p>
      <w:pPr>
        <w:spacing w:after="320"/>
      </w:pPr>
      <w:r>
        <w:rPr>
          <w:rFonts w:ascii="Calibri" w:hAnsi="Calibri"/>
          <w:b w:val="0"/>
          <w:i w:val="0"/>
          <w:color w:val="5F6368"/>
          <w:sz w:val="24"/>
        </w:rPr>
        <w:t>Northstar Health System agreement package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Contract ID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{{contract.id}}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Counterparty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{{contract.counterparty}}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Contract type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{{contract.type}}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Deal value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{{contract.currency}}{{contract.dealValue}}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Region / data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{{contract.region}} / {{contract.dataCategory}}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Target signature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{{contract.targetSignatureDate}}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Business owner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{{contract.businessOwner}}</w:t>
            </w:r>
          </w:p>
        </w:tc>
      </w:tr>
    </w:tbl>
    <w:p>
      <w:pPr>
        <w:spacing w:after="0"/>
      </w:pPr>
    </w:p>
    <w:p>
      <w:pPr>
        <w:pStyle w:val="Heading2"/>
      </w:pPr>
      <w:r>
        <w:t>Executive summary</w:t>
      </w:r>
    </w:p>
    <w:p>
      <w:r>
        <w:rPr>
          <w:rFonts w:ascii="Calibri" w:hAnsi="Calibri"/>
          <w:b w:val="0"/>
          <w:i w:val="0"/>
          <w:color w:val="000000"/>
          <w:sz w:val="22"/>
        </w:rPr>
        <w:t>{{approval.executiveSummary}}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Legal review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{{reviews.legalStatus}} - {{reviews.legalSummary}}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Finance review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{{reviews.financeStatus}} - {{reviews.financeSummary}}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Privacy / security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{{reviews.privacySecurityStatus}} - {{reviews.privacySecuritySummary}}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Overall risk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{{approval.riskLevel}}</w:t>
            </w:r>
          </w:p>
        </w:tc>
      </w:tr>
    </w:tbl>
    <w:p>
      <w:pPr>
        <w:spacing w:after="0"/>
      </w:pPr>
    </w:p>
    <w:p>
      <w:pPr>
        <w:pStyle w:val="Heading2"/>
      </w:pPr>
      <w:r>
        <w:t>Recommendation</w:t>
      </w:r>
    </w:p>
    <w:p>
      <w:r>
        <w:rPr>
          <w:rFonts w:ascii="Calibri" w:hAnsi="Calibri"/>
          <w:b w:val="0"/>
          <w:i w:val="0"/>
          <w:color w:val="000000"/>
          <w:sz w:val="22"/>
        </w:rPr>
        <w:t>{{approval.recommendation}}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Approver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{{approval.approver}}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Decision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{{approval.decision}}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Decision date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{{approval.decisionDate}}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5F6368"/>
        <w:sz w:val="16"/>
      </w:rPr>
      <w:t>Acme Technologies | CLM-2026-Northstar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i w:val="0"/>
        <w:color w:val="5F6368"/>
        <w:sz w:val="18"/>
      </w:rPr>
      <w:t>CLM Approval Memo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Clm Approval Memo Template</dc:title>
  <dc:subject>Box DocGen template for the Northstar CLM demo</dc:subject>
  <dc:creator>Acme Technologies CLM Demo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