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olor w:val="2E74B5"/>
          <w:sz w:val="18"/>
        </w:rPr>
        <w:t>IN NEGOTIATION</w:t>
      </w:r>
    </w:p>
    <w:p>
      <w:pPr>
        <w:spacing w:after="80"/>
      </w:pPr>
      <w:r>
        <w:rPr>
          <w:rFonts w:ascii="Calibri" w:hAnsi="Calibri"/>
          <w:b/>
          <w:i w:val="0"/>
          <w:color w:val="000000"/>
          <w:sz w:val="46"/>
        </w:rPr>
        <w:t>Master Services Agreement - Redline</w:t>
      </w:r>
    </w:p>
    <w:p>
      <w:pPr>
        <w:spacing w:after="320"/>
      </w:pPr>
      <w:r>
        <w:rPr>
          <w:rFonts w:ascii="Calibri" w:hAnsi="Calibri"/>
          <w:b w:val="0"/>
          <w:i w:val="0"/>
          <w:color w:val="5F6368"/>
          <w:sz w:val="24"/>
        </w:rPr>
        <w:t>Acme Robotics, Inc. and Northstar Health System | CLM-2026-Northstar | Draft, in redline</w:t>
      </w:r>
    </w:p>
    <w:p>
      <w:pPr>
        <w:pStyle w:val="Heading2"/>
      </w:pPr>
      <w:r>
        <w:t>1. Fees, invoicing, and taxes</w:t>
      </w:r>
    </w:p>
    <w:p>
      <w:r>
        <w:rPr>
          <w:rFonts w:ascii="Calibri" w:hAnsi="Calibri"/>
          <w:b w:val="0"/>
          <w:i w:val="0"/>
          <w:color w:val="000000"/>
          <w:sz w:val="22"/>
        </w:rPr>
        <w:t>Customer will pay the fees stated in each Order Form. Subscription fees are invoiced annually in advance; undisputed amounts are due forty-five days from invoice date.</w:t>
      </w:r>
    </w:p>
    <w:p>
      <w:r>
        <w:rPr>
          <w:rFonts w:ascii="Calibri" w:hAnsi="Calibri"/>
          <w:b/>
          <w:i w:val="0"/>
          <w:color w:val="B91C1C"/>
          <w:sz w:val="22"/>
        </w:rPr>
        <w:t>NORTHSTAR REDLINE: Customer requests Net 90 payment terms and a unilateral right to offset alleged damages against invoiced amounts.</w:t>
      </w:r>
    </w:p>
    <w:p>
      <w:pPr>
        <w:pStyle w:val="Heading2"/>
      </w:pPr>
      <w:r>
        <w:t>2. Service levels and support</w:t>
      </w:r>
    </w:p>
    <w:p>
      <w:r>
        <w:rPr>
          <w:rFonts w:ascii="Calibri" w:hAnsi="Calibri"/>
          <w:b w:val="0"/>
          <w:i w:val="0"/>
          <w:color w:val="000000"/>
          <w:sz w:val="22"/>
        </w:rPr>
        <w:t>Service credits are Customer's sole monetary remedy for a service-level failure and will not exceed twenty percent of the monthly subscription fees for the affected Service.</w:t>
      </w:r>
    </w:p>
    <w:p>
      <w:r>
        <w:rPr>
          <w:rFonts w:ascii="Calibri" w:hAnsi="Calibri"/>
          <w:b/>
          <w:i w:val="0"/>
          <w:color w:val="B91C1C"/>
          <w:sz w:val="22"/>
        </w:rPr>
        <w:t>NORTHSTAR REDLINE: Customer proposes uncapped service credits, a full monthly refund below 99.5 percent availability, and termination rights after any two failures in a rolling six-month period.</w:t>
      </w:r>
    </w:p>
    <w:p>
      <w:pPr>
        <w:pStyle w:val="Heading2"/>
      </w:pPr>
      <w:r>
        <w:t>3. Information security</w:t>
      </w:r>
    </w:p>
    <w:p>
      <w:r>
        <w:rPr>
          <w:rFonts w:ascii="Calibri" w:hAnsi="Calibri"/>
          <w:b w:val="0"/>
          <w:i w:val="0"/>
          <w:color w:val="000000"/>
          <w:sz w:val="22"/>
        </w:rPr>
        <w:t>Acme will notify Customer of a confirmed Security Incident without undue delay and no later than seventy-two hours after confirmation. Annual audits are permitted with reasonable notice.</w:t>
      </w:r>
    </w:p>
    <w:p>
      <w:r>
        <w:rPr>
          <w:rFonts w:ascii="Calibri" w:hAnsi="Calibri"/>
          <w:b/>
          <w:i w:val="0"/>
          <w:color w:val="B91C1C"/>
          <w:sz w:val="22"/>
        </w:rPr>
        <w:t>NORTHSTAR REDLINE: Customer requests notice within twelve hours of any suspected event, participation in Acme's forensic investigation, and unlimited on-site audits.</w:t>
      </w:r>
    </w:p>
    <w:p>
      <w:pPr>
        <w:pStyle w:val="Heading2"/>
      </w:pPr>
      <w:r>
        <w:t>4. Limitation of liability</w:t>
      </w:r>
    </w:p>
    <w:p>
      <w:r>
        <w:rPr>
          <w:rFonts w:ascii="Calibri" w:hAnsi="Calibri"/>
          <w:b w:val="0"/>
          <w:i w:val="0"/>
          <w:color w:val="000000"/>
          <w:sz w:val="22"/>
        </w:rPr>
        <w:t>Except for Excluded Claims, each Party's aggregate liability will not exceed the fees paid or payable under the affected Order Form during the preceding twelve months.</w:t>
      </w:r>
    </w:p>
    <w:p>
      <w:r>
        <w:rPr>
          <w:rFonts w:ascii="Calibri" w:hAnsi="Calibri"/>
          <w:b/>
          <w:i w:val="0"/>
          <w:color w:val="B91C1C"/>
          <w:sz w:val="22"/>
        </w:rPr>
        <w:t>NORTHSTAR REDLINE: Customer deletes the liability cap and proposes unlimited liability for direct and indirect damages, including lost revenue and regulatory penalties.</w:t>
      </w:r>
    </w:p>
    <w:p>
      <w:pPr>
        <w:pStyle w:val="Heading2"/>
      </w:pPr>
      <w:r>
        <w:t>5. Term and termination</w:t>
      </w:r>
    </w:p>
    <w:p>
      <w:r>
        <w:rPr>
          <w:rFonts w:ascii="Calibri" w:hAnsi="Calibri"/>
          <w:b w:val="0"/>
          <w:i w:val="0"/>
          <w:color w:val="000000"/>
          <w:sz w:val="22"/>
        </w:rPr>
        <w:t>Each Order Form renews for successive one-year periods unless either Party provides at least ninety days' written notice before the current term ends.</w:t>
      </w:r>
    </w:p>
    <w:p>
      <w:r>
        <w:rPr>
          <w:rFonts w:ascii="Calibri" w:hAnsi="Calibri"/>
          <w:b/>
          <w:i w:val="0"/>
          <w:color w:val="B91C1C"/>
          <w:sz w:val="22"/>
        </w:rPr>
        <w:t>NORTHSTAR REDLINE: Customer adds termination for convenience on thirty days' notice with a pro rata refund of prepaid fees.</w:t>
      </w:r>
    </w:p>
    <w:p>
      <w:pPr>
        <w:pStyle w:val="Heading2"/>
      </w:pPr>
      <w:r>
        <w:t>6. Governing law</w:t>
      </w:r>
    </w:p>
    <w:p>
      <w:r>
        <w:rPr>
          <w:rFonts w:ascii="Calibri" w:hAnsi="Calibri"/>
          <w:b w:val="0"/>
          <w:i w:val="0"/>
          <w:color w:val="000000"/>
          <w:sz w:val="22"/>
        </w:rPr>
        <w:t>This Agreement is governed by Delaware law; courts in Wilmington, Delaware have exclusive jurisdiction.</w:t>
      </w:r>
    </w:p>
    <w:p>
      <w:r>
        <w:rPr>
          <w:rFonts w:ascii="Calibri" w:hAnsi="Calibri"/>
          <w:b/>
          <w:i w:val="0"/>
          <w:color w:val="B91C1C"/>
          <w:sz w:val="22"/>
        </w:rPr>
        <w:t>NORTHSTAR REDLINE: Customer replaces Delaware law and venue with Minnesota law and exclusive venue in Hennepin County, Minnesota.</w:t>
      </w:r>
    </w:p>
    <w:p>
      <w:pPr>
        <w:pStyle w:val="Heading2"/>
      </w:pPr>
      <w:r>
        <w:t>Open items</w:t>
      </w:r>
    </w:p>
    <w:p>
      <w:r>
        <w:rPr>
          <w:rFonts w:ascii="Calibri" w:hAnsi="Calibri"/>
          <w:b w:val="0"/>
          <w:i/>
          <w:color w:val="5F6368"/>
          <w:sz w:val="20"/>
        </w:rPr>
        <w:t>Red text marks the counterparty's proposed changes still under negotiation. This document is a draft in Word and is not executed.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F6368"/>
        <w:sz w:val="16"/>
      </w:rPr>
      <w:t>Acme Robotics | CLM-2026-Northstar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i w:val="0"/>
        <w:color w:val="5F6368"/>
        <w:sz w:val="18"/>
      </w:rPr>
      <w:t>CLM MSA Redline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Northstar Msa 2026 Redline</dc:title>
  <dc:subject>Box DocGen template for the Northstar CLM demo</dc:subject>
  <dc:creator>Acme Robotics CLM Demo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