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COMMERCIAL RECORD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Order Form Summary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Structured deal terms for review and approval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Customer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{{contract.counterparty}}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Annual value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{{commercial.currency}}{{commercial.annualValue}}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Total value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{{commercial.currency}}{{commercial.totalValue}}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{{commercial.termMonths}} months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Effective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{{commercial.effectiveDate}}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Payment terms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{{commercial.paymentTerms}}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Renewal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{{commercial.renewalType}}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Renewal notice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{{commercial.renewalNoticeDays}} days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Governing law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{{commercial.governingLaw}}</w:t>
            </w:r>
          </w:p>
        </w:tc>
      </w:tr>
    </w:tbl>
    <w:p>
      <w:pPr>
        <w:spacing w:after="0"/>
      </w:pPr>
    </w:p>
    <w:p>
      <w:pPr>
        <w:pStyle w:val="Heading2"/>
      </w:pPr>
      <w:r>
        <w:t>Commercial exception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{{commercial.exceptionSummary}}</w:t>
      </w:r>
    </w:p>
    <w:p>
      <w:pPr>
        <w:pStyle w:val="Heading2"/>
      </w:pPr>
      <w:r>
        <w:t>Approval 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{{commercial.approvalNote}}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Robotics | CLM-2026-Northstar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Commercial Order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Clm Order Summary Template</dc:title>
  <dc:subject>Box DocGen template for the Northstar CLM demo</dc:subject>
  <dc:creator>Acme Robotics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