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IN NEGOTIATION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Master Services Agreement - Redline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Acme Robotics, Inc. and Northstar Health System | CLM-2026-Northstar | Draft, in redline</w:t>
      </w:r>
    </w:p>
    <w:p>
      <w:pPr>
        <w:pStyle w:val="Heading2"/>
      </w:pPr>
      <w:r>
        <w:t>1. Fees, invoicing, and taxes</w:t>
      </w:r>
    </w:p>
    <w:p>
      <w:r>
        <w:rPr>
          <w:rFonts w:ascii="Calibri" w:hAnsi="Calibri"/>
          <w:b w:val="0"/>
          <w:i w:val="0"/>
          <w:color w:val="000000"/>
          <w:sz w:val="22"/>
        </w:rPr>
        <w:t>Customer will pay the fees stated in each Order Form. Subscription fees are invoiced annually in advance; undisputed amounts are due forty-five days from invoice date.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requests Net 90 payment terms and a unilateral right to offset alleged damages against invoiced amounts.</w:t>
      </w:r>
    </w:p>
    <w:p>
      <w:pPr>
        <w:pStyle w:val="Heading2"/>
      </w:pPr>
      <w:r>
        <w:t>2. Service levels and support</w:t>
      </w:r>
    </w:p>
    <w:p>
      <w:r>
        <w:rPr>
          <w:rFonts w:ascii="Calibri" w:hAnsi="Calibri"/>
          <w:b w:val="0"/>
          <w:i w:val="0"/>
          <w:color w:val="000000"/>
          <w:sz w:val="22"/>
        </w:rPr>
        <w:t>Service credits are Customer's sole monetary remedy for a service-level failure and will not exceed twenty percent of the monthly subscription fees for the affected Service.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proposes uncapped service credits, a full monthly refund below 99.5 percent availability, and termination rights after any two failures in a rolling six-month period.</w:t>
      </w:r>
    </w:p>
    <w:p>
      <w:pPr>
        <w:pStyle w:val="Heading2"/>
      </w:pPr>
      <w:r>
        <w:t>3. Information security</w:t>
      </w:r>
    </w:p>
    <w:p>
      <w:r>
        <w:rPr>
          <w:rFonts w:ascii="Calibri" w:hAnsi="Calibri"/>
          <w:b w:val="0"/>
          <w:i w:val="0"/>
          <w:color w:val="000000"/>
          <w:sz w:val="22"/>
        </w:rPr>
        <w:t>Acme will notify Customer of a confirmed Security Incident without undue delay and no later than seventy-two hours after confirmation. Annual audits are permitted with reasonable notice.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requests notice within twelve hours of any suspected event, participation in Acme's forensic investigation, and unlimited on-site audits.</w:t>
      </w:r>
    </w:p>
    <w:p>
      <w:pPr>
        <w:pStyle w:val="Heading2"/>
      </w:pPr>
      <w:r>
        <w:t>4. Limitation of liability</w:t>
      </w:r>
    </w:p>
    <w:p>
      <w:r>
        <w:rPr>
          <w:rFonts w:ascii="Calibri" w:hAnsi="Calibri"/>
          <w:b w:val="0"/>
          <w:i w:val="0"/>
          <w:color w:val="000000"/>
          <w:sz w:val="22"/>
        </w:rPr>
        <w:t>Except for Excluded Claims, each Party's aggregate liability will not exceed the fees paid or payable under the affected Order Form during the preceding twelve months.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deletes the liability cap and proposes unlimited liability for direct and indirect damages, including lost revenue and regulatory penalties.</w:t>
      </w:r>
    </w:p>
    <w:p>
      <w:pPr>
        <w:pStyle w:val="Heading2"/>
      </w:pPr>
      <w:r>
        <w:t>5. Term and termination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Each Order Form renews for successive one-year periods unless either Party provides at least ninety days' written notice before the current term ends.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adds termination for convenience on thirty days' notice with a pro rata refund of prepaid fees.</w:t>
      </w:r>
    </w:p>
    <w:p>
      <w:pPr>
        <w:pStyle w:val="Heading2"/>
      </w:pPr>
      <w:r>
        <w:t>6. Governing law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Agreement is governed by Delaware law; courts in Wilmington, Delaware have exclusive jurisdiction.</w:t>
      </w:r>
    </w:p>
    <w:p>
      <w:r>
        <w:rPr>
          <w:rFonts w:ascii="Calibri" w:hAnsi="Calibri"/>
          <w:b/>
          <w:i w:val="0"/>
          <w:color w:val="B91C1C"/>
          <w:sz w:val="22"/>
        </w:rPr>
        <w:t>NORTHSTAR REDLINE: Customer replaces Delaware law and venue with Minnesota law and exclusive venue in Hennepin County, Minnesota.</w:t>
      </w:r>
    </w:p>
    <w:p>
      <w:pPr>
        <w:pStyle w:val="Heading2"/>
      </w:pPr>
      <w:r>
        <w:t>Open items</w:t>
      </w:r>
    </w:p>
    <w:p>
      <w:r>
        <w:rPr>
          <w:rFonts w:ascii="Calibri" w:hAnsi="Calibri"/>
          <w:b w:val="0"/>
          <w:i/>
          <w:color w:val="5F6368"/>
          <w:sz w:val="20"/>
        </w:rPr>
        <w:t>Red text marks the counterparty's proposed changes still under negotiation. This document is a draft in Word and is not executed.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Robotics | CLM-2026-Northstar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CLM MSA Redline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Msa 2026 Redline</dc:title>
  <dc:subject>Box DocGen template for the Northstar CLM demo</dc:subject>
  <dc:creator>Acme Robotics CLM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