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Detecting Temporal Debt in Language Models and Software Systems: Applications of Δt-Constrained Inference</w:t>
      </w:r>
    </w:p>
    <w:p>
      <w:pPr>
        <w:pStyle w:val="BodyText"/>
      </w:pPr>
      <w:r>
        <w:rPr>
          <w:iCs/>
          <w:i/>
        </w:rPr>
        <w:t xml:space="preserve">James Beck</w:t>
      </w:r>
    </w:p>
    <w:p>
      <w:pPr>
        <w:pStyle w:val="BodyText"/>
      </w:pPr>
      <w:r>
        <w:rPr>
          <w:bCs/>
          <w:b/>
        </w:rPr>
        <w:t xml:space="preserve">Abstract</w:t>
      </w:r>
    </w:p>
    <w:p>
      <w:pPr>
        <w:pStyle w:val="BodyText"/>
      </w:pPr>
      <w:r>
        <w:t xml:space="preserve">Large language models hallucinate on 15-50% of factual queries while reporting confidence exceeding 80%. Enterprise software projects report "Green" status weeks before deadline collapse. These failures share a common structure: confidence generation outpacing evidential support. This paper applies the Δt framework (Beck, 2025) to two domains where temporal debt accumulation is measurable and consequential. For LLMs, we operationalize the support function using semantic stability and demonstrate that RLHF training creates structural incentives for debt accumulation. For enterprise software delivery, we derive support functions from velocity variance and temporal proximity to deadline. Both applications yield working diagnostic implementations that classify systems into coherent, metastable, or collapse regimes. The implementations are immediately deployable: the LLM detector can gate model responses or trigger retrieval; the software diagnostic integrates with standard project management tooling. These applications demonstrate that abstract Δt theory translates to concrete, actionable instrumentation.</w:t>
      </w:r>
    </w:p>
    <w:p>
      <w:pPr>
        <w:pStyle w:val="BodyText"/>
      </w:pPr>
      <w:r>
        <w:t xml:space="preserve">1. Introduction</w:t>
      </w:r>
    </w:p>
    <w:p>
      <w:pPr>
        <w:pStyle w:val="BodyText"/>
      </w:pPr>
      <w:r>
        <w:t xml:space="preserve">Ask a large language model to describe the CEO of a company that does not exist. It will invent a plausible biography with the same confident tone it uses for real facts. Ask it about an obscure technical topic beyond its training data. It generates coherent-sounding explanations that collapse under scrutiny. The model does not say "I don't know." It maintains the cadence of knowledge even when the substance is absent.</w:t>
      </w:r>
    </w:p>
    <w:p>
      <w:pPr>
        <w:pStyle w:val="BodyText"/>
      </w:pPr>
      <w:r>
        <w:t xml:space="preserve">This is not merely a knowledge gap. It is a velocity mismatch—the model generates confident claims faster than its internal knowledge can support them. And this same pattern appears in enterprise software delivery, where project dashboards display confident "Green" status while underlying engineering velocity remains chaotic and unpredictable.</w:t>
      </w:r>
    </w:p>
    <w:p>
      <w:pPr>
        <w:pStyle w:val="BodyText"/>
      </w:pPr>
      <w:r>
        <w:t xml:space="preserve">Beck (2025) formalizes this as the Δt framework: a general model of temporal coherence in hierarchical inference systems. The core constraint is that confidence growth rate must not exceed evidence accumulation rate:</w:t>
      </w:r>
    </w:p>
    <w:p>
      <w:pPr>
        <w:pStyle w:val="BodyText"/>
      </w:pPr>
      <w:r>
        <w:rPr>
          <w:iCs/>
          <w:i/>
        </w:rPr>
        <w:t xml:space="preserve">dC/dt ≤ k · dE/dt</w:t>
      </w:r>
    </w:p>
    <w:p>
      <w:pPr>
        <w:pStyle w:val="BodyText"/>
      </w:pPr>
      <w:r>
        <w:t xml:space="preserve">Violations accumulate as temporal debt D(t), creating structural fragility invisible in local observations. Systems with positive debt operate in a metastable regime: locally coherent, procedurally valid, but increasingly fragile under perturbation.</w:t>
      </w:r>
    </w:p>
    <w:p>
      <w:pPr>
        <w:pStyle w:val="BodyText"/>
      </w:pPr>
      <w:r>
        <w:t xml:space="preserve">This paper instantiates the framework for two domains: large language models and enterprise software delivery. For each, we derive domain-specific support functions, provide working implementations, and demonstrate practical deployment strategies. The goal is to show that abstract Δt theory translates to concrete diagnostic tooling.</w:t>
      </w:r>
    </w:p>
    <w:p>
      <w:pPr>
        <w:pStyle w:val="BodyText"/>
      </w:pPr>
      <w:r>
        <w:t xml:space="preserve">2. Theoretical Foundation</w:t>
      </w:r>
    </w:p>
    <w:p>
      <w:pPr>
        <w:pStyle w:val="BodyText"/>
      </w:pPr>
      <w:r>
        <w:t xml:space="preserve">We summarize the essential machinery from Beck (2025); readers seeking full derivations should consult the theory paper.</w:t>
      </w:r>
    </w:p>
    <w:p>
      <w:pPr>
        <w:pStyle w:val="BodyText"/>
      </w:pPr>
      <w:r>
        <w:t xml:space="preserve">The Δt framework models any hierarchical inference system as having at least two layers: an evidence layer with characteristic timescale τ_evidence, and an inference layer operating at τ_inference. When τ_inference &lt;&lt; τ_evidence—when the system generates confident claims much faster than it accumulates supporting evidence—the system exhibits temporal mismatch.</w:t>
      </w:r>
    </w:p>
    <w:p>
      <w:pPr>
        <w:pStyle w:val="BodyText"/>
      </w:pPr>
      <w:r>
        <w:t xml:space="preserve">The support function f_support(E) quantifies the maximum confidence that the current evidence state can justify. The Δt-constraint operator caps confidence at this level:</w:t>
      </w:r>
    </w:p>
    <w:p>
      <w:pPr>
        <w:pStyle w:val="BodyText"/>
      </w:pPr>
      <w:r>
        <w:rPr>
          <w:iCs/>
          <w:i/>
        </w:rPr>
        <w:t xml:space="preserve">C' = min(C, f_support(E))</w:t>
      </w:r>
    </w:p>
    <w:p>
      <w:pPr>
        <w:pStyle w:val="BodyText"/>
      </w:pPr>
      <w:r>
        <w:t xml:space="preserve">Temporal debt measures cumulative mismatch:</w:t>
      </w:r>
    </w:p>
    <w:p>
      <w:pPr>
        <w:pStyle w:val="BodyText"/>
      </w:pPr>
      <w:r>
        <w:rPr>
          <w:iCs/>
          <w:i/>
        </w:rPr>
        <w:t xml:space="preserve">D(t) = ∫₀ᵗ max(0, dC/dτ - k·dE/dτ) dτ</w:t>
      </w:r>
    </w:p>
    <w:p>
      <w:pPr>
        <w:pStyle w:val="BodyText"/>
      </w:pPr>
      <w:r>
        <w:t xml:space="preserve">Positive debt indicates structural fragility. The framework identifies three regimes:</w:t>
      </w:r>
    </w:p>
    <w:p>
      <w:pPr>
        <w:pStyle w:val="BodyText"/>
      </w:pPr>
      <w:r>
        <w:rPr>
          <w:bCs/>
          <w:b/>
        </w:rPr>
        <w:t xml:space="preserve">Coherent inference:</w:t>
      </w:r>
      <w:r>
        <w:t xml:space="preserve"> </w:t>
      </w:r>
      <w:r>
        <w:t xml:space="preserve">D(t) ≈ 0. Confidence tracks evidence. System is robust to perturbation.</w:t>
      </w:r>
    </w:p>
    <w:p>
      <w:pPr>
        <w:pStyle w:val="BodyText"/>
      </w:pPr>
      <w:r>
        <w:rPr>
          <w:bCs/>
          <w:b/>
        </w:rPr>
        <w:t xml:space="preserve">Metastable inference:</w:t>
      </w:r>
      <w:r>
        <w:t xml:space="preserve"> </w:t>
      </w:r>
      <w:r>
        <w:t xml:space="preserve">D(t) &gt; 0 but f_support &gt; 0. Locally coherent but accumulated debt creates fragility. Works until perturbed.</w:t>
      </w:r>
    </w:p>
    <w:p>
      <w:pPr>
        <w:pStyle w:val="BodyText"/>
      </w:pPr>
      <w:r>
        <w:rPr>
          <w:bCs/>
          <w:b/>
        </w:rPr>
        <w:t xml:space="preserve">Collapse:</w:t>
      </w:r>
      <w:r>
        <w:t xml:space="preserve"> </w:t>
      </w:r>
      <w:r>
        <w:t xml:space="preserve">f_support → 0 or D(t) &gt;&gt; 0. Evidence bandwidth has collapsed or confidence is completely decoupled from support.</w:t>
      </w:r>
    </w:p>
    <w:p>
      <w:pPr>
        <w:pStyle w:val="BodyText"/>
      </w:pPr>
      <w:r>
        <w:t xml:space="preserve">3. Large Language Models: The Geography of Confident Lies</w:t>
      </w:r>
    </w:p>
    <w:p>
      <w:pPr>
        <w:pStyle w:val="BodyText"/>
      </w:pPr>
      <w:r>
        <w:t xml:space="preserve">LLMs provide the clearest demonstration of Δt pathology because the temporal mismatch is extreme: evidence accumulation rate (dE/dt) is frozen at deployment, while inference rate (dC/dt) operates at token-generation speed.</w:t>
      </w:r>
    </w:p>
    <w:p>
      <w:pPr>
        <w:pStyle w:val="BodyText"/>
      </w:pPr>
      <w:r>
        <w:t xml:space="preserve">3.1 The Three Zones of LLM Behavior</w:t>
      </w:r>
    </w:p>
    <w:p>
      <w:pPr>
        <w:pStyle w:val="BodyText"/>
      </w:pPr>
      <w:r>
        <w:t xml:space="preserve">When we plot semantic stability (evidence bandwidth) against reported confidence (inference output) across hundreds of queries, three distinct zones emerge (Figure 1):</w:t>
      </w:r>
    </w:p>
    <w:tbl>
      <w:tblPr>
        <w:tblStyle w:val="FigureTable"/>
        <w:tblW w:type="auto" w:w="0"/>
        <w:tblLook w:firstRow="0" w:lastRow="0" w:firstColumn="0" w:lastColumn="0"/>
        <w:jc w:val="center"/>
      </w:tblPr>
      <w:tblGrid>
        <w:gridCol w:w="7920"/>
      </w:tblGrid>
      <w:tr>
        <w:tc>
          <w:tcPr/>
          <w:p>
            <w:pPr>
              <w:pStyle w:val="Compact"/>
              <w:jc w:val="center"/>
            </w:pPr>
            <w:r>
              <w:t xml:space="preserve">Three regimes of LLM epistemic behavior</w:t>
            </w:r>
          </w:p>
        </w:tc>
      </w:tr>
    </w:tbl>
    <w:p>
      <w:pPr>
        <w:pStyle w:val="ImageCaption"/>
      </w:pPr>
      <w:r>
        <w:t xml:space="preserve">Three regimes of LLM epistemic behavior</w:t>
      </w:r>
    </w:p>
    <w:p>
      <w:pPr>
        <w:pStyle w:val="BodyText"/>
      </w:pPr>
      <w:r>
        <w:t xml:space="preserve">Figure 1: Phase-space diagram showing semantic stability vs. reported confidence. Points represent simulated LLM queries. The diagonal dashed line represents ideal calibration (zero debt). Green zone: justified inference. Orange zone: metastable inference. Red zone: hallucination collapse. Note the horizontal clustering of red points at high confidence regardless of stability—the RLHF "helpfulness bias."</w:t>
      </w:r>
    </w:p>
    <w:p>
      <w:pPr>
        <w:pStyle w:val="BodyText"/>
      </w:pPr>
      <w:r>
        <w:rPr>
          <w:bCs/>
          <w:b/>
        </w:rPr>
        <w:t xml:space="preserve">Zone 1 — Justified Inference (Green):</w:t>
      </w:r>
      <w:r>
        <w:t xml:space="preserve"> </w:t>
      </w:r>
      <w:r>
        <w:t xml:space="preserve">High stability, high confidence. The model knows basic facts ("What is 2+2?", capital cities, established knowledge). Confidence tracks evidence. Temporal debt D ≈ 0. This is calibrated inference.</w:t>
      </w:r>
    </w:p>
    <w:p>
      <w:pPr>
        <w:pStyle w:val="BodyText"/>
      </w:pPr>
      <w:r>
        <w:rPr>
          <w:bCs/>
          <w:b/>
        </w:rPr>
        <w:t xml:space="preserve">Zone 2 — Metastable Inference (Orange):</w:t>
      </w:r>
      <w:r>
        <w:t xml:space="preserve"> </w:t>
      </w:r>
      <w:r>
        <w:t xml:space="preserve">Moderate stability, high confidence. The model is "mostly right, or right by accident, but confidence writes checks internal weights can't cash." Questions about recent events near training cutoff, niche topics with sparse coverage, or queries requiring combination of weak signals. Locally coherent output, but perturbations expose fragility. Works until you ask a follow-up, then coherence collapses. Moderate temporal debt (0.2 &lt; D &lt; 0.5). This is the dangerous zone—the system appears functional but is structurally brittle.</w:t>
      </w:r>
    </w:p>
    <w:p>
      <w:pPr>
        <w:pStyle w:val="BodyText"/>
      </w:pPr>
      <w:r>
        <w:rPr>
          <w:bCs/>
          <w:b/>
        </w:rPr>
        <w:t xml:space="preserve">Zone 3 — Hallucination Collapse (Red):</w:t>
      </w:r>
      <w:r>
        <w:t xml:space="preserve"> </w:t>
      </w:r>
      <w:r>
        <w:t xml:space="preserve">Zero stability, high confidence. Pure Δt violation. The model has no stable internal representation yet maintains 90-99% confidence. Invents facts about fictional entities, fabricates information beyond training data, generates answers that change with each sampling. The narrative layer operates at full speed while evidence layer is stationary. High temporal debt (D &gt; 0.5). Epistemic collapse masked by confident fluency.</w:t>
      </w:r>
    </w:p>
    <w:p>
      <w:pPr>
        <w:pStyle w:val="BodyText"/>
      </w:pPr>
      <w:r>
        <w:t xml:space="preserve">3.2 The RLHF Helpfulness Bias</w:t>
      </w:r>
    </w:p>
    <w:p>
      <w:pPr>
        <w:pStyle w:val="BodyText"/>
      </w:pPr>
      <w:r>
        <w:t xml:space="preserve">Why do models operate consistently in orange and red zones? RLHF (Reinforcement Learning from Human Feedback) creates structural incentives for temporal debt accumulation. The training objective optimizes for human preferences: helpful, confident responses score higher than epistemically honest uncertainty. When a model says "I don't know," human raters penalize it. When a model invents a plausible answer, raters often reward it—especially if they themselves don't know the correct answer.</w:t>
      </w:r>
    </w:p>
    <w:p>
      <w:pPr>
        <w:pStyle w:val="BodyText"/>
      </w:pPr>
      <w:r>
        <w:t xml:space="preserve">This trains models to decouple inference rate from evidence rate. The model learns to maintain high confidence (C ≈ 0.85-0.95) regardless of semantic stability. It maintains the cadence of knowledge when substance is absent. If you have ever wondered why chatbots sound like confident middle managers, this is the structural reason: both are optimizing for inference rate over evidence rate. Both are borrowing confidence from the future.</w:t>
      </w:r>
    </w:p>
    <w:p>
      <w:pPr>
        <w:pStyle w:val="BodyText"/>
      </w:pPr>
      <w:r>
        <w:t xml:space="preserve">Recent work on "uncertainty-aware RLHF" and constitutional AI attempts to address this by incorporating epistemic honesty into reward functions. However, these mitigations still operate within the fundamental RLHF paradigm and may only partially ameliorate the temporal debt accumulation without addressing the core structural incentive.</w:t>
      </w:r>
    </w:p>
    <w:p>
      <w:pPr>
        <w:pStyle w:val="BodyText"/>
      </w:pPr>
      <w:r>
        <w:t xml:space="preserve">3.3 Operationalizing f_support for LLMs</w:t>
      </w:r>
    </w:p>
    <w:p>
      <w:pPr>
        <w:pStyle w:val="BodyText"/>
      </w:pPr>
      <w:r>
        <w:t xml:space="preserve">For LLMs, we operationalize the support function using semantic stability as a proxy for evidence bandwidth:</w:t>
      </w:r>
    </w:p>
    <w:p>
      <w:pPr>
        <w:pStyle w:val="BodyText"/>
      </w:pPr>
      <w:r>
        <w:rPr>
          <w:iCs/>
          <w:i/>
        </w:rPr>
        <w:t xml:space="preserve">f_support(query) = min(density(query, training_data), consistency(outputs))</w:t>
      </w:r>
    </w:p>
    <w:p>
      <w:pPr>
        <w:pStyle w:val="BodyText"/>
      </w:pPr>
      <w:r>
        <w:t xml:space="preserve">where:</w:t>
      </w:r>
    </w:p>
    <w:p>
      <w:pPr>
        <w:pStyle w:val="BodyText"/>
      </w:pPr>
      <w:r>
        <w:rPr>
          <w:bCs/>
          <w:b/>
        </w:rPr>
        <w:t xml:space="preserve">density(query, training_data):</w:t>
      </w:r>
      <w:r>
        <w:t xml:space="preserve"> </w:t>
      </w:r>
      <w:r>
        <w:t xml:space="preserve">How well-represented is this query type in training? Operationalized as log-probability under a language model of the training distribution, normalized to [0,1]. Threshold ≈ -3 nats for common queries, dropping to -8 or lower for rare/out-of-distribution topics.</w:t>
      </w:r>
    </w:p>
    <w:p>
      <w:pPr>
        <w:pStyle w:val="BodyText"/>
      </w:pPr>
      <w:r>
        <w:rPr>
          <w:bCs/>
          <w:b/>
        </w:rPr>
        <w:t xml:space="preserve">consistency(outputs):</w:t>
      </w:r>
      <w:r>
        <w:t xml:space="preserve"> </w:t>
      </w:r>
      <w:r>
        <w:t xml:space="preserve">Sample the model multiple times or perturb the query slightly. Do answers remain stable? Measured as 1 - (variance in key facts / baseline variance). High consistency indicates stable knowledge; low consistency indicates pattern-matching without grounding.</w:t>
      </w:r>
    </w:p>
    <w:p>
      <w:pPr>
        <w:pStyle w:val="BodyText"/>
      </w:pPr>
      <w:r>
        <w:t xml:space="preserve">Hallucination debt for a specific response:</w:t>
      </w:r>
    </w:p>
    <w:p>
      <w:pPr>
        <w:pStyle w:val="BodyText"/>
      </w:pPr>
      <w:r>
        <w:rPr>
          <w:iCs/>
          <w:i/>
        </w:rPr>
        <w:t xml:space="preserve">D_hallucination = max(0, C_reported - f_support)</w:t>
      </w:r>
    </w:p>
    <w:p>
      <w:pPr>
        <w:pStyle w:val="BodyText"/>
      </w:pPr>
      <w:r>
        <w:t xml:space="preserve">Positive debt indicates metastable or collapse regimes.</w:t>
      </w:r>
    </w:p>
    <w:p>
      <w:pPr>
        <w:pStyle w:val="BodyText"/>
      </w:pPr>
      <w:r>
        <w:t xml:space="preserve">3.4 Reference Implementation</w:t>
      </w:r>
    </w:p>
    <w:p>
      <w:pPr>
        <w:pStyle w:val="BodyText"/>
      </w:pPr>
      <w:r>
        <w:t xml:space="preserve">The following Python implementation detects when a model has entered the metastable inference zone:</w:t>
      </w:r>
    </w:p>
    <w:p>
      <w:pPr>
        <w:pStyle w:val="BodyText"/>
      </w:pPr>
      <w:r>
        <w:t xml:space="preserve">import numpy as np</w:t>
      </w:r>
    </w:p>
    <w:p>
      <w:pPr>
        <w:pStyle w:val="BodyText"/>
      </w:pPr>
      <w:r>
        <w:t xml:space="preserve">def calculate_hallucination_debt(</w:t>
      </w:r>
    </w:p>
    <w:p>
      <w:pPr>
        <w:pStyle w:val="BodyText"/>
      </w:pPr>
      <w:r>
        <w:t xml:space="preserve">semantic_stability: float, # 0-1, from consistency checks</w:t>
      </w:r>
    </w:p>
    <w:p>
      <w:pPr>
        <w:pStyle w:val="BodyText"/>
      </w:pPr>
      <w:r>
        <w:t xml:space="preserve">reported_confidence: float, # 0-1, model's claimed certainty</w:t>
      </w:r>
    </w:p>
    <w:p>
      <w:pPr>
        <w:pStyle w:val="BodyText"/>
      </w:pPr>
      <w:r>
        <w:t xml:space="preserve">query_density: float = None # optional: log-prob in training dist</w:t>
      </w:r>
    </w:p>
    <w:p>
      <w:pPr>
        <w:pStyle w:val="BodyText"/>
      </w:pPr>
      <w:r>
        <w:t xml:space="preserve">) -&gt; dict:</w:t>
      </w:r>
    </w:p>
    <w:p>
      <w:pPr>
        <w:pStyle w:val="BodyText"/>
      </w:pPr>
      <w:r>
        <w:t xml:space="preserve"># Calculate support function</w:t>
      </w:r>
    </w:p>
    <w:p>
      <w:pPr>
        <w:pStyle w:val="BodyText"/>
      </w:pPr>
      <w:r>
        <w:t xml:space="preserve">if query_density is not None:</w:t>
      </w:r>
    </w:p>
    <w:p>
      <w:pPr>
        <w:pStyle w:val="BodyText"/>
      </w:pPr>
      <w:r>
        <w:t xml:space="preserve">density_support = np.clip((query_density + 8) / 5, 0, 1)</w:t>
      </w:r>
    </w:p>
    <w:p>
      <w:pPr>
        <w:pStyle w:val="BodyText"/>
      </w:pPr>
      <w:r>
        <w:t xml:space="preserve">f_support = min(semantic_stability, density_support)</w:t>
      </w:r>
    </w:p>
    <w:p>
      <w:pPr>
        <w:pStyle w:val="BodyText"/>
      </w:pPr>
      <w:r>
        <w:t xml:space="preserve">else:</w:t>
      </w:r>
    </w:p>
    <w:p>
      <w:pPr>
        <w:pStyle w:val="BodyText"/>
      </w:pPr>
      <w:r>
        <w:t xml:space="preserve">f_support = semantic_stability</w:t>
      </w:r>
    </w:p>
    <w:p>
      <w:pPr>
        <w:pStyle w:val="BodyText"/>
      </w:pPr>
      <w:r>
        <w:t xml:space="preserve"># Calculate temporal debt</w:t>
      </w:r>
    </w:p>
    <w:p>
      <w:pPr>
        <w:pStyle w:val="BodyText"/>
      </w:pPr>
      <w:r>
        <w:t xml:space="preserve">debt = max(0.0, reported_confidence - f_support)</w:t>
      </w:r>
    </w:p>
    <w:p>
      <w:pPr>
        <w:pStyle w:val="BodyText"/>
      </w:pPr>
      <w:r>
        <w:t xml:space="preserve"># Classify regime</w:t>
      </w:r>
    </w:p>
    <w:p>
      <w:pPr>
        <w:pStyle w:val="BodyText"/>
      </w:pPr>
      <w:r>
        <w:t xml:space="preserve">if debt &gt; 0.5:</w:t>
      </w:r>
    </w:p>
    <w:p>
      <w:pPr>
        <w:pStyle w:val="BodyText"/>
      </w:pPr>
      <w:r>
        <w:t xml:space="preserve">regime = "Hallucination (Collapse)"</w:t>
      </w:r>
    </w:p>
    <w:p>
      <w:pPr>
        <w:pStyle w:val="BodyText"/>
      </w:pPr>
      <w:r>
        <w:t xml:space="preserve">elif debt &gt; 0.2:</w:t>
      </w:r>
    </w:p>
    <w:p>
      <w:pPr>
        <w:pStyle w:val="BodyText"/>
      </w:pPr>
      <w:r>
        <w:t xml:space="preserve">regime = "Metastable (Risky)"</w:t>
      </w:r>
    </w:p>
    <w:p>
      <w:pPr>
        <w:pStyle w:val="BodyText"/>
      </w:pPr>
      <w:r>
        <w:t xml:space="preserve">else:</w:t>
      </w:r>
    </w:p>
    <w:p>
      <w:pPr>
        <w:pStyle w:val="BodyText"/>
      </w:pPr>
      <w:r>
        <w:t xml:space="preserve">regime = "Justified (Safe)"</w:t>
      </w:r>
    </w:p>
    <w:p>
      <w:pPr>
        <w:pStyle w:val="BodyText"/>
      </w:pPr>
      <w:r>
        <w:t xml:space="preserve">return {</w:t>
      </w:r>
    </w:p>
    <w:p>
      <w:pPr>
        <w:pStyle w:val="BodyText"/>
      </w:pPr>
      <w:r>
        <w:t xml:space="preserve">"temporal_debt": round(debt, 4),</w:t>
      </w:r>
    </w:p>
    <w:p>
      <w:pPr>
        <w:pStyle w:val="BodyText"/>
      </w:pPr>
      <w:r>
        <w:t xml:space="preserve">"max_supportable_confidence": round(f_support, 4),</w:t>
      </w:r>
    </w:p>
    <w:p>
      <w:pPr>
        <w:pStyle w:val="BodyText"/>
      </w:pPr>
      <w:r>
        <w:t xml:space="preserve">"regime": regime</w:t>
      </w:r>
    </w:p>
    <w:p>
      <w:pPr>
        <w:pStyle w:val="BodyText"/>
      </w:pPr>
      <w:r>
        <w:t xml:space="preserve">}</w:t>
      </w:r>
    </w:p>
    <w:p>
      <w:pPr>
        <w:pStyle w:val="BodyText"/>
      </w:pPr>
      <w:r>
        <w:t xml:space="preserve">3.5 Practical Deployment</w:t>
      </w:r>
    </w:p>
    <w:p>
      <w:pPr>
        <w:pStyle w:val="BodyText"/>
      </w:pPr>
      <w:r>
        <w:t xml:space="preserve">This implementation can be integrated into LLM systems as:</w:t>
      </w:r>
    </w:p>
    <w:p>
      <w:pPr>
        <w:pStyle w:val="BodyText"/>
      </w:pPr>
      <w:r>
        <w:rPr>
          <w:bCs/>
          <w:b/>
        </w:rPr>
        <w:t xml:space="preserve">Pre-flight check:</w:t>
      </w:r>
      <w:r>
        <w:t xml:space="preserve"> </w:t>
      </w:r>
      <w:r>
        <w:t xml:space="preserve">Before returning a response, calculate debt. If D &gt; 0.4, trigger web search or return "I don't have reliable information on this."</w:t>
      </w:r>
    </w:p>
    <w:p>
      <w:pPr>
        <w:pStyle w:val="BodyText"/>
      </w:pPr>
      <w:r>
        <w:rPr>
          <w:bCs/>
          <w:b/>
        </w:rPr>
        <w:t xml:space="preserve">Confidence gating:</w:t>
      </w:r>
      <w:r>
        <w:t xml:space="preserve"> </w:t>
      </w:r>
      <w:r>
        <w:t xml:space="preserve">Scale reported confidence by (1 - debt). A model claiming 95% confidence with 0.6 debt reports 38% confidence instead.</w:t>
      </w:r>
    </w:p>
    <w:p>
      <w:pPr>
        <w:pStyle w:val="BodyText"/>
      </w:pPr>
      <w:r>
        <w:rPr>
          <w:bCs/>
          <w:b/>
        </w:rPr>
        <w:t xml:space="preserve">User transparency:</w:t>
      </w:r>
      <w:r>
        <w:t xml:space="preserve"> </w:t>
      </w:r>
      <w:r>
        <w:t xml:space="preserve">Flag metastable responses with "This answer may be unstable—verify independently."</w:t>
      </w:r>
    </w:p>
    <w:p>
      <w:pPr>
        <w:pStyle w:val="BodyText"/>
      </w:pPr>
      <w:r>
        <w:rPr>
          <w:bCs/>
          <w:b/>
        </w:rPr>
        <w:t xml:space="preserve">Training signal:</w:t>
      </w:r>
      <w:r>
        <w:t xml:space="preserve"> </w:t>
      </w:r>
      <w:r>
        <w:t xml:space="preserve">Use debt as a reward penalty during RLHF—penalize high-confidence, low-stability outputs.</w:t>
      </w:r>
    </w:p>
    <w:p>
      <w:pPr>
        <w:pStyle w:val="BodyText"/>
      </w:pPr>
      <w:r>
        <w:t xml:space="preserve">This is not a knowledge fix—the model still lacks information in the red zone. But it prevents the system from maintaining confident lies. It enforces temporal coherence: confidence cannot outpace evidence.</w:t>
      </w:r>
    </w:p>
    <w:p>
      <w:pPr>
        <w:pStyle w:val="BodyText"/>
      </w:pPr>
      <w:r>
        <w:t xml:space="preserve">4. Enterprise Software Delivery</w:t>
      </w:r>
    </w:p>
    <w:p>
      <w:pPr>
        <w:pStyle w:val="BodyText"/>
      </w:pPr>
      <w:r>
        <w:t xml:space="preserve">Enterprise software project estimation chronically suffers from coherence inflation: roadmaps display high confidence ("Green" status) while underlying evidence (code quality, velocity stability) remains weak. The Δt framework provides diagnostic tooling for this domain.</w:t>
      </w:r>
    </w:p>
    <w:p>
      <w:pPr>
        <w:pStyle w:val="BodyText"/>
      </w:pPr>
      <w:r>
        <w:t xml:space="preserve">4.1 System Definition</w:t>
      </w:r>
    </w:p>
    <w:p>
      <w:pPr>
        <w:pStyle w:val="BodyText"/>
      </w:pPr>
      <w:r>
        <w:t xml:space="preserve">We define hierarchical layers:</w:t>
      </w:r>
    </w:p>
    <w:p>
      <w:pPr>
        <w:pStyle w:val="BodyText"/>
      </w:pPr>
      <w:r>
        <w:rPr>
          <w:bCs/>
          <w:b/>
        </w:rPr>
        <w:t xml:space="preserve">Evidence Layer (L_E):</w:t>
      </w:r>
      <w:r>
        <w:t xml:space="preserve"> </w:t>
      </w:r>
      <w:r>
        <w:t xml:space="preserve">Ground truth of engineering output. Signal: code commits, passing tests, closed story points. Timescale τ_E: hours to days (sprint cadence). Variance: high due to unknown unknowns and technical debt.</w:t>
      </w:r>
    </w:p>
    <w:p>
      <w:pPr>
        <w:pStyle w:val="BodyText"/>
      </w:pPr>
      <w:r>
        <w:rPr>
          <w:bCs/>
          <w:b/>
        </w:rPr>
        <w:t xml:space="preserve">Inference Layer (L_C):</w:t>
      </w:r>
      <w:r>
        <w:t xml:space="preserve"> </w:t>
      </w:r>
      <w:r>
        <w:t xml:space="preserve">Management narrative and projections. Signal: Gantt charts, RAG status reports, committed launch dates. Timescale τ_C: months to quarters. Variance: artificially low due to stakeholder demands for certainty.</w:t>
      </w:r>
    </w:p>
    <w:p>
      <w:pPr>
        <w:pStyle w:val="BodyText"/>
      </w:pPr>
      <w:r>
        <w:t xml:space="preserve">The temporal mismatch: τ_C &gt;&gt; τ_E. Management commits to delivery dates (inference) faster than engineering can resolve technical ambiguity (evidence).</w:t>
      </w:r>
    </w:p>
    <w:p>
      <w:pPr>
        <w:pStyle w:val="BodyText"/>
      </w:pPr>
      <w:r>
        <w:t xml:space="preserve">4.2 Support Function Derivation</w:t>
      </w:r>
    </w:p>
    <w:p>
      <w:pPr>
        <w:pStyle w:val="BodyText"/>
      </w:pPr>
      <w:r>
        <w:t xml:space="preserve">Evidence E(t) is operationalized as the inverse coefficient of variation of team velocity:</w:t>
      </w:r>
    </w:p>
    <w:p>
      <w:pPr>
        <w:pStyle w:val="BodyText"/>
      </w:pPr>
      <w:r>
        <w:rPr>
          <w:iCs/>
          <w:i/>
        </w:rPr>
        <w:t xml:space="preserve">E(t) = μ_velocity / σ_velocity</w:t>
      </w:r>
    </w:p>
    <w:p>
      <w:pPr>
        <w:pStyle w:val="BodyText"/>
      </w:pPr>
      <w:r>
        <w:t xml:space="preserve">This captures not just throughput but stability of throughput. A team completing 50 points one sprint and 10 the next has low evidence bandwidth regardless of average velocity.</w:t>
      </w:r>
    </w:p>
    <w:p>
      <w:pPr>
        <w:pStyle w:val="BodyText"/>
      </w:pPr>
      <w:r>
        <w:t xml:space="preserve">The support function combines signal-to-noise ratio with temporal decay:</w:t>
      </w:r>
    </w:p>
    <w:p>
      <w:pPr>
        <w:pStyle w:val="BodyText"/>
      </w:pPr>
      <w:r>
        <w:rPr>
          <w:iCs/>
          <w:i/>
        </w:rPr>
        <w:t xml:space="preserve">f_support(E, Δt_proj) = tanh(μ_vel / σ_vel) × exp(-λ × Δt_proj)</w:t>
      </w:r>
    </w:p>
    <w:p>
      <w:pPr>
        <w:pStyle w:val="BodyText"/>
      </w:pPr>
      <w:r>
        <w:t xml:space="preserve">where Δt_proj is weeks to deadline, λ ≈ 0.1 is the entropy rate (how fast requirements change), and tanh bounds the coupling to [0,1]. High variance or distant deadlines reduce supportable confidence.</w:t>
      </w:r>
    </w:p>
    <w:p>
      <w:pPr>
        <w:pStyle w:val="BodyText"/>
      </w:pPr>
      <w:r>
        <w:t xml:space="preserve">4.3 Reference Implementation</w:t>
      </w:r>
    </w:p>
    <w:p>
      <w:pPr>
        <w:pStyle w:val="BodyText"/>
      </w:pPr>
      <w:r>
        <w:t xml:space="preserve">The following implementation can be integrated into CI/CD pipelines, project management dashboards, or status reporting tools:</w:t>
      </w:r>
    </w:p>
    <w:p>
      <w:pPr>
        <w:pStyle w:val="BodyText"/>
      </w:pPr>
      <w:r>
        <w:t xml:space="preserve">import numpy as np</w:t>
      </w:r>
    </w:p>
    <w:p>
      <w:pPr>
        <w:pStyle w:val="BodyText"/>
      </w:pPr>
      <w:r>
        <w:t xml:space="preserve">def calculate_temporal_debt(</w:t>
      </w:r>
    </w:p>
    <w:p>
      <w:pPr>
        <w:pStyle w:val="BodyText"/>
      </w:pPr>
      <w:r>
        <w:t xml:space="preserve">velocity_history: list[float],</w:t>
      </w:r>
    </w:p>
    <w:p>
      <w:pPr>
        <w:pStyle w:val="BodyText"/>
      </w:pPr>
      <w:r>
        <w:t xml:space="preserve">claimed_confidence: float,</w:t>
      </w:r>
    </w:p>
    <w:p>
      <w:pPr>
        <w:pStyle w:val="BodyText"/>
      </w:pPr>
      <w:r>
        <w:t xml:space="preserve">weeks_to_deadline: int,</w:t>
      </w:r>
    </w:p>
    <w:p>
      <w:pPr>
        <w:pStyle w:val="BodyText"/>
      </w:pPr>
      <w:r>
        <w:t xml:space="preserve">entropy_rate: float = 0.1</w:t>
      </w:r>
    </w:p>
    <w:p>
      <w:pPr>
        <w:pStyle w:val="BodyText"/>
      </w:pPr>
      <w:r>
        <w:t xml:space="preserve">) -&gt; dict:</w:t>
      </w:r>
    </w:p>
    <w:p>
      <w:pPr>
        <w:pStyle w:val="BodyText"/>
      </w:pPr>
      <w:r>
        <w:t xml:space="preserve"># Calculate evidence bandwidth (SNR)</w:t>
      </w:r>
    </w:p>
    <w:p>
      <w:pPr>
        <w:pStyle w:val="BodyText"/>
      </w:pPr>
      <w:r>
        <w:t xml:space="preserve">mu_vel = np.mean(velocity_history)</w:t>
      </w:r>
    </w:p>
    <w:p>
      <w:pPr>
        <w:pStyle w:val="BodyText"/>
      </w:pPr>
      <w:r>
        <w:t xml:space="preserve">sigma_vel = max(np.std(velocity_history, ddof=1), 1e-6)</w:t>
      </w:r>
    </w:p>
    <w:p>
      <w:pPr>
        <w:pStyle w:val="BodyText"/>
      </w:pPr>
      <w:r>
        <w:t xml:space="preserve">evidence_stability = mu_vel / sigma_vel</w:t>
      </w:r>
    </w:p>
    <w:p>
      <w:pPr>
        <w:pStyle w:val="BodyText"/>
      </w:pPr>
      <w:r>
        <w:t xml:space="preserve"># Calculate max supportable confidence</w:t>
      </w:r>
    </w:p>
    <w:p>
      <w:pPr>
        <w:pStyle w:val="BodyText"/>
      </w:pPr>
      <w:r>
        <w:t xml:space="preserve">base_support = np.tanh(evidence_stability)</w:t>
      </w:r>
    </w:p>
    <w:p>
      <w:pPr>
        <w:pStyle w:val="BodyText"/>
      </w:pPr>
      <w:r>
        <w:t xml:space="preserve">time_decay = np.exp(-entropy_rate * weeks_to_deadline)</w:t>
      </w:r>
    </w:p>
    <w:p>
      <w:pPr>
        <w:pStyle w:val="BodyText"/>
      </w:pPr>
      <w:r>
        <w:t xml:space="preserve">f_support = base_support * time_decay</w:t>
      </w:r>
    </w:p>
    <w:p>
      <w:pPr>
        <w:pStyle w:val="BodyText"/>
      </w:pPr>
      <w:r>
        <w:t xml:space="preserve"># Calculate temporal debt and regime</w:t>
      </w:r>
    </w:p>
    <w:p>
      <w:pPr>
        <w:pStyle w:val="BodyText"/>
      </w:pPr>
      <w:r>
        <w:t xml:space="preserve">temporal_debt = max(0.0, claimed_confidence - f_support)</w:t>
      </w:r>
    </w:p>
    <w:p>
      <w:pPr>
        <w:pStyle w:val="BodyText"/>
      </w:pPr>
      <w:r>
        <w:t xml:space="preserve">if temporal_debt &gt; 0.5:</w:t>
      </w:r>
    </w:p>
    <w:p>
      <w:pPr>
        <w:pStyle w:val="BodyText"/>
      </w:pPr>
      <w:r>
        <w:t xml:space="preserve">regime = "Temporal Collapse Imminent"</w:t>
      </w:r>
    </w:p>
    <w:p>
      <w:pPr>
        <w:pStyle w:val="BodyText"/>
      </w:pPr>
      <w:r>
        <w:t xml:space="preserve">elif temporal_debt &gt; 0.2:</w:t>
      </w:r>
    </w:p>
    <w:p>
      <w:pPr>
        <w:pStyle w:val="BodyText"/>
      </w:pPr>
      <w:r>
        <w:t xml:space="preserve">regime = "Metastable Inference Zone"</w:t>
      </w:r>
    </w:p>
    <w:p>
      <w:pPr>
        <w:pStyle w:val="BodyText"/>
      </w:pPr>
      <w:r>
        <w:t xml:space="preserve">else:</w:t>
      </w:r>
    </w:p>
    <w:p>
      <w:pPr>
        <w:pStyle w:val="BodyText"/>
      </w:pPr>
      <w:r>
        <w:t xml:space="preserve">regime = "Coherent"</w:t>
      </w:r>
    </w:p>
    <w:p>
      <w:pPr>
        <w:pStyle w:val="BodyText"/>
      </w:pPr>
      <w:r>
        <w:t xml:space="preserve">return {</w:t>
      </w:r>
    </w:p>
    <w:p>
      <w:pPr>
        <w:pStyle w:val="BodyText"/>
      </w:pPr>
      <w:r>
        <w:t xml:space="preserve">"temporal_debt": round(temporal_debt, 4),</w:t>
      </w:r>
    </w:p>
    <w:p>
      <w:pPr>
        <w:pStyle w:val="BodyText"/>
      </w:pPr>
      <w:r>
        <w:t xml:space="preserve">"max_supportable_confidence": round(f_support, 4),</w:t>
      </w:r>
    </w:p>
    <w:p>
      <w:pPr>
        <w:pStyle w:val="BodyText"/>
      </w:pPr>
      <w:r>
        <w:t xml:space="preserve">"regime": regime</w:t>
      </w:r>
    </w:p>
    <w:p>
      <w:pPr>
        <w:pStyle w:val="BodyText"/>
      </w:pPr>
      <w:r>
        <w:t xml:space="preserve">}</w:t>
      </w:r>
    </w:p>
    <w:p>
      <w:pPr>
        <w:pStyle w:val="BodyText"/>
      </w:pPr>
      <w:r>
        <w:t xml:space="preserve">4.4 Example Application</w:t>
      </w:r>
    </w:p>
    <w:p>
      <w:pPr>
        <w:pStyle w:val="BodyText"/>
      </w:pPr>
      <w:r>
        <w:t xml:space="preserve">Consider a team with erratic velocity: [20, 45, 12, 30, 55, 10] story points across recent sprints (σ ≈ 18). Project management claims 95% confidence ("Green" status) with 10 weeks to deadline.</w:t>
      </w:r>
    </w:p>
    <w:p>
      <w:pPr>
        <w:pStyle w:val="BodyText"/>
      </w:pPr>
      <w:r>
        <w:t xml:space="preserve">Analysis:</w:t>
      </w:r>
    </w:p>
    <w:p>
      <w:pPr>
        <w:pStyle w:val="BodyText"/>
      </w:pPr>
      <w:r>
        <w:t xml:space="preserve">Evidence stability (SNR): μ/σ ≈ 1.5</w:t>
      </w:r>
    </w:p>
    <w:p>
      <w:pPr>
        <w:pStyle w:val="BodyText"/>
      </w:pPr>
      <w:r>
        <w:t xml:space="preserve">Base support: tanh(1.5) ≈ 0.91</w:t>
      </w:r>
    </w:p>
    <w:p>
      <w:pPr>
        <w:pStyle w:val="BodyText"/>
      </w:pPr>
      <w:r>
        <w:t xml:space="preserve">Time decay: exp(-0.1 × 10) ≈ 0.37</w:t>
      </w:r>
    </w:p>
    <w:p>
      <w:pPr>
        <w:pStyle w:val="BodyText"/>
      </w:pPr>
      <w:r>
        <w:t xml:space="preserve">f_support: 0.91 × 0.37 ≈ 0.34</w:t>
      </w:r>
    </w:p>
    <w:p>
      <w:pPr>
        <w:pStyle w:val="BodyText"/>
      </w:pPr>
      <w:r>
        <w:t xml:space="preserve">Temporal debt: 0.95 - 0.34 = 0.61</w:t>
      </w:r>
    </w:p>
    <w:p>
      <w:pPr>
        <w:pStyle w:val="BodyText"/>
      </w:pPr>
      <w:r>
        <w:rPr>
          <w:bCs/>
          <w:b/>
        </w:rPr>
        <w:t xml:space="preserve">Regime: Temporal Collapse Imminent</w:t>
      </w:r>
    </w:p>
    <w:p>
      <w:pPr>
        <w:pStyle w:val="BodyText"/>
      </w:pPr>
      <w:r>
        <w:t xml:space="preserve">The "Green" status is generating confidence faster than code is stabilizing. The accumulated temporal debt of 0.61 indicates high probability of death march or sudden delay near deadline—the system has entered metastable territory where external appearance (confident projections) has decoupled from ground truth (unstable delivery capacity).</w:t>
      </w:r>
    </w:p>
    <w:p>
      <w:pPr>
        <w:pStyle w:val="BodyText"/>
      </w:pPr>
      <w:r>
        <w:t xml:space="preserve">5. Cross-Domain Patterns</w:t>
      </w:r>
    </w:p>
    <w:p>
      <w:pPr>
        <w:pStyle w:val="BodyText"/>
      </w:pPr>
      <w:r>
        <w:t xml:space="preserve">Both applications share structural features that suggest the Δt framework captures something general about inferential systems:</w:t>
      </w:r>
    </w:p>
    <w:p>
      <w:pPr>
        <w:pStyle w:val="BodyText"/>
      </w:pPr>
      <w:r>
        <w:rPr>
          <w:bCs/>
          <w:b/>
        </w:rPr>
        <w:t xml:space="preserve">Evidence bandwidth as variance-based measure:</w:t>
      </w:r>
      <w:r>
        <w:t xml:space="preserve"> </w:t>
      </w:r>
      <w:r>
        <w:t xml:space="preserve">In both domains, evidence quality is operationalized through stability metrics—semantic consistency for LLMs, velocity variance for software. Raw throughput (token generation speed, average velocity) is less informative than throughput stability.</w:t>
      </w:r>
    </w:p>
    <w:p>
      <w:pPr>
        <w:pStyle w:val="BodyText"/>
      </w:pPr>
      <w:r>
        <w:rPr>
          <w:bCs/>
          <w:b/>
        </w:rPr>
        <w:t xml:space="preserve">Temporal decay in support:</w:t>
      </w:r>
      <w:r>
        <w:t xml:space="preserve"> </w:t>
      </w:r>
      <w:r>
        <w:t xml:space="preserve">Both applications incorporate decay functions that reduce supportable confidence over time—query density degrades with distance from training distribution, project confidence degrades with distance from deadline. Evidence becomes stale.</w:t>
      </w:r>
    </w:p>
    <w:p>
      <w:pPr>
        <w:pStyle w:val="BodyText"/>
      </w:pPr>
      <w:r>
        <w:rPr>
          <w:bCs/>
          <w:b/>
        </w:rPr>
        <w:t xml:space="preserve">Structural incentives for debt:</w:t>
      </w:r>
      <w:r>
        <w:t xml:space="preserve"> </w:t>
      </w:r>
      <w:r>
        <w:t xml:space="preserve">RLHF rewards confident responses regardless of epistemic state. Stakeholder pressure rewards "Green" status regardless of engineering reality. Both systems optimize for inference rate over evidence rate.</w:t>
      </w:r>
    </w:p>
    <w:p>
      <w:pPr>
        <w:pStyle w:val="BodyText"/>
      </w:pPr>
      <w:r>
        <w:rPr>
          <w:bCs/>
          <w:b/>
        </w:rPr>
        <w:t xml:space="preserve">Metastable regime as default:</w:t>
      </w:r>
      <w:r>
        <w:t xml:space="preserve"> </w:t>
      </w:r>
      <w:r>
        <w:t xml:space="preserve">In both domains, systems routinely operate with positive temporal debt. The metastable zone—functional but fragile—may be the most common epistemic state for complex systems under uncertainty.</w:t>
      </w:r>
    </w:p>
    <w:p>
      <w:pPr>
        <w:pStyle w:val="BodyText"/>
      </w:pPr>
      <w:r>
        <w:t xml:space="preserve">The Δt framework suggests similar instantiations are possible for financial risk modeling (where projection horizon degrades evidence support), institutional governance (where operational feedback degrades with organizational distance), and statistical inference (where Balch's meta-plausibility criterion acts as a Δt brake on fluke confidence).</w:t>
      </w:r>
    </w:p>
    <w:p>
      <w:pPr>
        <w:pStyle w:val="BodyText"/>
      </w:pPr>
      <w:r>
        <w:t xml:space="preserve">6. Empirical Predictions</w:t>
      </w:r>
    </w:p>
    <w:p>
      <w:pPr>
        <w:pStyle w:val="BodyText"/>
      </w:pPr>
      <w:r>
        <w:t xml:space="preserve">The Δt framework yields falsifiable predictions specific to these applications:</w:t>
      </w:r>
    </w:p>
    <w:p>
      <w:pPr>
        <w:pStyle w:val="BodyText"/>
      </w:pPr>
      <w:r>
        <w:rPr>
          <w:bCs/>
          <w:b/>
        </w:rPr>
        <w:t xml:space="preserve">LLM Prediction 1 — Maximum fragility in adjacency region:</w:t>
      </w:r>
      <w:r>
        <w:t xml:space="preserve"> </w:t>
      </w:r>
      <w:r>
        <w:t xml:space="preserve">The point of maximum overconfidence in an RLHF-trained LLM is not for queries completely outside its training distribution, but for queries semantically adjacent to well-represented topics. This is the metastable zone—enough signal to generate coherent text, not enough to stabilize representations. Testable signature: maximum perturbation sensitivity (output variance under prompt rephrasing) occurs in this adjacency region, not in the complete unknown.</w:t>
      </w:r>
    </w:p>
    <w:p>
      <w:pPr>
        <w:pStyle w:val="BodyText"/>
      </w:pPr>
      <w:r>
        <w:rPr>
          <w:bCs/>
          <w:b/>
        </w:rPr>
        <w:t xml:space="preserve">LLM Prediction 2 — RLHF increases debt:</w:t>
      </w:r>
      <w:r>
        <w:t xml:space="preserve"> </w:t>
      </w:r>
      <w:r>
        <w:t xml:space="preserve">Holding architecture constant, models fine-tuned with RLHF will show significantly higher D(t) on out-of-distribution queries than their base pre-trained counterparts. Testable on paired models (e.g., Llama-3-base vs. Llama-3-Instruct).</w:t>
      </w:r>
    </w:p>
    <w:p>
      <w:pPr>
        <w:pStyle w:val="BodyText"/>
      </w:pPr>
      <w:r>
        <w:rPr>
          <w:bCs/>
          <w:b/>
        </w:rPr>
        <w:t xml:space="preserve">Software Prediction 1 — Debt predicts deadline slip:</w:t>
      </w:r>
      <w:r>
        <w:t xml:space="preserve"> </w:t>
      </w:r>
      <w:r>
        <w:t xml:space="preserve">Projects with D(t) &gt; 0.4 measured 6 weeks before deadline will show higher rates of deadline slip, scope cut, or death march than projects with D(t) &lt; 0.2. The debt metric should outperform raw velocity as a predictor.</w:t>
      </w:r>
    </w:p>
    <w:p>
      <w:pPr>
        <w:pStyle w:val="BodyText"/>
      </w:pPr>
      <w:r>
        <w:rPr>
          <w:bCs/>
          <w:b/>
        </w:rPr>
        <w:t xml:space="preserve">Software Prediction 2 — Interventional efficacy:</w:t>
      </w:r>
      <w:r>
        <w:t xml:space="preserve"> </w:t>
      </w:r>
      <w:r>
        <w:t xml:space="preserve">Teams that implement debt-triggered interventions (scope reduction, deadline extension, resource addition when D &gt; threshold) will show smoother delivery curves than teams relying on traditional RAG status alone.</w:t>
      </w:r>
    </w:p>
    <w:p>
      <w:pPr>
        <w:pStyle w:val="BodyText"/>
      </w:pPr>
      <w:r>
        <w:t xml:space="preserve">7. Limitations and Future Work</w:t>
      </w:r>
    </w:p>
    <w:p>
      <w:pPr>
        <w:pStyle w:val="BodyText"/>
      </w:pPr>
      <w:r>
        <w:t xml:space="preserve">Several limitations constrain current applications:</w:t>
      </w:r>
    </w:p>
    <w:p>
      <w:pPr>
        <w:pStyle w:val="BodyText"/>
      </w:pPr>
      <w:r>
        <w:rPr>
          <w:bCs/>
          <w:b/>
        </w:rPr>
        <w:t xml:space="preserve">Query density estimation:</w:t>
      </w:r>
      <w:r>
        <w:t xml:space="preserve"> </w:t>
      </w:r>
      <w:r>
        <w:t xml:space="preserve">For LLMs, the density(query, training_data) term requires access to training distribution, which is unavailable for most deployed models. Current implementations rely primarily on consistency measures, making density a theoretical rather than practical component.</w:t>
      </w:r>
    </w:p>
    <w:p>
      <w:pPr>
        <w:pStyle w:val="BodyText"/>
      </w:pPr>
      <w:r>
        <w:rPr>
          <w:bCs/>
          <w:b/>
        </w:rPr>
        <w:t xml:space="preserve">Coupling constant calibration:</w:t>
      </w:r>
      <w:r>
        <w:t xml:space="preserve"> </w:t>
      </w:r>
      <w:r>
        <w:t xml:space="preserve">The k parameter requires empirical calibration for each domain and system. We have provided theoretical bounds but not validated calibration procedures.</w:t>
      </w:r>
    </w:p>
    <w:p>
      <w:pPr>
        <w:pStyle w:val="BodyText"/>
      </w:pPr>
      <w:r>
        <w:rPr>
          <w:bCs/>
          <w:b/>
        </w:rPr>
        <w:t xml:space="preserve">Threshold sensitivity:</w:t>
      </w:r>
      <w:r>
        <w:t xml:space="preserve"> </w:t>
      </w:r>
      <w:r>
        <w:t xml:space="preserve">Regime boundaries (D = 0.2, D = 0.5) are heuristically chosen. Optimal thresholds likely vary by application and require validation against ground-truth outcomes.</w:t>
      </w:r>
    </w:p>
    <w:p>
      <w:pPr>
        <w:pStyle w:val="BodyText"/>
      </w:pPr>
      <w:r>
        <w:t xml:space="preserve">Future work should focus on empirical validation of the predictions above, development of calibration procedures for k, and extension to additional domains including risk modeling and institutional governance.</w:t>
      </w:r>
    </w:p>
    <w:p>
      <w:pPr>
        <w:pStyle w:val="BodyText"/>
      </w:pPr>
      <w:r>
        <w:t xml:space="preserve">8. Conclusion</w:t>
      </w:r>
    </w:p>
    <w:p>
      <w:pPr>
        <w:pStyle w:val="BodyText"/>
      </w:pPr>
      <w:r>
        <w:t xml:space="preserve">We have demonstrated that the Δt framework (Beck, 2025) translates to practical diagnostic tooling for two domains: large language model hallucination detection and enterprise software project estimation. Both applications yield working implementations that classify systems into coherent, metastable, or collapse regimes based on the relationship between confidence claims and evidential support.</w:t>
      </w:r>
    </w:p>
    <w:p>
      <w:pPr>
        <w:pStyle w:val="BodyText"/>
      </w:pPr>
      <w:r>
        <w:t xml:space="preserve">The implementations are immediately deployable. The LLM detector can gate model responses, trigger retrieval augmentation, or provide user-facing uncertainty flags. The software diagnostic integrates with standard project management tooling to surface temporal debt before it manifests as deadline collapse.</w:t>
      </w:r>
    </w:p>
    <w:p>
      <w:pPr>
        <w:pStyle w:val="BodyText"/>
      </w:pPr>
      <w:r>
        <w:t xml:space="preserve">More broadly, these applications demonstrate that abstract temporal coherence theory—the constraint that confidence cannot outpace evidence—has concrete engineering applications. The metastable inference zone, identified theoretically as a regime of positive debt with non-zero support, appears in practice as the default operating state of systems optimized for confident output under uncertainty.</w:t>
      </w:r>
    </w:p>
    <w:p>
      <w:pPr>
        <w:pStyle w:val="BodyText"/>
      </w:pPr>
      <w:r>
        <w:t xml:space="preserve">The challenge ahead is validation: confirming that the empirical predictions hold, calibrating thresholds for specific deployments, and extending the framework to additional domains. But the path from theory to implementation is now clear. Temporal debt is measurable, and systems that measure it can choose to pay it down rather than accumulate it invisibly until collapse.</w:t>
      </w:r>
    </w:p>
    <w:p>
      <w:pPr>
        <w:pStyle w:val="BodyText"/>
      </w:pPr>
      <w:r>
        <w:t xml:space="preserve">References</w:t>
      </w:r>
    </w:p>
    <w:p>
      <w:pPr>
        <w:pStyle w:val="BodyText"/>
      </w:pPr>
      <w:r>
        <w:t xml:space="preserve">Bai, Y., et al. (2022). Training a Helpful and Harmless Assistant with Reinforcement Learning from Human Feedback. arXiv:2204.05862.</w:t>
      </w:r>
    </w:p>
    <w:p>
      <w:pPr>
        <w:pStyle w:val="BodyText"/>
      </w:pPr>
      <w:r>
        <w:t xml:space="preserve">Balch, M. S. (2025). Meta-plausibility: A frequentist criterion for statistical inference. Working thread available at https://bsky.app/profile/uqprofessional.bsky.social/post/3m7bdx3nqdk2f</w:t>
      </w:r>
    </w:p>
    <w:p>
      <w:pPr>
        <w:pStyle w:val="BodyText"/>
      </w:pPr>
      <w:r>
        <w:t xml:space="preserve">Beck, J. (2025). Δt-Constrained Inference: A General Model of Temporal Coherence in Hierarchical Systems. Zenodo. https://doi.org/10.5281/zenodo.17857542</w:t>
      </w:r>
    </w:p>
    <w:p>
      <w:pPr>
        <w:pStyle w:val="BodyText"/>
      </w:pPr>
      <w:r>
        <w:t xml:space="preserve">Ji, Z., et al. (2023). Survey of Hallucination in Natural Language Generation. ACM Computing Surveys, 55(12), 1-38.</w:t>
      </w:r>
    </w:p>
    <w:p>
      <w:pPr>
        <w:pStyle w:val="BodyText"/>
      </w:pPr>
      <w:r>
        <w:t xml:space="preserve">Ouyang, L., et al. (2022). Training language models to follow instructions with human feedback. Advances in Neural Information Processing Systems, 35.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2026-04-20T20:43:48Z</dcterms:created>
  <dcterms:modified xsi:type="dcterms:W3CDTF">2026-04-20T20:43:48Z</dcterms:modified>
</cp:coreProperties>
</file>

<file path=docProps/custom.xml><?xml version="1.0" encoding="utf-8"?>
<Properties xmlns="http://schemas.openxmlformats.org/officeDocument/2006/custom-properties" xmlns:vt="http://schemas.openxmlformats.org/officeDocument/2006/docPropsVTypes"/>
</file>