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黑体"/>
          <w:b/>
          <w:sz w:val="52"/>
        </w:rPr>
        <w:t>抗体人源化评估标准指南</w:t>
      </w:r>
    </w:p>
    <w:p>
      <w:pPr>
        <w:jc w:val="center"/>
      </w:pPr>
      <w:r>
        <w:rPr>
          <w:rFonts w:ascii="Times New Roman" w:hAnsi="Times New Roman" w:eastAsia="宋体"/>
          <w:color w:val="666666"/>
          <w:sz w:val="28"/>
        </w:rPr>
        <w:t>基于 USAN / WHO INN 标准与 IMGT 编号体系</w:t>
      </w:r>
    </w:p>
    <w:p>
      <w:pPr>
        <w:jc w:val="center"/>
      </w:pPr>
      <w:r>
        <w:rPr>
          <w:rFonts w:ascii="Times New Roman" w:hAnsi="Times New Roman" w:eastAsia="宋体"/>
          <w:color w:val="666666"/>
          <w:sz w:val="22"/>
        </w:rPr>
        <w:t>标准编号 USAN-GUIDE-001　版本 v2.0　2026-10-29</w:t>
      </w:r>
    </w:p>
    <w:p/>
    <w:p>
      <w:pPr>
        <w:spacing w:before="120" w:after="40"/>
        <w:jc w:val="center"/>
      </w:pPr>
      <w:r>
        <w:rPr>
          <w:rFonts w:ascii="Arial" w:hAnsi="Arial" w:eastAsia="黑体"/>
          <w:b/>
          <w:sz w:val="18"/>
        </w:rPr>
        <w:t>表 1　文档控制信息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文档编号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8"/>
              </w:rPr>
              <w:t>USAN-GUIDE-001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版本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8"/>
              </w:rPr>
              <w:t>v2.0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生成日期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8"/>
              </w:rPr>
              <w:t>2026-10-29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适用范围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8"/>
              </w:rPr>
              <w:t>Fab（VH+VL）与 VHH 抗体的人源化程度评估、命名解读与结果报告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编制工具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8"/>
              </w:rPr>
              <w:t>tools/usan/generate_usan_report.py（本管线自带生成器）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主要依据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8"/>
              </w:rPr>
              <w:t>WHO INN Working Doc. 22-542 (2022)；Lefranc IMGT (2003)；Kabat (1991)；本管线 scripts/humanize/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免责声明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8"/>
              </w:rPr>
              <w:t>本指南描述学术与行业通行惯例，供内部评估与论文撰写参考；官方命名以 WHO / AMA 审定结果为准，监管要求以现行法规文本为准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rPr>
          <w:rFonts w:ascii="Arial" w:hAnsi="Arial" w:eastAsia="黑体"/>
          <w:b/>
          <w:sz w:val="18"/>
        </w:rPr>
        <w:t>表 2　修订历史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版本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日期</w:t>
            </w:r>
          </w:p>
        </w:tc>
        <w:tc>
          <w:tcPr>
            <w:tcW w:type="dxa" w:w="6463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修订说明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8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2026-09-11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 w:eastAsia="宋体"/>
                <w:sz w:val="18"/>
              </w:rPr>
              <w:t>初版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8"/>
              </w:rPr>
              <w:t>v2.0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2026-10-29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 w:eastAsia="宋体"/>
                <w:sz w:val="18"/>
              </w:rPr>
              <w:t>按 WHO INN 22-542 (2022) 更正新方案四词干（-tug/-bart/-ment/-mig）；更正 IMGT CDR 边界（VH/VL 相同，CDR1=27-38）；将同源性阈值统一标注为学术估计；修正全人源实例（pembrolizumab/atezolizumab/natalizumab 实为人源化）；软化监管表述；新增术语表、目录、页码、本管线输出映射与附录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宋体"/>
          <w:color w:val="808080"/>
          <w:sz w:val="21"/>
        </w:rPr>
        <w:t>更新域后显示</w:t>
      </w:r>
      <w:r>
        <w:fldChar w:fldCharType="end"/>
      </w:r>
    </w:p>
    <w:p>
      <w:pPr>
        <w:spacing w:after="120"/>
        <w:ind w:left="227"/>
      </w:pPr>
      <w:r>
        <w:rPr>
          <w:rFonts w:ascii="Times New Roman" w:hAnsi="Times New Roman" w:eastAsia="宋体"/>
          <w:b/>
          <w:color w:val="C00000"/>
          <w:sz w:val="21"/>
        </w:rPr>
        <w:t>【提示】</w:t>
      </w:r>
      <w:r>
        <w:rPr>
          <w:rFonts w:ascii="Times New Roman" w:hAnsi="Times New Roman" w:eastAsia="宋体"/>
          <w:sz w:val="21"/>
        </w:rPr>
        <w:t>在 Microsoft Word 中打开后，右键点击目录 → “更新域”，即可生成 / 刷新带页码的目录。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1　引言与适用范围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1.1　目的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本指南规定本项目对抗体人源化程度的评估口径、USAN / WHO INN 抗体命名的解读方式，以及在论文、海报和报告中的规范表述，确保不同人、不同批次的结果可比、可复核。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sz w:val="21"/>
        </w:rPr>
        <w:t>本指南适用于：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Fab（VH+VL 配对）与 VHH 单域抗体的人源化程度评估；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CDR 移植 + 回复突变流程产生的 V0-V3 变体的报告；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对外材料（论文、海报、专利实施例、客户报告）中的命名与同源性表述。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1.2　术语与缩写</w:t>
      </w:r>
    </w:p>
    <w:p>
      <w:pPr>
        <w:spacing w:before="120" w:after="40"/>
        <w:jc w:val="center"/>
      </w:pPr>
      <w:r>
        <w:rPr>
          <w:rFonts w:ascii="Arial" w:hAnsi="Arial" w:eastAsia="黑体"/>
          <w:b/>
          <w:sz w:val="18"/>
        </w:rPr>
        <w:t>表 3　术语与缩写表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术语</w:t>
            </w:r>
          </w:p>
        </w:tc>
        <w:tc>
          <w:tcPr>
            <w:tcW w:type="dxa" w:w="7257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USAN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宋体"/>
                <w:sz w:val="18"/>
              </w:rPr>
              <w:t>United States Adopted Name；美国采用名称，由 AMA 药品命名委员会（历史上与 USP 共同）审定。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INN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宋体"/>
                <w:sz w:val="18"/>
              </w:rPr>
              <w:t>International Nonproprietary Names；WHO 主持的国际非专有名体系。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AMA / USP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宋体"/>
                <w:sz w:val="18"/>
              </w:rPr>
              <w:t>American Medical Association / United States Pharmacopeia（USAN 历史共同管理方）。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IMGT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宋体"/>
                <w:sz w:val="18"/>
              </w:rPr>
              <w:t>IMMunoGeneTics 数据库及其唯一编号体系（Lefranc 2003）。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Kabat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宋体"/>
                <w:sz w:val="18"/>
              </w:rPr>
              <w:t>Kabat 等人提出的抗体编号体系（1979 / 1991）。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FR / CDR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宋体"/>
                <w:sz w:val="18"/>
              </w:rPr>
              <w:t>框架区（framework region）/ 互补决定区（complementarity-determining region）。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FR4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宋体"/>
                <w:sz w:val="18"/>
              </w:rPr>
              <w:t>V 区 CDR3 之后的框架段，由 J 基因编码（本管线评估时排除）。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VH / VL / VHH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宋体"/>
                <w:sz w:val="18"/>
              </w:rPr>
              <w:t>重链可变区 / 轻链可变区 / 重链单域可变区（纳米抗体）。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Germline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宋体"/>
                <w:sz w:val="18"/>
              </w:rPr>
              <w:t>种系 V 基因；与查询序列比对计算同源性。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CDR grafting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宋体"/>
                <w:sz w:val="18"/>
              </w:rPr>
              <w:t>CDR 移植：将供体 CDR 挂载到人源框架上的人源化方法。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Back-mutation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宋体"/>
                <w:sz w:val="18"/>
              </w:rPr>
              <w:t>回复突变：将人源化后丢失的关键供体残基恢复。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CVI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宋体"/>
                <w:sz w:val="18"/>
              </w:rPr>
              <w:t>Canonical + Vernier + Interface 残基集合，用于结构保守性同源性评估。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1.3　局限性与免责声明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请在使用任何数值结论前阅读本节：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官方 USAN / INN 命名依据申办方申报的制备技术与分子格式（来源与工程化方式），并由 WHO / AMA 审定；不存在官方认可的“同源性百分比阈值”。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本指南第 3.5 节的 FR 同源性阈值（95 / 85 / 70 %）是学术文献中常用的近似估计，仅用于在只有序列、没有工艺信息时给出“估计类别”，不能作为命名依据。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FR 同源性仅覆盖 FR1+FR2+FR3：不含 CDR3（供体移植而来）、不含 FR4（J 基因编码）、不含恒定区，因此不能代表“整个抗体的鼠源序列比例”。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同源性是序列层面的单一维度指标：不反映三维结构、结合亲和力、稳定性与可开发性，评估结论需结合结构验证与实验数据。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不同编号体系（IMGT / Kabat / Chothia）的同源性数值不可直接互比；跨文献比较时必须注明编号体系。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2　USAN / WHO INN 抗体命名体系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2.1　USAN 与 INN 的关系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USAN（United States Adopted Name）由美国医学协会（AMA）药品命名委员会（USAN Council，历史上曾与美国药典 USP 共同管理）审定，作为美国药品的非专有名。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INN（International Nonproprietary Names）由 WHO 的 INN 计划主持，通过定期的 INN 例会与 Proposed / Recommended INN 名单发布。WHO 官方说明：各国非专有名（BAN、DCF、JAN、USAN 等）现已与 INN 基本一致。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sz w:val="21"/>
        </w:rPr>
        <w:t>实务要点：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命名由申办方向相应机构申请、审定后使用；商品名不得与 INN 常用词干混淆。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美国上市药品的标签使用非专有名（通常即 USAN / INN）；本指南不将任何命名机构表述为“审批机构”。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同一分子的名称一经确定即固定，后续序列微调（如回复突变）不改变其命名。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2.2　传统来源后缀（旧方案，仍被广泛解读）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旧方案以 V 区来源定义后缀，是文献中解读已获批药物名称的主要依据：</w:t>
      </w:r>
    </w:p>
    <w:p>
      <w:pPr>
        <w:spacing w:before="120" w:after="40"/>
        <w:jc w:val="center"/>
      </w:pPr>
      <w:r>
        <w:rPr>
          <w:rFonts w:ascii="Arial" w:hAnsi="Arial" w:eastAsia="黑体"/>
          <w:b/>
          <w:sz w:val="18"/>
        </w:rPr>
        <w:t>表 4　传统抗体命名后缀（旧方案）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后缀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含义</w:t>
            </w:r>
          </w:p>
        </w:tc>
        <w:tc>
          <w:tcPr>
            <w:tcW w:type="dxa" w:w="294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制备来源</w:t>
            </w:r>
          </w:p>
        </w:tc>
        <w:tc>
          <w:tcPr>
            <w:tcW w:type="dxa" w:w="294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代表药物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-umab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全人源（fully human）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8"/>
              </w:rPr>
              <w:t>转基因小鼠 / 噬菌体展示等全人源文库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8"/>
              </w:rPr>
              <w:t>Adalimumab、Nivolumab、Denosumab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-zumab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人源化（humanized）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8"/>
              </w:rPr>
              <w:t>CDR 移植（供体 CDR + 人源框架）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8"/>
              </w:rPr>
              <w:t>Trastuzumab、Bevacizumab、Pembrolizumab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-ximab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嵌合（chimeric）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8"/>
              </w:rPr>
              <w:t>鼠源 V 区 + 人源恒定区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8"/>
              </w:rPr>
              <w:t>Rituximab、Infliximab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-omab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鼠源（murine）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8"/>
              </w:rPr>
              <w:t>杂交瘤等传统技术，全鼠抗体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8"/>
              </w:rPr>
              <w:t>Muromonab-CD3</w:t>
            </w:r>
          </w:p>
        </w:tc>
      </w:tr>
    </w:tbl>
    <w:p>
      <w:pPr>
        <w:spacing w:after="40"/>
      </w:pPr>
    </w:p>
    <w:p>
      <w:pPr>
        <w:spacing w:after="120"/>
        <w:ind w:left="227"/>
      </w:pPr>
      <w:r>
        <w:rPr>
          <w:rFonts w:ascii="Times New Roman" w:hAnsi="Times New Roman" w:eastAsia="宋体"/>
          <w:b/>
          <w:color w:val="C00000"/>
          <w:sz w:val="21"/>
        </w:rPr>
        <w:t>【注意】</w:t>
      </w:r>
      <w:r>
        <w:rPr>
          <w:rFonts w:ascii="Times New Roman" w:hAnsi="Times New Roman" w:eastAsia="宋体"/>
          <w:sz w:val="21"/>
        </w:rPr>
        <w:t>后缀描述的是分子的来源类别（由申办方在申报中确定），不是按序列同源性百分比判定；表中含义用于解读历史药物名称。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2.3　2022 年 INN 新方案（按分子格式分类）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2021 年 10 月第 73 届 INN 例会决定：停用统一词干 -mab，改用四个按“分子格式”划分的新词干；首批采用新方案的名称见 Proposed INN List 126（WHO INN Working Document 22-542, 2022）。</w:t>
      </w:r>
    </w:p>
    <w:p>
      <w:pPr>
        <w:spacing w:before="120" w:after="40"/>
        <w:jc w:val="center"/>
      </w:pPr>
      <w:r>
        <w:rPr>
          <w:rFonts w:ascii="Arial" w:hAnsi="Arial" w:eastAsia="黑体"/>
          <w:b/>
          <w:sz w:val="18"/>
        </w:rPr>
        <w:t>表 5　2022 年 INN 抗体新词干（WHO 22-542）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词干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类别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定义要点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对应分子形式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-tug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unmodified immunoglobulins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8"/>
              </w:rPr>
              <w:t>单特异性全长免疫球蛋白，恒定区与天然序列一致（允许工程化聚糖、C 端 Lys 缺失）；涵盖天然、嵌合、人源化、全人源及骆驼科重链抗体。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天然 / 嵌合 / 人源化 / 全人源全长抗体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-bart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artificial immunoglobulins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8"/>
              </w:rPr>
              <w:t>单特异性全长免疫球蛋白，恒定区（含铰链）存在工程化氨基酸改变，如 IgG4 S-P 铰链、Fc 效应功能削弱、FcRn 结合改造、新糖基化位点等。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Fc 工程化 / 恒定区改造抗体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-ment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immunoglobulin fragments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8"/>
              </w:rPr>
              <w:t>不属于 -tug / -bart 的单特异性片段，至少含一个参与结合的可变结构域，恒定区可完整、部分或缺失（如 scFv、Fab、无 Fc 的 scFv-Fc 构建体）。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抗体片段 / 无 Fc 构建体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-mig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multi-specific immunoglobulins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8"/>
              </w:rPr>
              <w:t>双特异性及多特异性免疫球蛋白，不论格式（常规或工程化）、类型（全长或片段）或形态（是否带延伸）；不包含仅靠单一 CDR 组交叉反应的抗体。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双特异性 / 多特异性抗体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新方案在词干之前使用“靶点中缀（infix）”标示作用类别，例如 -ta-（肿瘤）、-ci-（心血管）、-ne-（神经）等：</w:t>
      </w:r>
    </w:p>
    <w:p>
      <w:pPr>
        <w:spacing w:before="120" w:after="40"/>
        <w:jc w:val="center"/>
      </w:pPr>
      <w:r>
        <w:rPr>
          <w:rFonts w:ascii="Arial" w:hAnsi="Arial" w:eastAsia="黑体"/>
          <w:b/>
          <w:sz w:val="18"/>
        </w:rPr>
        <w:t>表 6　2022 年新方案靶点中缀（节选）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blHeader w:val="true"/>
        </w:trPr>
        <w:tc>
          <w:tcPr>
            <w:tcW w:type="dxa" w:w="907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中缀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target class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中文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中缀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target class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中文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-ta-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tumour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肿瘤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-ci-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cardiovascular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心血管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-de-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metabolic / endocrine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代谢 / 内分泌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-eni-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enzyme inhibition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酶抑制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-gro-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growth factor (receptor)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生长因子（受体）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-ki-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cytokine (receptor)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细胞因子（受体）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-ne-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neural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神经系统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-os-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bone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骨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-vi-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viral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病毒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-ba-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bacterial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细菌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-fung-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fungal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真菌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-ler-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allergen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过敏原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-sto-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immunostimulatory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免疫刺激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-pru-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immunosuppressive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免疫抑制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-toxa-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toxin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毒素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-ami-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SAP / amyloidosis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血清淀粉样蛋白 / 淀粉样变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-vet-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veterinary use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兽用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imes New Roman" w:hAnsi="Times New Roman" w:eastAsia="宋体"/>
          <w:b w:val="0"/>
          <w:i w:val="0"/>
          <w:sz w:val="21"/>
        </w:rPr>
        <w:t>方案补充说明：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抗体药物偶联物（ADC）同样适用本方案，不额外添加后缀（名称第二词即表明为偶联物）。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若融合蛋白的另一结构域并非免疫球蛋白来源（如细胞因子融合），归 -fusp 等其他方案，不适用抗体词干。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同一 CDR 组介导的交叉反应（如 bimekizumab）不属于 -mig。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2.4　命名与序列同源性的关系（关键澄清）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INN / USAN 命名依据分子的来源与格式类别（由申办方在申请中申报的制备技术与序列构成），WHO / AMA 不按序列同源性百分比分配后缀。因此：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sz w:val="21"/>
        </w:rPr>
        <w:t>拿到一个已获批药物名称，按 2.2 / 2.3 节解读其来源或格式类别；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sz w:val="21"/>
        </w:rPr>
        <w:t>只有序列、没有工艺信息时，可用 3.5 节的阈值给出“估计类别”，并明确标注为学术估计；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sz w:val="21"/>
        </w:rPr>
        <w:t>对外表述时始终区分“官方命名”与“学术估计”，避免写成“根据 FR 同源性被命名为 …”。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3　人源化程度评估方法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3.1　重链与轻链分别评估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sz w:val="21"/>
        </w:rPr>
        <w:t>VH 与 VL 必须分别评估、分别报告：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重链与轻链可能匹配不同的 germline 基因；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两条链的人源化程度通常不同，合并平均会掩盖短板；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文献与行业报告普遍分链给出 FR / CDR 同源性。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3.2　CDR 分区定义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推荐使用 IMGT 编号（Lefranc 2003）。IMGT 的关键性质：VH 与 VL 使用完全相同的区域边界；Kabat 编号下 VH 与 VL 的边界不同，引用时必须注明体系。</w:t>
      </w:r>
    </w:p>
    <w:p>
      <w:pPr>
        <w:spacing w:before="120" w:after="40"/>
        <w:jc w:val="center"/>
      </w:pPr>
      <w:r>
        <w:rPr>
          <w:rFonts w:ascii="Arial" w:hAnsi="Arial" w:eastAsia="黑体"/>
          <w:b/>
          <w:sz w:val="18"/>
        </w:rPr>
        <w:t>表 7　CDR 边界：IMGT 与 Kabat 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47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CDR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IMGT 位置</w:t>
            </w:r>
          </w:p>
        </w:tc>
        <w:tc>
          <w:tcPr>
            <w:tcW w:type="dxa" w:w="260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Kabat 位置（VH / VL）</w:t>
            </w:r>
          </w:p>
        </w:tc>
        <w:tc>
          <w:tcPr>
            <w:tcW w:type="dxa" w:w="3061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本管线建议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CDR-H1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27-38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31-35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IMGT ✓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CDR-H2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56-65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50-65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IMGT ✓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CDR-H3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105-117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95-102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IMGT ✓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CDR-L1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27-38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24-34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IMGT ✓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CDR-L2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56-65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50-56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IMGT ✓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CDR-L3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105-117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89-97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IMGT ✓</w:t>
            </w:r>
          </w:p>
        </w:tc>
      </w:tr>
    </w:tbl>
    <w:p>
      <w:pPr>
        <w:spacing w:after="40"/>
      </w:pPr>
    </w:p>
    <w:p>
      <w:pPr>
        <w:spacing w:after="120"/>
        <w:ind w:left="227"/>
      </w:pPr>
      <w:r>
        <w:rPr>
          <w:rFonts w:ascii="Times New Roman" w:hAnsi="Times New Roman" w:eastAsia="宋体"/>
          <w:b/>
          <w:color w:val="C00000"/>
          <w:sz w:val="21"/>
        </w:rPr>
        <w:t>【更正说明】</w:t>
      </w:r>
      <w:r>
        <w:rPr>
          <w:rFonts w:ascii="Times New Roman" w:hAnsi="Times New Roman" w:eastAsia="宋体"/>
          <w:sz w:val="21"/>
        </w:rPr>
        <w:t>旧版指南曾将 IMGT CDR-H1 写为 26-35、将轻链 IMGT 边界写成 Kabat 数值；正确值为 IMGT CDR1 = 27-38（VH/VL 相同）。本文与 scripts/humanize/imgt_numbering.py 的 IMGT_REGIONS 一致。</w:t>
      </w:r>
    </w:p>
    <w:p>
      <w:pPr>
        <w:pStyle w:val="Quote"/>
      </w:pPr>
      <w:r>
        <w:rPr>
          <w:rFonts w:ascii="Times New Roman" w:hAnsi="Times New Roman" w:eastAsia="宋体"/>
          <w:sz w:val="21"/>
        </w:rPr>
        <w:t>“CDR 定义采用 IMGT 编号系统 (Lefranc, 2003)。”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3.3　评估区域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本管线的评估区域为 FR1 + FR2 + FR3（IMGT 1-26 / 39-55 / 66-104），排除 CDR3 与 FR4：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CDR3 由供体移植而来，且长度多变，计入会稀释框架同源性；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FR4 由人 J 基因编码（如 IGHJ1-6），天然高度保守，对区分人源化来源贡献很小；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IMGT 评估集合 = FR1 + CDR1 + FR2 + CDR2 + FR3（参见 imgt_numbering.py 的 IMGT_EVAL_REGIONS）。</w:t>
      </w:r>
    </w:p>
    <w:p>
      <w:pPr>
        <w:spacing w:after="120"/>
        <w:ind w:left="227"/>
      </w:pPr>
      <w:r>
        <w:rPr>
          <w:rFonts w:ascii="Times New Roman" w:hAnsi="Times New Roman" w:eastAsia="宋体"/>
          <w:b/>
          <w:color w:val="C00000"/>
          <w:sz w:val="21"/>
        </w:rPr>
        <w:t>【定位】</w:t>
      </w:r>
      <w:r>
        <w:rPr>
          <w:rFonts w:ascii="Times New Roman" w:hAnsi="Times New Roman" w:eastAsia="宋体"/>
          <w:sz w:val="21"/>
        </w:rPr>
        <w:t>上述区域划分是学术与行业报告的通行惯例（便于跨文献比较），并非 USAN / INN 的官方规定——命名不基于该百分比。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3.4　计算定义</w:t>
      </w:r>
    </w:p>
    <w:p>
      <w:pPr>
        <w:pStyle w:val="Quote"/>
      </w:pPr>
      <w:r>
        <w:rPr>
          <w:rFonts w:ascii="Times New Roman" w:hAnsi="Times New Roman" w:eastAsia="宋体"/>
          <w:sz w:val="21"/>
        </w:rPr>
        <w:t>FR 同源性 = FR1+FR2+FR3 中相同残基之和 / FR1+FR2+FR3 中可比较残基总数</w:t>
      </w:r>
    </w:p>
    <w:p>
      <w:pPr>
        <w:pStyle w:val="Quote"/>
      </w:pPr>
      <w:r>
        <w:rPr>
          <w:rFonts w:ascii="Times New Roman" w:hAnsi="Times New Roman" w:eastAsia="宋体"/>
          <w:sz w:val="21"/>
        </w:rPr>
        <w:t>CDR 同源性 = CDR1+CDR2 中相同残基之和 / CDR1+CDR2 中可比较残基总数（不含 CDR3）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实现细节（与 scripts/humanize/imgt_numbering.py 的 compare_imgt_posmaps_direct 一致）：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仅对查询序列与 germline 同时存在的位置计数；单侧残基（query-only / germline-only）作为覆盖度诊断单独报告，不进入分母；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germline 为缺口（-）的位置跳过；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IMGT 编号下 VH / VL 区域边界相同，故 FR / CDR 统计口径两链一致。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3.5　学术近似阈值（非官方）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仅当无法获知制备工艺时，可用下表按 FR 同源性给出“估计类别”。对外表述必须附带估计字样：</w:t>
      </w:r>
    </w:p>
    <w:p>
      <w:pPr>
        <w:spacing w:before="120" w:after="40"/>
        <w:jc w:val="center"/>
      </w:pPr>
      <w:r>
        <w:rPr>
          <w:rFonts w:ascii="Arial" w:hAnsi="Arial" w:eastAsia="黑体"/>
          <w:b/>
          <w:sz w:val="18"/>
        </w:rPr>
        <w:t>表 8　学术近似阈值（依据 FR 同源性，IMGT）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FR 同源性</w:t>
            </w:r>
          </w:p>
        </w:tc>
        <w:tc>
          <w:tcPr>
            <w:tcW w:type="dxa" w:w="2041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估计类别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对应旧后缀</w:t>
            </w:r>
          </w:p>
        </w:tc>
        <w:tc>
          <w:tcPr>
            <w:tcW w:type="dxa" w:w="328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典型来源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FR 同源性 ≥ 95%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likely fully-human-like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全人源（-umab）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转基因小鼠 / 全人源文库筛选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85% ≤ FR 同源性 &lt; 95%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likely humanized-like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人源化（-zumab）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CDR 移植 + 回复突变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70% ≤ FR 同源性 &lt; 85%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likely chimeric-like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嵌合（-ximab）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鼠 V 区 + 人 C 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FR 同源性 &lt; 70%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likely murine-like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鼠源（-omab）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全鼠抗体</w:t>
            </w:r>
          </w:p>
        </w:tc>
      </w:tr>
    </w:tbl>
    <w:p>
      <w:pPr>
        <w:spacing w:after="40"/>
      </w:pPr>
    </w:p>
    <w:p>
      <w:pPr>
        <w:spacing w:after="120"/>
        <w:ind w:left="227"/>
      </w:pPr>
      <w:r>
        <w:rPr>
          <w:rFonts w:ascii="Times New Roman" w:hAnsi="Times New Roman" w:eastAsia="宋体"/>
          <w:b/>
          <w:color w:val="C00000"/>
          <w:sz w:val="21"/>
        </w:rPr>
        <w:t>【口径说明】</w:t>
      </w:r>
      <w:r>
        <w:rPr>
          <w:rFonts w:ascii="Times New Roman" w:hAnsi="Times New Roman" w:eastAsia="宋体"/>
          <w:sz w:val="21"/>
        </w:rPr>
        <w:t>tools/humanness_score 按上表四档输出“Academic: likely …”标签；humanization_result.json 的 usan_naming_class 采用简化的 85 / 70 两档（≥0.85 Humanized、≥0.70 Chimeric、其余 Murine）。两者均为学术估计，不是官方命名。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示例（规范写法）：</w:t>
      </w:r>
    </w:p>
    <w:p>
      <w:pPr>
        <w:pStyle w:val="Quote"/>
      </w:pPr>
      <w:r>
        <w:rPr>
          <w:rFonts w:ascii="Times New Roman" w:hAnsi="Times New Roman" w:eastAsia="宋体"/>
          <w:sz w:val="21"/>
        </w:rPr>
        <w:t>“该抗体采用 CDR 移植技术人源化；基于 IMGT 编号，重链 FR 同源性 85.2%、轻链 FR 同源性 92.3%（均为与最匹配人 germline 的比较）。按学术惯例，该序列与人源化类别一致；具体命名以制备技术申报及 WHO / AMA 审定为准。”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4　编号体系：IMGT 与 Kabat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4.1　历史背景</w:t>
      </w:r>
    </w:p>
    <w:p>
      <w:pPr>
        <w:spacing w:before="120" w:after="40"/>
        <w:jc w:val="center"/>
      </w:pPr>
      <w:r>
        <w:rPr>
          <w:rFonts w:ascii="Arial" w:hAnsi="Arial" w:eastAsia="黑体"/>
          <w:b/>
          <w:sz w:val="18"/>
        </w:rPr>
        <w:t>表 9　两种主要编号体系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361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体系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创建时间</w:t>
            </w:r>
          </w:p>
        </w:tc>
        <w:tc>
          <w:tcPr>
            <w:tcW w:type="dxa" w:w="249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创建者</w:t>
            </w:r>
          </w:p>
        </w:tc>
        <w:tc>
          <w:tcPr>
            <w:tcW w:type="dxa" w:w="3515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初始目的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Kabat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1979 / 1991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Elvin Kabat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8"/>
              </w:rPr>
              <w:t>序列比对与结构研究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IMGT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1989 / 2003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Marie-Paule Lefranc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8"/>
              </w:rPr>
              <w:t>免疫遗传学数据库标准化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4.2　核心差异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Kabat：CDR 边界基于序列可变性；VH 与 VL 边界不同；插入用字母编码（如 H52A、H100B）。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IMGT：CDR 边界基于结构；VH 与 VL 使用相同位置定义；通过顶部缺口处理长度变化，CDR3 可延伸至 117 之后。</w:t>
      </w:r>
    </w:p>
    <w:p>
      <w:pPr>
        <w:spacing w:before="120" w:after="40"/>
        <w:jc w:val="center"/>
      </w:pPr>
      <w:r>
        <w:rPr>
          <w:rFonts w:ascii="Arial" w:hAnsi="Arial" w:eastAsia="黑体"/>
          <w:b/>
          <w:sz w:val="18"/>
        </w:rPr>
        <w:t>表 10　IMGT 区域边界速查（VH = VL）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区域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IMGT 位置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区域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IMGT 位置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区域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IMGT 位置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FR1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1-26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CDR1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27-38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FR2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39-55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CDR2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56-65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FR3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66-104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CDR3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105-117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FR4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118-128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4.3　评估与工程化如何选择体系</w:t>
      </w:r>
    </w:p>
    <w:p>
      <w:pPr>
        <w:spacing w:before="120" w:after="40"/>
        <w:jc w:val="center"/>
      </w:pPr>
      <w:r>
        <w:rPr>
          <w:rFonts w:ascii="Arial" w:hAnsi="Arial" w:eastAsia="黑体"/>
          <w:b/>
          <w:sz w:val="18"/>
        </w:rPr>
        <w:t>表 11　编号体系选择建议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294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用途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建议体系</w:t>
            </w:r>
          </w:p>
        </w:tc>
        <w:tc>
          <w:tcPr>
            <w:tcW w:type="dxa" w:w="328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理由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8"/>
              </w:rPr>
              <w:t>人源化程度评估 / 跨文献比较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IMGT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编号统一、数据库与多数文献采用，便于复核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8"/>
              </w:rPr>
              <w:t>CDR 移植 / 回复突变设计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Kabat（或与实验记录一致的体系）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结构文献与历史工程数据以 Kabat 为主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8"/>
              </w:rPr>
              <w:t>亲和力成熟位点标注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与既有实验记录一致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保持突变体与历史数据可对照</w:t>
            </w:r>
          </w:p>
        </w:tc>
      </w:tr>
    </w:tbl>
    <w:p>
      <w:pPr>
        <w:spacing w:after="40"/>
      </w:pPr>
    </w:p>
    <w:p>
      <w:pPr>
        <w:spacing w:after="120"/>
        <w:ind w:left="227"/>
      </w:pPr>
      <w:r>
        <w:rPr>
          <w:rFonts w:ascii="Times New Roman" w:hAnsi="Times New Roman" w:eastAsia="宋体"/>
          <w:b/>
          <w:color w:val="C00000"/>
          <w:sz w:val="21"/>
        </w:rPr>
        <w:t>【重要】</w:t>
      </w:r>
      <w:r>
        <w:rPr>
          <w:rFonts w:ascii="Times New Roman" w:hAnsi="Times New Roman" w:eastAsia="宋体"/>
          <w:sz w:val="21"/>
        </w:rPr>
        <w:t>同一份结果中不要混用体系；跨体系引用时给出换算表。本管线 IMGT 模式（--numbering imgt）要求 ANARCI；Kabat 模式为便携默认。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本管线工作流：评估用 IMGT（标准化、便于比较），工程化标注用与实验记录一致的编号；两者互补，报告中必须注明各自体系。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5　论文与报告撰写规范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5.1　命名与同源性的表述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sz w:val="21"/>
        </w:rPr>
        <w:t>推荐句式（中文）：</w:t>
      </w:r>
    </w:p>
    <w:p>
      <w:pPr>
        <w:pStyle w:val="Quote"/>
      </w:pPr>
      <w:r>
        <w:rPr>
          <w:rFonts w:ascii="Times New Roman" w:hAnsi="Times New Roman" w:eastAsia="宋体"/>
          <w:sz w:val="21"/>
        </w:rPr>
        <w:t>摘要：“该抗体采用 CDR 移植技术人源化。基于 IMGT 编号系统 (Lefranc, 2003)，与最匹配人 germline 比较，重链 FR 同源性为 85.2%，轻链 FR 同源性为 92.3%。命名后缀依据制备技术（WHO / INN 标准）确定。”</w:t>
      </w:r>
    </w:p>
    <w:p>
      <w:pPr>
        <w:pStyle w:val="Quote"/>
      </w:pPr>
      <w:r>
        <w:rPr>
          <w:rFonts w:ascii="Times New Roman" w:hAnsi="Times New Roman" w:eastAsia="宋体"/>
          <w:sz w:val="21"/>
        </w:rPr>
        <w:t>方法：“人源化程度评估采用 IMGT 编号系统 (Lefranc, 2003)。FR 同源性定义为 FR1+FR2+FR3（排除 CDR3 与 FR4）中与人 germline 相同残基占可比较残基的比例；仅序列、无工艺信息时给出的类别为学术估计（≥95% fully-human-like，≥85% humanized-like，≥70% chimeric-like）。命名依据 WHO / INN 制备技术与格式标准。”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sz w:val="21"/>
        </w:rPr>
        <w:t>推荐句式（English）：</w:t>
      </w:r>
    </w:p>
    <w:p>
      <w:pPr>
        <w:pStyle w:val="Quote"/>
      </w:pPr>
      <w:r>
        <w:rPr>
          <w:rFonts w:ascii="Times New Roman" w:hAnsi="Times New Roman" w:eastAsia="宋体"/>
          <w:sz w:val="21"/>
        </w:rPr>
        <w:t>"The antibody was humanized by CDR grafting. Framework region (FR1+FR2+FR3, CDR3 and FR4 excluded) identity to the best-matching human germline was 85.2% (VH) and 92.3% (VL) using IMGT numbering (Lefranc, 2003). INN/USAN suffix assignment follows the WHO nomenclature scheme based on the manufacturing route and molecular format."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sz w:val="21"/>
        </w:rPr>
        <w:t>避免的写法：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“根据 FR 同源性 ≥85%，该抗体被命名为人源化抗体（-zumab）。”——命名不基于百分比。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“USAN / FDA 要求 FR 同源性达到 85%。”——不存在该官方阈值。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不注明编号体系就给出同源性百分比。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5.2　结果表模板</w:t>
      </w:r>
    </w:p>
    <w:p>
      <w:pPr>
        <w:spacing w:before="120" w:after="40"/>
        <w:jc w:val="center"/>
      </w:pPr>
      <w:r>
        <w:rPr>
          <w:rFonts w:ascii="Arial" w:hAnsi="Arial" w:eastAsia="黑体"/>
          <w:b/>
          <w:sz w:val="18"/>
        </w:rPr>
        <w:t>表 12　人源化评估结果表示例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79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链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Germline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FR 同源性 (IMGT)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CDR 同源性 (IMGT)</w:t>
            </w:r>
          </w:p>
        </w:tc>
        <w:tc>
          <w:tcPr>
            <w:tcW w:type="dxa" w:w="249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人源化程度（学术估计）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VH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IGHV1-46*01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85.2%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62.5%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humanized-like（-zumab 一致）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VL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IGKV1-39*01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92.3%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78.9%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humanized-like（-zumab 一致）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表注应包含：编号体系、评估区域（FR1+FR2+FR3；CDR1+CDR2）、germline 数据来源与版本、类别为学术估计的声明。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5.3　补充评估维度（可选）</w:t>
      </w:r>
    </w:p>
    <w:p>
      <w:pPr>
        <w:spacing w:before="120" w:after="40"/>
        <w:jc w:val="center"/>
      </w:pPr>
      <w:r>
        <w:rPr>
          <w:rFonts w:ascii="Arial" w:hAnsi="Arial" w:eastAsia="黑体"/>
          <w:b/>
          <w:sz w:val="18"/>
        </w:rPr>
        <w:t>表 13　补充评估维度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评估维度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方法 / 来源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CVI 同源性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8"/>
              </w:rPr>
              <w:t>Boehringer Ingelheim, JBC 2024；本管线 config.py 位置集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8"/>
              </w:rPr>
              <w:t>canonical + vernier + interface 残基同源性，与表达量 / 亲和力保留相关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Germline 使用频率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8"/>
              </w:rPr>
              <w:t>治疗性抗体使用统计（Adimab / OAS 风格；本管线 germline_frequency 模块）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8"/>
              </w:rPr>
              <w:t>已获批与临床阶段抗体中的 V 基因使用比例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结构验证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8"/>
              </w:rPr>
              <w:t>AF3 / 晶体结构；Kabsch 叠加后 CDR RMSD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8"/>
              </w:rPr>
              <w:t>埋藏性与接触分析，指导回复突变分级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6　已获批抗体分类实例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下表按旧方案后缀归类（-umab 全人源 / -zumab 人源化）。注意：部分公众熟知的药物常被误列为“全人源”，其后缀实际为人源化。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6.1　全人源（后缀 -umab）</w:t>
      </w:r>
    </w:p>
    <w:p>
      <w:pPr>
        <w:spacing w:before="120" w:after="40"/>
        <w:jc w:val="center"/>
      </w:pPr>
      <w:r>
        <w:rPr>
          <w:rFonts w:ascii="Arial" w:hAnsi="Arial" w:eastAsia="黑体"/>
          <w:b/>
          <w:sz w:val="18"/>
        </w:rPr>
        <w:t>表 14　已批准的全人源抗体（-umab）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药物</w:t>
            </w:r>
          </w:p>
        </w:tc>
        <w:tc>
          <w:tcPr>
            <w:tcW w:type="dxa" w:w="1361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靶点</w:t>
            </w:r>
          </w:p>
        </w:tc>
        <w:tc>
          <w:tcPr>
            <w:tcW w:type="dxa" w:w="2041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适应症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获批年份</w:t>
            </w:r>
          </w:p>
        </w:tc>
        <w:tc>
          <w:tcPr>
            <w:tcW w:type="dxa" w:w="260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制备技术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Adalimumab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TNF-α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类风湿关节炎等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2002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噬菌体展示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Nivolumab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PD-1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黑色素瘤等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2014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转基因小鼠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Denosumab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RANKL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骨质疏松 / 骨转移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2010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转基因小鼠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Avelumab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PD-L1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Merkel 细胞癌等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2017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转基因小鼠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6.2　人源化（后缀 -zumab）——易混淆对照</w:t>
      </w:r>
    </w:p>
    <w:p>
      <w:pPr>
        <w:spacing w:before="120" w:after="40"/>
        <w:jc w:val="center"/>
      </w:pPr>
      <w:r>
        <w:rPr>
          <w:rFonts w:ascii="Arial" w:hAnsi="Arial" w:eastAsia="黑体"/>
          <w:b/>
          <w:sz w:val="18"/>
        </w:rPr>
        <w:t>表 15　已批准的人源化抗体（-zumab，含常被误列者）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药物</w:t>
            </w:r>
          </w:p>
        </w:tc>
        <w:tc>
          <w:tcPr>
            <w:tcW w:type="dxa" w:w="1361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靶点</w:t>
            </w:r>
          </w:p>
        </w:tc>
        <w:tc>
          <w:tcPr>
            <w:tcW w:type="dxa" w:w="2041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适应症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获批年份</w:t>
            </w:r>
          </w:p>
        </w:tc>
        <w:tc>
          <w:tcPr>
            <w:tcW w:type="dxa" w:w="260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制备技术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Trastuzumab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HER2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乳腺癌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1998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CDR 移植（鼠源 4D5）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Bevacizumab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VEGF-A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结直肠癌等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2004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CDR 移植（鼠源 A4.6.1）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Natalizumab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α4 整合素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多发性硬化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2004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CDR 移植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Pembrolizumab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PD-1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黑色素瘤等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2014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人源化（平台信息见原研方披露）</w:t>
            </w:r>
          </w:p>
        </w:tc>
      </w:tr>
    </w:tbl>
    <w:p>
      <w:pPr>
        <w:spacing w:after="40"/>
      </w:pPr>
    </w:p>
    <w:p>
      <w:pPr>
        <w:spacing w:after="120"/>
        <w:ind w:left="227"/>
      </w:pPr>
      <w:r>
        <w:rPr>
          <w:rFonts w:ascii="Times New Roman" w:hAnsi="Times New Roman" w:eastAsia="宋体"/>
          <w:b/>
          <w:color w:val="C00000"/>
          <w:sz w:val="21"/>
        </w:rPr>
        <w:t>【易错点】</w:t>
      </w:r>
      <w:r>
        <w:rPr>
          <w:rFonts w:ascii="Times New Roman" w:hAnsi="Times New Roman" w:eastAsia="宋体"/>
          <w:sz w:val="21"/>
        </w:rPr>
        <w:t>Natalizumab、Pembrolizumab、Atezolizumab 的后缀均为 -zumab，属于人源化抗体，不应列入“全人源”表格。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6.3　四类抗体对比</w:t>
      </w:r>
    </w:p>
    <w:p>
      <w:pPr>
        <w:spacing w:before="120" w:after="40"/>
        <w:jc w:val="center"/>
      </w:pPr>
      <w:r>
        <w:rPr>
          <w:rFonts w:ascii="Arial" w:hAnsi="Arial" w:eastAsia="黑体"/>
          <w:b/>
          <w:sz w:val="18"/>
        </w:rPr>
        <w:t>表 16　四类抗体特征对比（典型值，个体差异大）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方面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鼠源 (-omab)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嵌合 (-ximab)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人源化 (-zumab)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全人源 (-umab)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V 区来源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鼠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鼠 V 区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人框架 + 鼠 CDR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人抗体库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典型 FR 同源性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&lt; 70%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70-85%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85-95%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≥ 95%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典型 CDR 同源性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低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低-中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中（供体 CDR）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免疫原性风险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高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低-中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代表药物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Muromonab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Rituximab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Trastuzumab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Adalimumab</w:t>
            </w:r>
          </w:p>
        </w:tc>
      </w:tr>
    </w:tbl>
    <w:p>
      <w:pPr>
        <w:spacing w:after="40"/>
      </w:pPr>
    </w:p>
    <w:p>
      <w:pPr>
        <w:spacing w:after="120"/>
        <w:ind w:left="227"/>
      </w:pPr>
      <w:r>
        <w:rPr>
          <w:rFonts w:ascii="Times New Roman" w:hAnsi="Times New Roman" w:eastAsia="宋体"/>
          <w:b/>
          <w:color w:val="C00000"/>
          <w:sz w:val="21"/>
        </w:rPr>
        <w:t>【说明】</w:t>
      </w:r>
      <w:r>
        <w:rPr>
          <w:rFonts w:ascii="Times New Roman" w:hAnsi="Times New Roman" w:eastAsia="宋体"/>
          <w:sz w:val="21"/>
        </w:rPr>
        <w:t>FR / CDR 同源性为常见范围，仅用于定性对照；免疫原性还取决于具体残基、暴露程度与个体差异，需实测或工具评估（如本管线 immunogenicity 模块）。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7　本管线输出与本指南的对应关系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本指南是本仓库工具链的文字标准；下表把流水线产物映射到相应章节，便于复核。</w:t>
      </w:r>
    </w:p>
    <w:p>
      <w:pPr>
        <w:spacing w:before="120" w:after="40"/>
        <w:jc w:val="center"/>
      </w:pPr>
      <w:r>
        <w:rPr>
          <w:rFonts w:ascii="Arial" w:hAnsi="Arial" w:eastAsia="黑体"/>
          <w:b/>
          <w:sz w:val="18"/>
        </w:rPr>
        <w:t>表 17　本管线输出映射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产物 / 字段</w:t>
            </w:r>
          </w:p>
        </w:tc>
        <w:tc>
          <w:tcPr>
            <w:tcW w:type="dxa" w:w="4309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含义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对应章节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germline_imgt.fr_identity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FR 同源性（IMGT，FR1+FR2+FR3）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§3.4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germline_imgt.cdr_identity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CDR 同源性（IMGT，CDR1+CDR2，不含 CDR3）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§3.4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germline_imgt.all_identity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合并同源性（FR1+CDR1+FR2+CDR2+FR3）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§3.4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germline_imgt.usan_naming_class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学术估计标签（JSON 简化为 85 / 70 两档）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§3.5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cvi_homology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CVI 残基同源性（BI 2024；本管线 config.py 位置集）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§5.3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backmutations / variants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回复突变位点与 V0-V3 变体序列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§1.1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tools/humanness_score 输出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同源性 + 四档学术分级（95 / 85 / 70）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§3.5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imes New Roman" w:hAnsi="Times New Roman" w:eastAsia="宋体"/>
          <w:b w:val="0"/>
          <w:i w:val="0"/>
          <w:sz w:val="21"/>
        </w:rPr>
        <w:t>标准命令：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同源性与命名估计（独立工具）：python3 tools/humanness_score/evaluate_humanness.py --input &lt;fasta&gt;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完整人源化流水线：python3 scripts/humanize/cli.py run --input &lt;fasta&gt; --outdir outputs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策略对比（Step 1）：python3 scripts/humanize/cli.py compare --input &lt;fasta&gt;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8　参考文献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  <w:sz w:val="19"/>
        </w:rPr>
        <w:t>[1]　World Health Organization. International Nonproprietary Names (INN) for Biological Products. WHO, Geneva.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  <w:sz w:val="19"/>
        </w:rPr>
        <w:t>[2]　World Health Organization. New INN monoclonal antibody (mAb) nomenclature scheme. INN Working Document 22-542, May 2022.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  <w:sz w:val="19"/>
        </w:rPr>
        <w:t>[3]　Lefranc M-P. IMGT unique numbering for immunoglobulin and T cell receptor variable domains and Ig superfamily V-like domains. Dev Comp Immunol. 2003;27(1):55-77.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  <w:sz w:val="19"/>
        </w:rPr>
        <w:t>[4]　Lefranc M-P, et al. IMGT, the international ImMunoGeneTics database. Nucleic Acids Res. 1999;27(1):209-212.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  <w:sz w:val="19"/>
        </w:rPr>
        <w:t>[5]　Kabat EA, Wu TT, Perry HM, Gottesman KS, Foeller C. Sequences of Proteins of Immunological Interest. 5th ed. NIH Publication No. 91-3242, 1991.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  <w:sz w:val="19"/>
        </w:rPr>
        <w:t>[6]　Chothia C, Lesk AM, Tramontano A, et al. Conformations of immunoglobulin hypervariable regions. Nature. 1989;342(6245):877-883.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  <w:sz w:val="19"/>
        </w:rPr>
        <w:t>[7]　Chothia C, Lesk AM. Canonical structures for the hypervariable regions of immunoglobulins. J Mol Biol. 1987;196(4):901-917.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  <w:sz w:val="19"/>
        </w:rPr>
        <w:t>[8]　Al-Lazikani B, Lesk AM, Chothia C. Standard conformations for the canonical structures of immunoglobulins. J Mol Biol. 1997;273(4):927-948.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  <w:sz w:val="19"/>
        </w:rPr>
        <w:t>[9]　Foote J, Winter G. Antibody framework residues affecting the conformation of the hypervariable loops. J Mol Biol. 1992;224(2):487-499.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  <w:sz w:val="19"/>
        </w:rPr>
        <w:t>[10]　Chothia C, et al. Residues in the VH/VL packing interface. J Mol Biol. 1985;186(3):651-663.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  <w:sz w:val="19"/>
        </w:rPr>
        <w:t>[11]　Vargas-Madrazo E, Paz-Garcia E. An extended structural analysis of antibody-antigen complexes. J Mol Biol. 2003;330(4):783-798.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  <w:sz w:val="19"/>
        </w:rPr>
        <w:t>[12]　Meaney A, et al. Vernier, canonical and interface residues are functionally constrained. MAbs. 2024.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  <w:sz w:val="19"/>
        </w:rPr>
        <w:t>[13]　Boehringer Ingelheim. Framework-matrix transplantation and the CVI homology metric. J Biol Chem. 2024;300:105555.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附录 A　IMGT / Kabat 边界速查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IMGT（VH 与 VL 相同）：FR1 1-26；CDR1 27-38；FR2 39-55；CDR2 56-65；FR3 66-104；CDR3 105-117（可延伸）；FR4 118-128。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Kabat VH：FR1 1-30；CDR1 31-35；FR2 36-49；CDR2 50-65；FR3 66-94；CDR3 95-102；FR4 103-113。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Kabat VL：FR1 1-23；CDR1 24-34；FR2 35-49；CDR2 50-56；FR3 57-88；CDR3 89-97；FR4 98-107。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实现位置：IMGT_REGIONS / KABAT_VH_REGIONS / KABAT_VL_REGIONS 定义于 scripts/humanize/imgt_numbering.py；评估集合 IMGT_EVAL_REGIONS = FR1+CDR1+FR2+CDR2+FR3（排除 CDR3 与 FR4）。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sz w:val="21"/>
        </w:rPr>
        <w:t>生成信息：本文件由 tools/usan/generate_usan_report.py 生成；内容如需修订，请修改该脚本后重新生成，避免直接编辑 .docx。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6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/>
        <w:color w:val="808080"/>
        <w:sz w:val="21"/>
      </w:rPr>
      <w:t>更新域后显示</w:t>
    </w:r>
    <w:r>
      <w:fldChar w:fldCharType="end"/>
    </w:r>
    <w:r>
      <w:rPr>
        <w:rFonts w:ascii="Times New Roman" w:hAnsi="Times New Roman" w:eastAsia="宋体"/>
        <w:color w:val="808080"/>
        <w:sz w:val="16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宋体"/>
        <w:color w:val="808080"/>
        <w:sz w:val="21"/>
      </w:rPr>
      <w:t>更新域后显示</w:t>
    </w:r>
    <w:r>
      <w:fldChar w:fldCharType="end"/>
    </w:r>
    <w:r>
      <w:rPr>
        <w:rFonts w:ascii="Times New Roman" w:hAnsi="Times New Roman" w:eastAsia="宋体"/>
        <w:color w:val="8080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color w:val="808080"/>
        <w:sz w:val="16"/>
      </w:rPr>
      <w:t>抗体人源化评估标准指南（USAN / WHO INN）　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抗体人源化评估标准指南（USAN / WHO INN）</dc:title>
  <dc:subject>抗体人源化程度评估、USAN/INN 命名解读与报告撰写规范</dc:subject>
  <dc:creator>humanization pipeline</dc:creator>
  <cp:keywords>USAN; WHO INN; antibody humanization; IMGT; Kabat; CDR grafting</cp:keywords>
  <dc:description>Document ID USAN-GUIDE-001, version v2.0; generated by tools/usan/generate_usan_report.py</dc:description>
  <cp:lastModifiedBy>humanization pipeline</cp:lastModifiedBy>
  <cp:revision>2</cp:revision>
  <dcterms:created xsi:type="dcterms:W3CDTF">2026-10-29T00:00:00Z</dcterms:created>
  <dcterms:modified xsi:type="dcterms:W3CDTF">2026-10-29T00:00:00Z</dcterms:modified>
  <cp:category>standard guide</cp:category>
</cp:coreProperties>
</file>