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抗体人源化评估标准指南</w:t>
      </w:r>
    </w:p>
    <w:p>
      <w:pPr>
        <w:jc w:val="center"/>
      </w:pPr>
      <w:r>
        <w:rPr>
          <w:color w:val="666666"/>
          <w:sz w:val="28"/>
        </w:rPr>
        <w:t>基于 USAN/WHO 标准和 IMGT 编号系统</w:t>
      </w:r>
    </w:p>
    <w:p/>
    <w:p>
      <w:pPr>
        <w:pStyle w:val="Heading1"/>
      </w:pPr>
      <w:r>
        <w:t>1. USAN 标准简介</w:t>
      </w:r>
    </w:p>
    <w:p>
      <w:pPr>
        <w:pStyle w:val="Heading2"/>
      </w:pPr>
      <w:r>
        <w:t>1.1 什么是 USAN</w:t>
      </w:r>
    </w:p>
    <w:p>
      <w:r>
        <w:t>USAN (United States Adopted Name) 是美国采用名称系统，由美国医学协会 (AMA) 和美国药典 (USP) 联合管理。对于治疗性抗体，USAN 制定了命名规则，其中包含了人源化程度的评估标准。</w:t>
      </w:r>
    </w:p>
    <w:p>
      <w:pPr>
        <w:pStyle w:val="Heading2"/>
      </w:pPr>
      <w:r>
        <w:t>1.2 USAN 抗体命名规则</w:t>
      </w:r>
    </w:p>
    <w:p>
      <w:r>
        <w:t>重要说明：USAN/INN 命名后缀是根据抗体的制备技术分配的，不是根据序列同源性百分比。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命名后缀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人源化程度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制备技术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2160"/>
          </w:tcPr>
          <w:p>
            <w:r>
              <w:t>-umab/-tug</w:t>
            </w:r>
          </w:p>
        </w:tc>
        <w:tc>
          <w:tcPr>
            <w:tcW w:type="dxa" w:w="2160"/>
          </w:tcPr>
          <w:p>
            <w:r>
              <w:t>全人源 (Fully Human)</w:t>
            </w:r>
          </w:p>
        </w:tc>
        <w:tc>
          <w:tcPr>
            <w:tcW w:type="dxa" w:w="2160"/>
          </w:tcPr>
          <w:p>
            <w:r>
              <w:t>转基因小鼠、噬菌体展示</w:t>
            </w:r>
          </w:p>
        </w:tc>
        <w:tc>
          <w:tcPr>
            <w:tcW w:type="dxa" w:w="2160"/>
          </w:tcPr>
          <w:p>
            <w:r>
              <w:t>Adalimumab (阿达木单抗)</w:t>
            </w:r>
          </w:p>
        </w:tc>
      </w:tr>
      <w:tr>
        <w:tc>
          <w:tcPr>
            <w:tcW w:type="dxa" w:w="2160"/>
          </w:tcPr>
          <w:p>
            <w:r>
              <w:t>-zumab/-zug</w:t>
            </w:r>
          </w:p>
        </w:tc>
        <w:tc>
          <w:tcPr>
            <w:tcW w:type="dxa" w:w="2160"/>
          </w:tcPr>
          <w:p>
            <w:r>
              <w:t>人源化 (Humanized)</w:t>
            </w:r>
          </w:p>
        </w:tc>
        <w:tc>
          <w:tcPr>
            <w:tcW w:type="dxa" w:w="2160"/>
          </w:tcPr>
          <w:p>
            <w:r>
              <w:t>CDR 移植技术</w:t>
            </w:r>
          </w:p>
        </w:tc>
        <w:tc>
          <w:tcPr>
            <w:tcW w:type="dxa" w:w="2160"/>
          </w:tcPr>
          <w:p>
            <w:r>
              <w:t>Trastuzumab (曲妥珠单抗)</w:t>
            </w:r>
          </w:p>
        </w:tc>
      </w:tr>
      <w:tr>
        <w:tc>
          <w:tcPr>
            <w:tcW w:type="dxa" w:w="2160"/>
          </w:tcPr>
          <w:p>
            <w:r>
              <w:t>-ximab/-cig</w:t>
            </w:r>
          </w:p>
        </w:tc>
        <w:tc>
          <w:tcPr>
            <w:tcW w:type="dxa" w:w="2160"/>
          </w:tcPr>
          <w:p>
            <w:r>
              <w:t>嵌合 (Chimeric)</w:t>
            </w:r>
          </w:p>
        </w:tc>
        <w:tc>
          <w:tcPr>
            <w:tcW w:type="dxa" w:w="2160"/>
          </w:tcPr>
          <w:p>
            <w:r>
              <w:t>鼠 V 区 + 人 C 区融合</w:t>
            </w:r>
          </w:p>
        </w:tc>
        <w:tc>
          <w:tcPr>
            <w:tcW w:type="dxa" w:w="2160"/>
          </w:tcPr>
          <w:p>
            <w:r>
              <w:t>Rituximab (利妥昔单抗)</w:t>
            </w:r>
          </w:p>
        </w:tc>
      </w:tr>
      <w:tr>
        <w:tc>
          <w:tcPr>
            <w:tcW w:type="dxa" w:w="2160"/>
          </w:tcPr>
          <w:p>
            <w:r>
              <w:t>-omab</w:t>
            </w:r>
          </w:p>
        </w:tc>
        <w:tc>
          <w:tcPr>
            <w:tcW w:type="dxa" w:w="2160"/>
          </w:tcPr>
          <w:p>
            <w:r>
              <w:t>鼠源 (Murine)</w:t>
            </w:r>
          </w:p>
        </w:tc>
        <w:tc>
          <w:tcPr>
            <w:tcW w:type="dxa" w:w="2160"/>
          </w:tcPr>
          <w:p>
            <w:r>
              <w:t>杂交瘤等传统技术</w:t>
            </w:r>
          </w:p>
        </w:tc>
        <w:tc>
          <w:tcPr>
            <w:tcW w:type="dxa" w:w="2160"/>
          </w:tcPr>
          <w:p>
            <w:r>
              <w:t>Muromonab (莫罗单抗)</w:t>
            </w:r>
          </w:p>
        </w:tc>
      </w:tr>
    </w:tbl>
    <w:p/>
    <w:p>
      <w:pPr>
        <w:pStyle w:val="Heading2"/>
      </w:pPr>
      <w:r>
        <w:t>1.3 USAN 是否是金标准</w:t>
      </w:r>
    </w:p>
    <w:p>
      <w:r>
        <w:t>USAN 是抗体命名的官方标准，但需要理解以下关键点：</w:t>
      </w:r>
    </w:p>
    <w:p>
      <w:r>
        <w:rPr>
          <w:b/>
        </w:rPr>
        <w:t>官方权威性</w:t>
      </w:r>
    </w:p>
    <w:p>
      <w:pPr>
        <w:pStyle w:val="ListBullet"/>
      </w:pPr>
      <w:r>
        <w:t>USAN 是 FDA 批准的治疗性抗体命名的官方标准</w:t>
      </w:r>
    </w:p>
    <w:p>
      <w:pPr>
        <w:pStyle w:val="ListBullet"/>
      </w:pPr>
      <w:r>
        <w:t>所有在美国上市的抗体药物必须遵循 USAN 命名规则</w:t>
      </w:r>
    </w:p>
    <w:p>
      <w:pPr>
        <w:pStyle w:val="ListBullet"/>
      </w:pPr>
      <w:r>
        <w:t>是监管机构（FDA、EMA、NMPA）认可的评估方法</w:t>
      </w:r>
    </w:p>
    <w:p>
      <w:r>
        <w:rPr>
          <w:b/>
        </w:rPr>
        <w:t>命名基于技术方法</w:t>
      </w:r>
    </w:p>
    <w:p>
      <w:pPr>
        <w:pStyle w:val="ListBullet"/>
      </w:pPr>
      <w:r>
        <w:t>命名后缀根据制备技术分配（转基因小鼠、CDR移植、噬菌体展示等）</w:t>
      </w:r>
    </w:p>
    <w:p>
      <w:pPr>
        <w:pStyle w:val="ListBullet"/>
      </w:pPr>
      <w:r>
        <w:t>不基于序列同源性百分比阈值</w:t>
      </w:r>
    </w:p>
    <w:p>
      <w:pPr>
        <w:pStyle w:val="ListBullet"/>
      </w:pPr>
      <w:r>
        <w:t>需要了解制造工艺才能确定官方分类</w:t>
      </w:r>
    </w:p>
    <w:p>
      <w:r>
        <w:rPr>
          <w:b/>
        </w:rPr>
        <w:t>学术近似标准（非官方）</w:t>
      </w:r>
    </w:p>
    <w:p>
      <w:pPr>
        <w:pStyle w:val="ListBullet"/>
      </w:pPr>
      <w:r>
        <w:t>文献中常用 FR 同源性阈值进行估计</w:t>
      </w:r>
    </w:p>
    <w:p>
      <w:pPr>
        <w:pStyle w:val="ListBullet"/>
      </w:pPr>
      <w:r>
        <w:t>FR ≥ 95%：可能来自转基因小鼠/噬菌体展示</w:t>
      </w:r>
    </w:p>
    <w:p>
      <w:pPr>
        <w:pStyle w:val="ListBullet"/>
      </w:pPr>
      <w:r>
        <w:t>FR ≥ 85%：可能来自 CDR 移植技术</w:t>
      </w:r>
    </w:p>
    <w:p>
      <w:pPr>
        <w:pStyle w:val="ListBullet"/>
      </w:pPr>
      <w:r>
        <w:t>FR ≥ 70%：可能来自鼠源 V 区 + 人源 C 区</w:t>
      </w:r>
    </w:p>
    <w:p>
      <w:r>
        <w:rPr>
          <w:b/>
        </w:rPr>
        <w:t>局限性</w:t>
      </w:r>
    </w:p>
    <w:p>
      <w:pPr>
        <w:pStyle w:val="ListBullet"/>
      </w:pPr>
      <w:r>
        <w:t>仅评估 FR 身份：不考虑 CDR 身份</w:t>
      </w:r>
    </w:p>
    <w:p>
      <w:pPr>
        <w:pStyle w:val="ListBullet"/>
      </w:pPr>
      <w:r>
        <w:t>不考虑结构：仅基于序列比对，不考虑三维结构</w:t>
      </w:r>
    </w:p>
    <w:p>
      <w:pPr>
        <w:pStyle w:val="ListBullet"/>
      </w:pPr>
      <w:r>
        <w:t>不考虑功能：不评估结合亲力、稳定性等</w:t>
      </w:r>
    </w:p>
    <w:p/>
    <w:p>
      <w:pPr>
        <w:pStyle w:val="Heading1"/>
      </w:pPr>
      <w:r>
        <w:t>2. 评估方法</w:t>
      </w:r>
    </w:p>
    <w:p>
      <w:pPr>
        <w:pStyle w:val="Heading2"/>
      </w:pPr>
      <w:r>
        <w:t>2.1 重链和轻链分别评估</w:t>
      </w:r>
    </w:p>
    <w:p>
      <w:r>
        <w:t>是的，必须分别评估：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评估对象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评估内容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重链 (VH)</w:t>
            </w:r>
          </w:p>
        </w:tc>
        <w:tc>
          <w:tcPr>
            <w:tcW w:type="dxa" w:w="2880"/>
          </w:tcPr>
          <w:p>
            <w:r>
              <w:t>FR 同源性、CDR 同源性、CVI</w:t>
            </w:r>
          </w:p>
        </w:tc>
        <w:tc>
          <w:tcPr>
            <w:tcW w:type="dxa" w:w="2880"/>
          </w:tcPr>
          <w:p>
            <w:r>
              <w:t>单独评估，单独报告</w:t>
            </w:r>
          </w:p>
        </w:tc>
      </w:tr>
      <w:tr>
        <w:tc>
          <w:tcPr>
            <w:tcW w:type="dxa" w:w="2880"/>
          </w:tcPr>
          <w:p>
            <w:r>
              <w:t>轻链 (VL)</w:t>
            </w:r>
          </w:p>
        </w:tc>
        <w:tc>
          <w:tcPr>
            <w:tcW w:type="dxa" w:w="2880"/>
          </w:tcPr>
          <w:p>
            <w:r>
              <w:t>FR 同源性、CDR 同源性、CVI</w:t>
            </w:r>
          </w:p>
        </w:tc>
        <w:tc>
          <w:tcPr>
            <w:tcW w:type="dxa" w:w="2880"/>
          </w:tcPr>
          <w:p>
            <w:r>
              <w:t>单独评估，单独报告</w:t>
            </w:r>
          </w:p>
        </w:tc>
      </w:tr>
      <w:tr>
        <w:tc>
          <w:tcPr>
            <w:tcW w:type="dxa" w:w="2880"/>
          </w:tcPr>
          <w:p>
            <w:r>
              <w:t>整体 Fv</w:t>
            </w:r>
          </w:p>
        </w:tc>
        <w:tc>
          <w:tcPr>
            <w:tcW w:type="dxa" w:w="2880"/>
          </w:tcPr>
          <w:p>
            <w:r>
              <w:t>综合评估</w:t>
            </w:r>
          </w:p>
        </w:tc>
        <w:tc>
          <w:tcPr>
            <w:tcW w:type="dxa" w:w="2880"/>
          </w:tcPr>
          <w:p>
            <w:r>
              <w:t>可选，但学术论文通常分别报告</w:t>
            </w:r>
          </w:p>
        </w:tc>
      </w:tr>
    </w:tbl>
    <w:p/>
    <w:p>
      <w:r>
        <w:t>为什么分别评估：</w:t>
      </w:r>
    </w:p>
    <w:p>
      <w:pPr>
        <w:pStyle w:val="ListBullet"/>
      </w:pPr>
      <w:r>
        <w:t>重链和轻链可能匹配不同的 germline 基因</w:t>
      </w:r>
    </w:p>
    <w:p>
      <w:pPr>
        <w:pStyle w:val="ListBullet"/>
      </w:pPr>
      <w:r>
        <w:t>重链和轻链的人源化程度可能不同</w:t>
      </w:r>
    </w:p>
    <w:p>
      <w:pPr>
        <w:pStyle w:val="ListBullet"/>
      </w:pPr>
      <w:r>
        <w:t>监管机构要求分别提供数据</w:t>
      </w:r>
    </w:p>
    <w:p/>
    <w:p>
      <w:pPr>
        <w:pStyle w:val="Heading2"/>
      </w:pPr>
      <w:r>
        <w:t>2.2 CDR 分区规则</w:t>
      </w:r>
    </w:p>
    <w:p>
      <w:r>
        <w:t>推荐使用 IMGT 定义：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CDR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IMGT 位置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Kabat 位置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学术论文推荐</w:t>
            </w:r>
          </w:p>
        </w:tc>
      </w:tr>
      <w:tr>
        <w:tc>
          <w:tcPr>
            <w:tcW w:type="dxa" w:w="2160"/>
          </w:tcPr>
          <w:p>
            <w:r>
              <w:t>CDR-H1</w:t>
            </w:r>
          </w:p>
        </w:tc>
        <w:tc>
          <w:tcPr>
            <w:tcW w:type="dxa" w:w="2160"/>
          </w:tcPr>
          <w:p>
            <w:r>
              <w:t>26-35 (11 残基)</w:t>
            </w:r>
          </w:p>
        </w:tc>
        <w:tc>
          <w:tcPr>
            <w:tcW w:type="dxa" w:w="2160"/>
          </w:tcPr>
          <w:p>
            <w:r>
              <w:t>31-35 (5 残基)</w:t>
            </w:r>
          </w:p>
        </w:tc>
        <w:tc>
          <w:tcPr>
            <w:tcW w:type="dxa" w:w="2160"/>
          </w:tcPr>
          <w:p>
            <w:r>
              <w:t>IMGT ✓</w:t>
            </w:r>
          </w:p>
        </w:tc>
      </w:tr>
      <w:tr>
        <w:tc>
          <w:tcPr>
            <w:tcW w:type="dxa" w:w="2160"/>
          </w:tcPr>
          <w:p>
            <w:r>
              <w:t>CDR-H2</w:t>
            </w:r>
          </w:p>
        </w:tc>
        <w:tc>
          <w:tcPr>
            <w:tcW w:type="dxa" w:w="2160"/>
          </w:tcPr>
          <w:p>
            <w:r>
              <w:t>56-65 (10 残基)</w:t>
            </w:r>
          </w:p>
        </w:tc>
        <w:tc>
          <w:tcPr>
            <w:tcW w:type="dxa" w:w="2160"/>
          </w:tcPr>
          <w:p>
            <w:r>
              <w:t>50-65 (16 残基)</w:t>
            </w:r>
          </w:p>
        </w:tc>
        <w:tc>
          <w:tcPr>
            <w:tcW w:type="dxa" w:w="2160"/>
          </w:tcPr>
          <w:p>
            <w:r>
              <w:t>IMGT ✓</w:t>
            </w:r>
          </w:p>
        </w:tc>
      </w:tr>
      <w:tr>
        <w:tc>
          <w:tcPr>
            <w:tcW w:type="dxa" w:w="2160"/>
          </w:tcPr>
          <w:p>
            <w:r>
              <w:t>CDR-H3</w:t>
            </w:r>
          </w:p>
        </w:tc>
        <w:tc>
          <w:tcPr>
            <w:tcW w:type="dxa" w:w="2160"/>
          </w:tcPr>
          <w:p>
            <w:r>
              <w:t>105-117 (13 残基)</w:t>
            </w:r>
          </w:p>
        </w:tc>
        <w:tc>
          <w:tcPr>
            <w:tcW w:type="dxa" w:w="2160"/>
          </w:tcPr>
          <w:p>
            <w:r>
              <w:t>95-102 (8 残基)</w:t>
            </w:r>
          </w:p>
        </w:tc>
        <w:tc>
          <w:tcPr>
            <w:tcW w:type="dxa" w:w="2160"/>
          </w:tcPr>
          <w:p>
            <w:r>
              <w:t>IMGT ✓</w:t>
            </w:r>
          </w:p>
        </w:tc>
      </w:tr>
      <w:tr>
        <w:tc>
          <w:tcPr>
            <w:tcW w:type="dxa" w:w="2160"/>
          </w:tcPr>
          <w:p>
            <w:r>
              <w:t>CDR-L1</w:t>
            </w:r>
          </w:p>
        </w:tc>
        <w:tc>
          <w:tcPr>
            <w:tcW w:type="dxa" w:w="2160"/>
          </w:tcPr>
          <w:p>
            <w:r>
              <w:t>24-34 (11 残基)</w:t>
            </w:r>
          </w:p>
        </w:tc>
        <w:tc>
          <w:tcPr>
            <w:tcW w:type="dxa" w:w="2160"/>
          </w:tcPr>
          <w:p>
            <w:r>
              <w:t>24-34 (11 残基)</w:t>
            </w:r>
          </w:p>
        </w:tc>
        <w:tc>
          <w:tcPr>
            <w:tcW w:type="dxa" w:w="2160"/>
          </w:tcPr>
          <w:p>
            <w:r>
              <w:t>IMGT ✓</w:t>
            </w:r>
          </w:p>
        </w:tc>
      </w:tr>
      <w:tr>
        <w:tc>
          <w:tcPr>
            <w:tcW w:type="dxa" w:w="2160"/>
          </w:tcPr>
          <w:p>
            <w:r>
              <w:t>CDR-L2</w:t>
            </w:r>
          </w:p>
        </w:tc>
        <w:tc>
          <w:tcPr>
            <w:tcW w:type="dxa" w:w="2160"/>
          </w:tcPr>
          <w:p>
            <w:r>
              <w:t>50-56 (7 残基)</w:t>
            </w:r>
          </w:p>
        </w:tc>
        <w:tc>
          <w:tcPr>
            <w:tcW w:type="dxa" w:w="2160"/>
          </w:tcPr>
          <w:p>
            <w:r>
              <w:t>50-56 (7 残基)</w:t>
            </w:r>
          </w:p>
        </w:tc>
        <w:tc>
          <w:tcPr>
            <w:tcW w:type="dxa" w:w="2160"/>
          </w:tcPr>
          <w:p>
            <w:r>
              <w:t>IMGT ✓</w:t>
            </w:r>
          </w:p>
        </w:tc>
      </w:tr>
      <w:tr>
        <w:tc>
          <w:tcPr>
            <w:tcW w:type="dxa" w:w="2160"/>
          </w:tcPr>
          <w:p>
            <w:r>
              <w:t>CDR-L3</w:t>
            </w:r>
          </w:p>
        </w:tc>
        <w:tc>
          <w:tcPr>
            <w:tcW w:type="dxa" w:w="2160"/>
          </w:tcPr>
          <w:p>
            <w:r>
              <w:t>89-97 (9 残基)</w:t>
            </w:r>
          </w:p>
        </w:tc>
        <w:tc>
          <w:tcPr>
            <w:tcW w:type="dxa" w:w="2160"/>
          </w:tcPr>
          <w:p>
            <w:r>
              <w:t>89-97 (9 残基)</w:t>
            </w:r>
          </w:p>
        </w:tc>
        <w:tc>
          <w:tcPr>
            <w:tcW w:type="dxa" w:w="2160"/>
          </w:tcPr>
          <w:p>
            <w:r>
              <w:t>IMGT ✓</w:t>
            </w:r>
          </w:p>
        </w:tc>
      </w:tr>
    </w:tbl>
    <w:p/>
    <w:p>
      <w:r>
        <w:t>学术论文中的表述：</w:t>
      </w:r>
    </w:p>
    <w:p>
      <w:pPr>
        <w:pStyle w:val="Quote"/>
      </w:pPr>
      <w:r>
        <w:t>"CDR 定义采用 IMGT 编号系统 (Lefranc et al., 1999)。"</w:t>
      </w:r>
    </w:p>
    <w:p/>
    <w:p>
      <w:pPr>
        <w:pStyle w:val="Heading2"/>
      </w:pPr>
      <w:r>
        <w:t>2.3 评估 FR 区还是整个 Fv 区</w:t>
      </w:r>
    </w:p>
    <w:p>
      <w:r>
        <w:t>USAN 标准：评估 FR1+FR2+FR3（排除 FR4）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评估区域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包含内容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学术论文推荐</w:t>
            </w:r>
          </w:p>
        </w:tc>
      </w:tr>
      <w:tr>
        <w:tc>
          <w:tcPr>
            <w:tcW w:type="dxa" w:w="2880"/>
          </w:tcPr>
          <w:p>
            <w:r>
              <w:t>FR 区 (USAN)</w:t>
            </w:r>
          </w:p>
        </w:tc>
        <w:tc>
          <w:tcPr>
            <w:tcW w:type="dxa" w:w="2880"/>
          </w:tcPr>
          <w:p>
            <w:r>
              <w:t>FR1 + FR2 + FR3（排除 FR4）</w:t>
            </w:r>
          </w:p>
        </w:tc>
        <w:tc>
          <w:tcPr>
            <w:tcW w:type="dxa" w:w="2880"/>
          </w:tcPr>
          <w:p>
            <w:r>
              <w:t>USAN 标准要求 ✓</w:t>
            </w:r>
          </w:p>
        </w:tc>
      </w:tr>
      <w:tr>
        <w:tc>
          <w:tcPr>
            <w:tcW w:type="dxa" w:w="2880"/>
          </w:tcPr>
          <w:p>
            <w:r>
              <w:t>FR4 区域</w:t>
            </w:r>
          </w:p>
        </w:tc>
        <w:tc>
          <w:tcPr>
            <w:tcW w:type="dxa" w:w="2880"/>
          </w:tcPr>
          <w:p>
            <w:r>
              <w:t>FR4（来自人 J 基因）</w:t>
            </w:r>
          </w:p>
        </w:tc>
        <w:tc>
          <w:tcPr>
            <w:tcW w:type="dxa" w:w="2880"/>
          </w:tcPr>
          <w:p>
            <w:r>
              <w:t>单独报告，不用于命名</w:t>
            </w:r>
          </w:p>
        </w:tc>
      </w:tr>
      <w:tr>
        <w:tc>
          <w:tcPr>
            <w:tcW w:type="dxa" w:w="2880"/>
          </w:tcPr>
          <w:p>
            <w:r>
              <w:t>Fv 区</w:t>
            </w:r>
          </w:p>
        </w:tc>
        <w:tc>
          <w:tcPr>
            <w:tcW w:type="dxa" w:w="2880"/>
          </w:tcPr>
          <w:p>
            <w:r>
              <w:t>FR + CDR</w:t>
            </w:r>
          </w:p>
        </w:tc>
        <w:tc>
          <w:tcPr>
            <w:tcW w:type="dxa" w:w="2880"/>
          </w:tcPr>
          <w:p>
            <w:r>
              <w:t>可选，但不用于命名</w:t>
            </w:r>
          </w:p>
        </w:tc>
      </w:tr>
      <w:tr>
        <w:tc>
          <w:tcPr>
            <w:tcW w:type="dxa" w:w="2880"/>
          </w:tcPr>
          <w:p>
            <w:r>
              <w:t>CDR 区</w:t>
            </w:r>
          </w:p>
        </w:tc>
        <w:tc>
          <w:tcPr>
            <w:tcW w:type="dxa" w:w="2880"/>
          </w:tcPr>
          <w:p>
            <w:r>
              <w:t>CDR1 + CDR2 + CDR3</w:t>
            </w:r>
          </w:p>
        </w:tc>
        <w:tc>
          <w:tcPr>
            <w:tcW w:type="dxa" w:w="2880"/>
          </w:tcPr>
          <w:p>
            <w:r>
              <w:t>单独报告，不用于命名</w:t>
            </w:r>
          </w:p>
        </w:tc>
      </w:tr>
    </w:tbl>
    <w:p/>
    <w:p>
      <w:r>
        <w:t>为什么排除 FR4：</w:t>
      </w:r>
    </w:p>
    <w:p>
      <w:pPr>
        <w:pStyle w:val="ListBullet"/>
      </w:pPr>
      <w:r>
        <w:t>FR4 来自人 J 基因，不是人 V 基因</w:t>
      </w:r>
    </w:p>
    <w:p>
      <w:pPr>
        <w:pStyle w:val="ListBullet"/>
      </w:pPr>
      <w:r>
        <w:t>人有 6 个 J 基因（IGHJ1-6），FR4 序列差异较大</w:t>
      </w:r>
    </w:p>
    <w:p>
      <w:pPr>
        <w:pStyle w:val="ListBullet"/>
      </w:pPr>
      <w:r>
        <w:t>监管机构（FDA/EMA）在审批时更关注 FR1+FR2+FR3 的同源性</w:t>
      </w:r>
    </w:p>
    <w:p/>
    <w:p>
      <w:r>
        <w:t>USAN 标准的评估逻辑：</w:t>
      </w:r>
    </w:p>
    <w:p>
      <w:pPr>
        <w:pStyle w:val="Quote"/>
      </w:pPr>
      <w:r>
        <w:t>FR 同源性 = (FR1 相同残基 + FR2 相同残基 + FR3 相同残基) / (FR1 总残基 + FR2 总残基 + FR3 总残基)</w:t>
      </w:r>
    </w:p>
    <w:p/>
    <w:p>
      <w:pPr>
        <w:pStyle w:val="Heading1"/>
      </w:pPr>
      <w:r>
        <w:t>3. 学术宣传最佳实践</w:t>
      </w:r>
    </w:p>
    <w:p>
      <w:pPr>
        <w:pStyle w:val="Heading2"/>
      </w:pPr>
      <w:r>
        <w:t>3.1 论文/海报格式</w:t>
      </w:r>
    </w:p>
    <w:p>
      <w:r>
        <w:t>注意：命名基于制备技术，而非序列同源性百分比。</w:t>
      </w:r>
    </w:p>
    <w:p>
      <w:r>
        <w:rPr>
          <w:b/>
        </w:rPr>
        <w:t>摘要部分：</w:t>
      </w:r>
    </w:p>
    <w:p>
      <w:pPr>
        <w:pStyle w:val="Quote"/>
      </w:pPr>
      <w:r>
        <w:t>"该抗体采用 CDR 移植技术进行人源化，基于 IMGT 编号系统评估，重链 FR 同源性为 85.2%，轻链 FR 同源性为 92.3%。根据制备技术，该抗体被命名为人源化抗体 (-zumab)。"</w:t>
      </w:r>
    </w:p>
    <w:p>
      <w:r>
        <w:rPr>
          <w:b/>
        </w:rPr>
        <w:t>方法部分：</w:t>
      </w:r>
    </w:p>
    <w:p>
      <w:pPr>
        <w:pStyle w:val="Quote"/>
      </w:pPr>
      <w:r>
        <w:t>"人源化程度评估使用 IMGT 编号系统 (Lefranc et al., 1999)。FR 同源性定义为框架区 (FR1+FR2+FR3，排除 FR4) 中与人 germline 相同残基的比例。命名基于制备技术（WHO/INN 标准）。"</w:t>
      </w:r>
    </w:p>
    <w:p>
      <w:r>
        <w:rPr>
          <w:b/>
        </w:rPr>
        <w:t>结果部分：</w:t>
      </w:r>
    </w:p>
    <w:p>
      <w:pPr>
        <w:pStyle w:val="Quote"/>
      </w:pPr>
      <w:r>
        <w:t>"表 X 展示了人源化评估结果。该抗体 FR 同源性为 85.2%，基于 CDR 移植制备技术，被命名为人源化抗体 (-zumab)。"</w:t>
      </w:r>
    </w:p>
    <w:p/>
    <w:p>
      <w:pPr>
        <w:pStyle w:val="Heading2"/>
      </w:pPr>
      <w:r>
        <w:t>3.2 结果报告示例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Germline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FR 同源性 (IMGT)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CDR 同源性 (IMGT)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人源化程度</w:t>
            </w:r>
          </w:p>
        </w:tc>
      </w:tr>
      <w:tr>
        <w:tc>
          <w:tcPr>
            <w:tcW w:type="dxa" w:w="1728"/>
          </w:tcPr>
          <w:p>
            <w:r>
              <w:t>VH</w:t>
            </w:r>
          </w:p>
        </w:tc>
        <w:tc>
          <w:tcPr>
            <w:tcW w:type="dxa" w:w="1728"/>
          </w:tcPr>
          <w:p>
            <w:r>
              <w:t>IGHV1-46*01</w:t>
            </w:r>
          </w:p>
        </w:tc>
        <w:tc>
          <w:tcPr>
            <w:tcW w:type="dxa" w:w="1728"/>
          </w:tcPr>
          <w:p>
            <w:r>
              <w:t>85.2%</w:t>
            </w:r>
          </w:p>
        </w:tc>
        <w:tc>
          <w:tcPr>
            <w:tcW w:type="dxa" w:w="1728"/>
          </w:tcPr>
          <w:p>
            <w:r>
              <w:t>62.5%</w:t>
            </w:r>
          </w:p>
        </w:tc>
        <w:tc>
          <w:tcPr>
            <w:tcW w:type="dxa" w:w="1728"/>
          </w:tcPr>
          <w:p>
            <w:r>
              <w:t>Humanized (-zumab)</w:t>
            </w:r>
          </w:p>
        </w:tc>
      </w:tr>
      <w:tr>
        <w:tc>
          <w:tcPr>
            <w:tcW w:type="dxa" w:w="1728"/>
          </w:tcPr>
          <w:p>
            <w:r>
              <w:t>VL</w:t>
            </w:r>
          </w:p>
        </w:tc>
        <w:tc>
          <w:tcPr>
            <w:tcW w:type="dxa" w:w="1728"/>
          </w:tcPr>
          <w:p>
            <w:r>
              <w:t>IGKV1-39*01</w:t>
            </w:r>
          </w:p>
        </w:tc>
        <w:tc>
          <w:tcPr>
            <w:tcW w:type="dxa" w:w="1728"/>
          </w:tcPr>
          <w:p>
            <w:r>
              <w:t>92.3%</w:t>
            </w:r>
          </w:p>
        </w:tc>
        <w:tc>
          <w:tcPr>
            <w:tcW w:type="dxa" w:w="1728"/>
          </w:tcPr>
          <w:p>
            <w:r>
              <w:t>78.9%</w:t>
            </w:r>
          </w:p>
        </w:tc>
        <w:tc>
          <w:tcPr>
            <w:tcW w:type="dxa" w:w="1728"/>
          </w:tcPr>
          <w:p>
            <w:r>
              <w:t>Humanized (-zumab)</w:t>
            </w:r>
          </w:p>
        </w:tc>
      </w:tr>
    </w:tbl>
    <w:p/>
    <w:p>
      <w:pPr>
        <w:pStyle w:val="Heading2"/>
      </w:pPr>
      <w:r>
        <w:t>3.3 补充报告（可选）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评估维度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CVI 同源性</w:t>
            </w:r>
          </w:p>
        </w:tc>
        <w:tc>
          <w:tcPr>
            <w:tcW w:type="dxa" w:w="2880"/>
          </w:tcPr>
          <w:p>
            <w:r>
              <w:t>BI 2024 标准</w:t>
            </w:r>
          </w:p>
        </w:tc>
        <w:tc>
          <w:tcPr>
            <w:tcW w:type="dxa" w:w="2880"/>
          </w:tcPr>
          <w:p>
            <w:r>
              <w:t>Canonical + Vernier + Interface 区域</w:t>
            </w:r>
          </w:p>
        </w:tc>
      </w:tr>
      <w:tr>
        <w:tc>
          <w:tcPr>
            <w:tcW w:type="dxa" w:w="2880"/>
          </w:tcPr>
          <w:p>
            <w:r>
              <w:t>Germline 频率</w:t>
            </w:r>
          </w:p>
        </w:tc>
        <w:tc>
          <w:tcPr>
            <w:tcW w:type="dxa" w:w="2880"/>
          </w:tcPr>
          <w:p>
            <w:r>
              <w:t>Wemol 方法</w:t>
            </w:r>
          </w:p>
        </w:tc>
        <w:tc>
          <w:tcPr>
            <w:tcW w:type="dxa" w:w="2880"/>
          </w:tcPr>
          <w:p>
            <w:r>
              <w:t>人 germline 使用频率</w:t>
            </w:r>
          </w:p>
        </w:tc>
      </w:tr>
      <w:tr>
        <w:tc>
          <w:tcPr>
            <w:tcW w:type="dxa" w:w="2880"/>
          </w:tcPr>
          <w:p>
            <w:r>
              <w:t>结构验证</w:t>
            </w:r>
          </w:p>
        </w:tc>
        <w:tc>
          <w:tcPr>
            <w:tcW w:type="dxa" w:w="2880"/>
          </w:tcPr>
          <w:p>
            <w:r>
              <w:t>AF3/晶体结构</w:t>
            </w:r>
          </w:p>
        </w:tc>
        <w:tc>
          <w:tcPr>
            <w:tcW w:type="dxa" w:w="2880"/>
          </w:tcPr>
          <w:p>
            <w:r>
              <w:t>埋藏/CDR 接触分析</w:t>
            </w:r>
          </w:p>
        </w:tc>
      </w:tr>
    </w:tbl>
    <w:p/>
    <w:p>
      <w:pPr>
        <w:pStyle w:val="Heading1"/>
      </w:pPr>
      <w:r>
        <w:t>4. 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推荐答案</w:t>
            </w:r>
          </w:p>
        </w:tc>
      </w:tr>
      <w:tr>
        <w:tc>
          <w:tcPr>
            <w:tcW w:type="dxa" w:w="4320"/>
          </w:tcPr>
          <w:p>
            <w:r>
              <w:t>评估标准</w:t>
            </w:r>
          </w:p>
        </w:tc>
        <w:tc>
          <w:tcPr>
            <w:tcW w:type="dxa" w:w="4320"/>
          </w:tcPr>
          <w:p>
            <w:r>
              <w:t>USAN/WHO 标准 + IMGT 编号</w:t>
            </w:r>
          </w:p>
        </w:tc>
      </w:tr>
      <w:tr>
        <w:tc>
          <w:tcPr>
            <w:tcW w:type="dxa" w:w="4320"/>
          </w:tcPr>
          <w:p>
            <w:r>
              <w:t>重链/轻链</w:t>
            </w:r>
          </w:p>
        </w:tc>
        <w:tc>
          <w:tcPr>
            <w:tcW w:type="dxa" w:w="4320"/>
          </w:tcPr>
          <w:p>
            <w:r>
              <w:t>分别评估，分别报告</w:t>
            </w:r>
          </w:p>
        </w:tc>
      </w:tr>
      <w:tr>
        <w:tc>
          <w:tcPr>
            <w:tcW w:type="dxa" w:w="4320"/>
          </w:tcPr>
          <w:p>
            <w:r>
              <w:t>CDR 分区</w:t>
            </w:r>
          </w:p>
        </w:tc>
        <w:tc>
          <w:tcPr>
            <w:tcW w:type="dxa" w:w="4320"/>
          </w:tcPr>
          <w:p>
            <w:r>
              <w:t>使用 IMGT 定义</w:t>
            </w:r>
          </w:p>
        </w:tc>
      </w:tr>
      <w:tr>
        <w:tc>
          <w:tcPr>
            <w:tcW w:type="dxa" w:w="4320"/>
          </w:tcPr>
          <w:p>
            <w:r>
              <w:t>评估区域</w:t>
            </w:r>
          </w:p>
        </w:tc>
        <w:tc>
          <w:tcPr>
            <w:tcW w:type="dxa" w:w="4320"/>
          </w:tcPr>
          <w:p>
            <w:r>
              <w:t>FR1+FR2+FR3（排除 FR4）</w:t>
            </w:r>
          </w:p>
        </w:tc>
      </w:tr>
    </w:tbl>
    <w:p/>
    <w:p>
      <w:pPr>
        <w:pStyle w:val="Heading1"/>
      </w:pPr>
      <w:r>
        <w:t>5. 全人源抗体（Fully Human Antibody）</w:t>
      </w:r>
    </w:p>
    <w:p>
      <w:pPr>
        <w:pStyle w:val="Heading2"/>
      </w:pPr>
      <w:r>
        <w:t>5.1 定义</w:t>
      </w:r>
    </w:p>
    <w:p>
      <w:r>
        <w:t>全人源抗体是指其可变区（VH 和 VL）序列 100% 来自人类抗体库，不含有任何鼠源或非人源序列的抗体。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抗体类型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来源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鼠源序列比例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命名后缀</w:t>
            </w:r>
          </w:p>
        </w:tc>
      </w:tr>
      <w:tr>
        <w:tc>
          <w:tcPr>
            <w:tcW w:type="dxa" w:w="2160"/>
          </w:tcPr>
          <w:p>
            <w:r>
              <w:t>鼠源抗体</w:t>
            </w:r>
          </w:p>
        </w:tc>
        <w:tc>
          <w:tcPr>
            <w:tcW w:type="dxa" w:w="2160"/>
          </w:tcPr>
          <w:p>
            <w:r>
              <w:t>小鼠杂交瘤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-omab</w:t>
            </w:r>
          </w:p>
        </w:tc>
      </w:tr>
      <w:tr>
        <w:tc>
          <w:tcPr>
            <w:tcW w:type="dxa" w:w="2160"/>
          </w:tcPr>
          <w:p>
            <w:r>
              <w:t>嵌合抗体</w:t>
            </w:r>
          </w:p>
        </w:tc>
        <w:tc>
          <w:tcPr>
            <w:tcW w:type="dxa" w:w="2160"/>
          </w:tcPr>
          <w:p>
            <w:r>
              <w:t>鼠 V 区 + 人 C 区</w:t>
            </w:r>
          </w:p>
        </w:tc>
        <w:tc>
          <w:tcPr>
            <w:tcW w:type="dxa" w:w="2160"/>
          </w:tcPr>
          <w:p>
            <w:r>
              <w:t>~30%</w:t>
            </w:r>
          </w:p>
        </w:tc>
        <w:tc>
          <w:tcPr>
            <w:tcW w:type="dxa" w:w="2160"/>
          </w:tcPr>
          <w:p>
            <w:r>
              <w:t>-ximab</w:t>
            </w:r>
          </w:p>
        </w:tc>
      </w:tr>
      <w:tr>
        <w:tc>
          <w:tcPr>
            <w:tcW w:type="dxa" w:w="2160"/>
          </w:tcPr>
          <w:p>
            <w:r>
              <w:t>人源化抗体</w:t>
            </w:r>
          </w:p>
        </w:tc>
        <w:tc>
          <w:tcPr>
            <w:tcW w:type="dxa" w:w="2160"/>
          </w:tcPr>
          <w:p>
            <w:r>
              <w:t>鼠 CDR + 人 FR</w:t>
            </w:r>
          </w:p>
        </w:tc>
        <w:tc>
          <w:tcPr>
            <w:tcW w:type="dxa" w:w="2160"/>
          </w:tcPr>
          <w:p>
            <w:r>
              <w:t>~5-10%</w:t>
            </w:r>
          </w:p>
        </w:tc>
        <w:tc>
          <w:tcPr>
            <w:tcW w:type="dxa" w:w="2160"/>
          </w:tcPr>
          <w:p>
            <w:r>
              <w:t>-zumab</w:t>
            </w:r>
          </w:p>
        </w:tc>
      </w:tr>
      <w:tr>
        <w:tc>
          <w:tcPr>
            <w:tcW w:type="dxa" w:w="2160"/>
          </w:tcPr>
          <w:p>
            <w:r>
              <w:t>全人源抗体</w:t>
            </w:r>
          </w:p>
        </w:tc>
        <w:tc>
          <w:tcPr>
            <w:tcW w:type="dxa" w:w="2160"/>
          </w:tcPr>
          <w:p>
            <w:r>
              <w:t>人 V 区 + 人 C 区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-umab</w:t>
            </w:r>
          </w:p>
        </w:tc>
      </w:tr>
    </w:tbl>
    <w:p/>
    <w:p>
      <w:pPr>
        <w:pStyle w:val="Heading2"/>
      </w:pPr>
      <w:r>
        <w:t>5.2 命名规则</w:t>
      </w:r>
    </w:p>
    <w:p>
      <w:r>
        <w:t>USAN/INN 标准：根据制备技术分配命名后缀</w:t>
      </w:r>
    </w:p>
    <w:p>
      <w:r>
        <w:t>2022年INN更新引入了新后缀（-tug, -zug, -cig），同时保留传统后缀（-umab, -zumab, -ximab）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命名后缀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抗体类型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2880"/>
          </w:tcPr>
          <w:p>
            <w:r>
              <w:t>-umab/-tug</w:t>
            </w:r>
          </w:p>
        </w:tc>
        <w:tc>
          <w:tcPr>
            <w:tcW w:type="dxa" w:w="2880"/>
          </w:tcPr>
          <w:p>
            <w:r>
              <w:t>全人源 (Fully Human)</w:t>
            </w:r>
          </w:p>
        </w:tc>
        <w:tc>
          <w:tcPr>
            <w:tcW w:type="dxa" w:w="2880"/>
          </w:tcPr>
          <w:p>
            <w:r>
              <w:t>Adalimumab (阿达木单抗)</w:t>
            </w:r>
          </w:p>
        </w:tc>
      </w:tr>
      <w:tr>
        <w:tc>
          <w:tcPr>
            <w:tcW w:type="dxa" w:w="2880"/>
          </w:tcPr>
          <w:p>
            <w:r>
              <w:t>-zumab/-zug</w:t>
            </w:r>
          </w:p>
        </w:tc>
        <w:tc>
          <w:tcPr>
            <w:tcW w:type="dxa" w:w="2880"/>
          </w:tcPr>
          <w:p>
            <w:r>
              <w:t>人源化 (Humanized)</w:t>
            </w:r>
          </w:p>
        </w:tc>
        <w:tc>
          <w:tcPr>
            <w:tcW w:type="dxa" w:w="2880"/>
          </w:tcPr>
          <w:p>
            <w:r>
              <w:t>Trastuzumab (曲妥珠单抗)</w:t>
            </w:r>
          </w:p>
        </w:tc>
      </w:tr>
      <w:tr>
        <w:tc>
          <w:tcPr>
            <w:tcW w:type="dxa" w:w="2880"/>
          </w:tcPr>
          <w:p>
            <w:r>
              <w:t>-ximab/-cig</w:t>
            </w:r>
          </w:p>
        </w:tc>
        <w:tc>
          <w:tcPr>
            <w:tcW w:type="dxa" w:w="2880"/>
          </w:tcPr>
          <w:p>
            <w:r>
              <w:t>嵌合 (Chimeric)</w:t>
            </w:r>
          </w:p>
        </w:tc>
        <w:tc>
          <w:tcPr>
            <w:tcW w:type="dxa" w:w="2880"/>
          </w:tcPr>
          <w:p>
            <w:r>
              <w:t>Rituximab (利妥昔单抗)</w:t>
            </w:r>
          </w:p>
        </w:tc>
      </w:tr>
      <w:tr>
        <w:tc>
          <w:tcPr>
            <w:tcW w:type="dxa" w:w="2880"/>
          </w:tcPr>
          <w:p>
            <w:r>
              <w:t>-omab</w:t>
            </w:r>
          </w:p>
        </w:tc>
        <w:tc>
          <w:tcPr>
            <w:tcW w:type="dxa" w:w="2880"/>
          </w:tcPr>
          <w:p>
            <w:r>
              <w:t>鼠源 (Murine)</w:t>
            </w:r>
          </w:p>
        </w:tc>
        <w:tc>
          <w:tcPr>
            <w:tcW w:type="dxa" w:w="2880"/>
          </w:tcPr>
          <w:p>
            <w:r>
              <w:t>Muromonab (莫罗单抗)</w:t>
            </w:r>
          </w:p>
        </w:tc>
      </w:tr>
    </w:tbl>
    <w:p/>
    <w:p>
      <w:pPr>
        <w:pStyle w:val="Heading2"/>
      </w:pPr>
      <w:r>
        <w:t>5.3 生成技术</w:t>
      </w:r>
    </w:p>
    <w:p>
      <w:r>
        <w:rPr>
          <w:b/>
        </w:rPr>
        <w:t>转基因小鼠技术：</w:t>
      </w:r>
    </w:p>
    <w:p>
      <w:pPr>
        <w:pStyle w:val="ListBullet"/>
      </w:pPr>
      <w:r>
        <w:t>敲除小鼠的鼠源抗体基因，插入人源抗体基因片段</w:t>
      </w:r>
    </w:p>
    <w:p>
      <w:pPr>
        <w:pStyle w:val="ListBullet"/>
      </w:pPr>
      <w:r>
        <w:t>用抗原免疫小鼠，筛选人源抗体</w:t>
      </w:r>
    </w:p>
    <w:p>
      <w:pPr>
        <w:pStyle w:val="ListBullet"/>
      </w:pPr>
      <w:r>
        <w:t>代表技术：XenoMouse, HuMAb-Mouse, VelocImmune</w:t>
      </w:r>
    </w:p>
    <w:p>
      <w:r>
        <w:rPr>
          <w:b/>
        </w:rPr>
        <w:t>噬菌体展示技术：</w:t>
      </w:r>
    </w:p>
    <w:p>
      <w:pPr>
        <w:pStyle w:val="ListBullet"/>
      </w:pPr>
      <w:r>
        <w:t>构建人源抗体文库（10^9-10^11 个克隆）</w:t>
      </w:r>
    </w:p>
    <w:p>
      <w:pPr>
        <w:pStyle w:val="ListBullet"/>
      </w:pPr>
      <w:r>
        <w:t>用抗原筛选结合噬菌体</w:t>
      </w:r>
    </w:p>
    <w:p>
      <w:pPr>
        <w:pStyle w:val="ListBullet"/>
      </w:pPr>
      <w:r>
        <w:t>代表技术：HuCAL, n-CoDeR, OrthoLibrary</w:t>
      </w:r>
    </w:p>
    <w:p/>
    <w:p>
      <w:pPr>
        <w:pStyle w:val="Heading2"/>
      </w:pPr>
      <w:r>
        <w:t>5.4 已批准的全人源抗体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药物名称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靶点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适应症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批准年份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技术</w:t>
            </w:r>
          </w:p>
        </w:tc>
      </w:tr>
      <w:tr>
        <w:tc>
          <w:tcPr>
            <w:tcW w:type="dxa" w:w="1728"/>
          </w:tcPr>
          <w:p>
            <w:r>
              <w:t>Adalimumab</w:t>
            </w:r>
          </w:p>
        </w:tc>
        <w:tc>
          <w:tcPr>
            <w:tcW w:type="dxa" w:w="1728"/>
          </w:tcPr>
          <w:p>
            <w:r>
              <w:t>TNF-α</w:t>
            </w:r>
          </w:p>
        </w:tc>
        <w:tc>
          <w:tcPr>
            <w:tcW w:type="dxa" w:w="1728"/>
          </w:tcPr>
          <w:p>
            <w:r>
              <w:t>类风湿关节炎</w:t>
            </w:r>
          </w:p>
        </w:tc>
        <w:tc>
          <w:tcPr>
            <w:tcW w:type="dxa" w:w="1728"/>
          </w:tcPr>
          <w:p>
            <w:r>
              <w:t>2002</w:t>
            </w:r>
          </w:p>
        </w:tc>
        <w:tc>
          <w:tcPr>
            <w:tcW w:type="dxa" w:w="1728"/>
          </w:tcPr>
          <w:p>
            <w:r>
              <w:t>转基因小鼠</w:t>
            </w:r>
          </w:p>
        </w:tc>
      </w:tr>
      <w:tr>
        <w:tc>
          <w:tcPr>
            <w:tcW w:type="dxa" w:w="1728"/>
          </w:tcPr>
          <w:p>
            <w:r>
              <w:t>Natalizumab</w:t>
            </w:r>
          </w:p>
        </w:tc>
        <w:tc>
          <w:tcPr>
            <w:tcW w:type="dxa" w:w="1728"/>
          </w:tcPr>
          <w:p>
            <w:r>
              <w:t>α4 整合素</w:t>
            </w:r>
          </w:p>
        </w:tc>
        <w:tc>
          <w:tcPr>
            <w:tcW w:type="dxa" w:w="1728"/>
          </w:tcPr>
          <w:p>
            <w:r>
              <w:t>多发性硬化</w:t>
            </w:r>
          </w:p>
        </w:tc>
        <w:tc>
          <w:tcPr>
            <w:tcW w:type="dxa" w:w="1728"/>
          </w:tcPr>
          <w:p>
            <w:r>
              <w:t>2004</w:t>
            </w:r>
          </w:p>
        </w:tc>
        <w:tc>
          <w:tcPr>
            <w:tcW w:type="dxa" w:w="1728"/>
          </w:tcPr>
          <w:p>
            <w:r>
              <w:t>噬菌体展示</w:t>
            </w:r>
          </w:p>
        </w:tc>
      </w:tr>
      <w:tr>
        <w:tc>
          <w:tcPr>
            <w:tcW w:type="dxa" w:w="1728"/>
          </w:tcPr>
          <w:p>
            <w:r>
              <w:t>Denosumab</w:t>
            </w:r>
          </w:p>
        </w:tc>
        <w:tc>
          <w:tcPr>
            <w:tcW w:type="dxa" w:w="1728"/>
          </w:tcPr>
          <w:p>
            <w:r>
              <w:t>RANKL</w:t>
            </w:r>
          </w:p>
        </w:tc>
        <w:tc>
          <w:tcPr>
            <w:tcW w:type="dxa" w:w="1728"/>
          </w:tcPr>
          <w:p>
            <w:r>
              <w:t>骨质疏松</w:t>
            </w:r>
          </w:p>
        </w:tc>
        <w:tc>
          <w:tcPr>
            <w:tcW w:type="dxa" w:w="1728"/>
          </w:tcPr>
          <w:p>
            <w:r>
              <w:t>2010</w:t>
            </w:r>
          </w:p>
        </w:tc>
        <w:tc>
          <w:tcPr>
            <w:tcW w:type="dxa" w:w="1728"/>
          </w:tcPr>
          <w:p>
            <w:r>
              <w:t>转基因小鼠</w:t>
            </w:r>
          </w:p>
        </w:tc>
      </w:tr>
      <w:tr>
        <w:tc>
          <w:tcPr>
            <w:tcW w:type="dxa" w:w="1728"/>
          </w:tcPr>
          <w:p>
            <w:r>
              <w:t>Nivolumab</w:t>
            </w:r>
          </w:p>
        </w:tc>
        <w:tc>
          <w:tcPr>
            <w:tcW w:type="dxa" w:w="1728"/>
          </w:tcPr>
          <w:p>
            <w:r>
              <w:t>PD-1</w:t>
            </w:r>
          </w:p>
        </w:tc>
        <w:tc>
          <w:tcPr>
            <w:tcW w:type="dxa" w:w="1728"/>
          </w:tcPr>
          <w:p>
            <w:r>
              <w:t>黑色素瘤</w:t>
            </w:r>
          </w:p>
        </w:tc>
        <w:tc>
          <w:tcPr>
            <w:tcW w:type="dxa" w:w="1728"/>
          </w:tcPr>
          <w:p>
            <w:r>
              <w:t>2014</w:t>
            </w:r>
          </w:p>
        </w:tc>
        <w:tc>
          <w:tcPr>
            <w:tcW w:type="dxa" w:w="1728"/>
          </w:tcPr>
          <w:p>
            <w:r>
              <w:t>转基因小鼠</w:t>
            </w:r>
          </w:p>
        </w:tc>
      </w:tr>
      <w:tr>
        <w:tc>
          <w:tcPr>
            <w:tcW w:type="dxa" w:w="1728"/>
          </w:tcPr>
          <w:p>
            <w:r>
              <w:t>Pembrolizumab</w:t>
            </w:r>
          </w:p>
        </w:tc>
        <w:tc>
          <w:tcPr>
            <w:tcW w:type="dxa" w:w="1728"/>
          </w:tcPr>
          <w:p>
            <w:r>
              <w:t>PD-1</w:t>
            </w:r>
          </w:p>
        </w:tc>
        <w:tc>
          <w:tcPr>
            <w:tcW w:type="dxa" w:w="1728"/>
          </w:tcPr>
          <w:p>
            <w:r>
              <w:t>黑色素瘤</w:t>
            </w:r>
          </w:p>
        </w:tc>
        <w:tc>
          <w:tcPr>
            <w:tcW w:type="dxa" w:w="1728"/>
          </w:tcPr>
          <w:p>
            <w:r>
              <w:t>2014</w:t>
            </w:r>
          </w:p>
        </w:tc>
        <w:tc>
          <w:tcPr>
            <w:tcW w:type="dxa" w:w="1728"/>
          </w:tcPr>
          <w:p>
            <w:r>
              <w:t>噬菌体展示</w:t>
            </w:r>
          </w:p>
        </w:tc>
      </w:tr>
      <w:tr>
        <w:tc>
          <w:tcPr>
            <w:tcW w:type="dxa" w:w="1728"/>
          </w:tcPr>
          <w:p>
            <w:r>
              <w:t>Atezolizumab</w:t>
            </w:r>
          </w:p>
        </w:tc>
        <w:tc>
          <w:tcPr>
            <w:tcW w:type="dxa" w:w="1728"/>
          </w:tcPr>
          <w:p>
            <w:r>
              <w:t>PD-L1</w:t>
            </w:r>
          </w:p>
        </w:tc>
        <w:tc>
          <w:tcPr>
            <w:tcW w:type="dxa" w:w="1728"/>
          </w:tcPr>
          <w:p>
            <w:r>
              <w:t>膀胱癌</w:t>
            </w:r>
          </w:p>
        </w:tc>
        <w:tc>
          <w:tcPr>
            <w:tcW w:type="dxa" w:w="1728"/>
          </w:tcPr>
          <w:p>
            <w:r>
              <w:t>2016</w:t>
            </w:r>
          </w:p>
        </w:tc>
        <w:tc>
          <w:tcPr>
            <w:tcW w:type="dxa" w:w="1728"/>
          </w:tcPr>
          <w:p>
            <w:r>
              <w:t>转基因小鼠</w:t>
            </w:r>
          </w:p>
        </w:tc>
      </w:tr>
      <w:tr>
        <w:tc>
          <w:tcPr>
            <w:tcW w:type="dxa" w:w="1728"/>
          </w:tcPr>
          <w:p>
            <w:r>
              <w:t>Avelumab</w:t>
            </w:r>
          </w:p>
        </w:tc>
        <w:tc>
          <w:tcPr>
            <w:tcW w:type="dxa" w:w="1728"/>
          </w:tcPr>
          <w:p>
            <w:r>
              <w:t>PD-L1</w:t>
            </w:r>
          </w:p>
        </w:tc>
        <w:tc>
          <w:tcPr>
            <w:tcW w:type="dxa" w:w="1728"/>
          </w:tcPr>
          <w:p>
            <w:r>
              <w:t>Merkel 细胞癌</w:t>
            </w:r>
          </w:p>
        </w:tc>
        <w:tc>
          <w:tcPr>
            <w:tcW w:type="dxa" w:w="1728"/>
          </w:tcPr>
          <w:p>
            <w:r>
              <w:t>2017</w:t>
            </w:r>
          </w:p>
        </w:tc>
        <w:tc>
          <w:tcPr>
            <w:tcW w:type="dxa" w:w="1728"/>
          </w:tcPr>
          <w:p>
            <w:r>
              <w:t>噬菌体展示</w:t>
            </w:r>
          </w:p>
        </w:tc>
      </w:tr>
    </w:tbl>
    <w:p/>
    <w:p>
      <w:pPr>
        <w:pStyle w:val="Heading2"/>
      </w:pPr>
      <w:r>
        <w:t>5.5 与人源化抗体的区别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方面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全人源抗体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人源化抗体</w:t>
            </w:r>
          </w:p>
        </w:tc>
      </w:tr>
      <w:tr>
        <w:tc>
          <w:tcPr>
            <w:tcW w:type="dxa" w:w="2880"/>
          </w:tcPr>
          <w:p>
            <w:r>
              <w:t>V 区来源</w:t>
            </w:r>
          </w:p>
        </w:tc>
        <w:tc>
          <w:tcPr>
            <w:tcW w:type="dxa" w:w="2880"/>
          </w:tcPr>
          <w:p>
            <w:r>
              <w:t>人抗体库</w:t>
            </w:r>
          </w:p>
        </w:tc>
        <w:tc>
          <w:tcPr>
            <w:tcW w:type="dxa" w:w="2880"/>
          </w:tcPr>
          <w:p>
            <w:r>
              <w:t>鼠 CDR + 人 FR</w:t>
            </w:r>
          </w:p>
        </w:tc>
      </w:tr>
      <w:tr>
        <w:tc>
          <w:tcPr>
            <w:tcW w:type="dxa" w:w="2880"/>
          </w:tcPr>
          <w:p>
            <w:r>
              <w:t>FR 同源性（典型值）</w:t>
            </w:r>
          </w:p>
        </w:tc>
        <w:tc>
          <w:tcPr>
            <w:tcW w:type="dxa" w:w="2880"/>
          </w:tcPr>
          <w:p>
            <w:r>
              <w:t>≥ 95%</w:t>
            </w:r>
          </w:p>
        </w:tc>
        <w:tc>
          <w:tcPr>
            <w:tcW w:type="dxa" w:w="2880"/>
          </w:tcPr>
          <w:p>
            <w:r>
              <w:t>85-95%</w:t>
            </w:r>
          </w:p>
        </w:tc>
      </w:tr>
      <w:tr>
        <w:tc>
          <w:tcPr>
            <w:tcW w:type="dxa" w:w="2880"/>
          </w:tcPr>
          <w:p>
            <w:r>
              <w:t>CDR 同源性（典型值）</w:t>
            </w:r>
          </w:p>
        </w:tc>
        <w:tc>
          <w:tcPr>
            <w:tcW w:type="dxa" w:w="2880"/>
          </w:tcPr>
          <w:p>
            <w:r>
              <w:t>≥ 90%</w:t>
            </w:r>
          </w:p>
        </w:tc>
        <w:tc>
          <w:tcPr>
            <w:tcW w:type="dxa" w:w="2880"/>
          </w:tcPr>
          <w:p>
            <w:r>
              <w:t>50-80%</w:t>
            </w:r>
          </w:p>
        </w:tc>
      </w:tr>
      <w:tr>
        <w:tc>
          <w:tcPr>
            <w:tcW w:type="dxa" w:w="2880"/>
          </w:tcPr>
          <w:p>
            <w:r>
              <w:t>免疫原性</w:t>
            </w:r>
          </w:p>
        </w:tc>
        <w:tc>
          <w:tcPr>
            <w:tcW w:type="dxa" w:w="2880"/>
          </w:tcPr>
          <w:p>
            <w:r>
              <w:t>最低</w:t>
            </w:r>
          </w:p>
        </w:tc>
        <w:tc>
          <w:tcPr>
            <w:tcW w:type="dxa" w:w="2880"/>
          </w:tcPr>
          <w:p>
            <w:r>
              <w:t>低</w:t>
            </w:r>
          </w:p>
        </w:tc>
      </w:tr>
      <w:tr>
        <w:tc>
          <w:tcPr>
            <w:tcW w:type="dxa" w:w="2880"/>
          </w:tcPr>
          <w:p>
            <w:r>
              <w:t>命名后缀</w:t>
            </w:r>
          </w:p>
        </w:tc>
        <w:tc>
          <w:tcPr>
            <w:tcW w:type="dxa" w:w="2880"/>
          </w:tcPr>
          <w:p>
            <w:r>
              <w:t>-umab/-tug</w:t>
            </w:r>
          </w:p>
        </w:tc>
        <w:tc>
          <w:tcPr>
            <w:tcW w:type="dxa" w:w="2880"/>
          </w:tcPr>
          <w:p>
            <w:r>
              <w:t>-zumab/-zug</w:t>
            </w:r>
          </w:p>
        </w:tc>
      </w:tr>
    </w:tbl>
    <w:p/>
    <w:p>
      <w:pPr>
        <w:pStyle w:val="Heading1"/>
      </w:pPr>
      <w:r>
        <w:t>6. IMGT vs Kabat：评估与工程化的双编号系统</w:t>
      </w:r>
    </w:p>
    <w:p>
      <w:pPr>
        <w:pStyle w:val="Heading2"/>
      </w:pPr>
      <w:r>
        <w:t>6.1 历史背景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系统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创建时间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创建者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初始目的</w:t>
            </w:r>
          </w:p>
        </w:tc>
      </w:tr>
      <w:tr>
        <w:tc>
          <w:tcPr>
            <w:tcW w:type="dxa" w:w="2160"/>
          </w:tcPr>
          <w:p>
            <w:r>
              <w:t>Kabat</w:t>
            </w:r>
          </w:p>
        </w:tc>
        <w:tc>
          <w:tcPr>
            <w:tcW w:type="dxa" w:w="2160"/>
          </w:tcPr>
          <w:p>
            <w:r>
              <w:t>1979</w:t>
            </w:r>
          </w:p>
        </w:tc>
        <w:tc>
          <w:tcPr>
            <w:tcW w:type="dxa" w:w="2160"/>
          </w:tcPr>
          <w:p>
            <w:r>
              <w:t>Elvin Kabat</w:t>
            </w:r>
          </w:p>
        </w:tc>
        <w:tc>
          <w:tcPr>
            <w:tcW w:type="dxa" w:w="2160"/>
          </w:tcPr>
          <w:p>
            <w:r>
              <w:t>序列比对和结构研究</w:t>
            </w:r>
          </w:p>
        </w:tc>
      </w:tr>
      <w:tr>
        <w:tc>
          <w:tcPr>
            <w:tcW w:type="dxa" w:w="2160"/>
          </w:tcPr>
          <w:p>
            <w:r>
              <w:t>IMGT</w:t>
            </w:r>
          </w:p>
        </w:tc>
        <w:tc>
          <w:tcPr>
            <w:tcW w:type="dxa" w:w="2160"/>
          </w:tcPr>
          <w:p>
            <w:r>
              <w:t>1989</w:t>
            </w:r>
          </w:p>
        </w:tc>
        <w:tc>
          <w:tcPr>
            <w:tcW w:type="dxa" w:w="2160"/>
          </w:tcPr>
          <w:p>
            <w:r>
              <w:t>Marie-Paule Lefranc</w:t>
            </w:r>
          </w:p>
        </w:tc>
        <w:tc>
          <w:tcPr>
            <w:tcW w:type="dxa" w:w="2160"/>
          </w:tcPr>
          <w:p>
            <w:r>
              <w:t>免疫遗传学数据库标准化</w:t>
            </w:r>
          </w:p>
        </w:tc>
      </w:tr>
    </w:tbl>
    <w:p/>
    <w:p>
      <w:pPr>
        <w:pStyle w:val="Heading2"/>
      </w:pPr>
      <w:r>
        <w:t>6.2 核心差异</w:t>
      </w:r>
    </w:p>
    <w:p>
      <w:r>
        <w:rPr>
          <w:b/>
        </w:rPr>
        <w:t>Kabat 编号系统：</w:t>
      </w:r>
    </w:p>
    <w:p>
      <w:pPr>
        <w:pStyle w:val="ListBullet"/>
      </w:pPr>
      <w:r>
        <w:t>CDR 边界：基于序列可变性（高变区）</w:t>
      </w:r>
    </w:p>
    <w:p>
      <w:pPr>
        <w:pStyle w:val="ListBullet"/>
      </w:pPr>
      <w:r>
        <w:t>位置数量：CDR 长度可变（5-26 残基）</w:t>
      </w:r>
    </w:p>
    <w:p>
      <w:pPr>
        <w:pStyle w:val="ListBullet"/>
      </w:pPr>
      <w:r>
        <w:t>插入编码：使用字母（H52A, H100B）</w:t>
      </w:r>
    </w:p>
    <w:p>
      <w:r>
        <w:rPr>
          <w:b/>
        </w:rPr>
        <w:t>IMGT 编号系统：</w:t>
      </w:r>
    </w:p>
    <w:p>
      <w:pPr>
        <w:pStyle w:val="ListBullet"/>
      </w:pPr>
      <w:r>
        <w:t>CDR 边界：基于结构（β-折叠）</w:t>
      </w:r>
    </w:p>
    <w:p>
      <w:pPr>
        <w:pStyle w:val="ListBullet"/>
      </w:pPr>
      <w:r>
        <w:t>位置数量：CDR 长度固定（11-10-13 残基）</w:t>
      </w:r>
    </w:p>
    <w:p>
      <w:pPr>
        <w:pStyle w:val="ListBullet"/>
      </w:pPr>
      <w:r>
        <w:t>插入编码：使用数字（H52, H52A, H52B）</w:t>
      </w:r>
    </w:p>
    <w:p/>
    <w:p>
      <w:pPr>
        <w:pStyle w:val="Heading2"/>
      </w:pPr>
      <w:r>
        <w:t>6.3 为什么评估用 IMGT？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优势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标准化</w:t>
            </w:r>
          </w:p>
        </w:tc>
        <w:tc>
          <w:tcPr>
            <w:tcW w:type="dxa" w:w="4320"/>
          </w:tcPr>
          <w:p>
            <w:r>
              <w:t>所有抗体使用统一的编号</w:t>
            </w:r>
          </w:p>
        </w:tc>
      </w:tr>
      <w:tr>
        <w:tc>
          <w:tcPr>
            <w:tcW w:type="dxa" w:w="4320"/>
          </w:tcPr>
          <w:p>
            <w:r>
              <w:t>可比性</w:t>
            </w:r>
          </w:p>
        </w:tc>
        <w:tc>
          <w:tcPr>
            <w:tcW w:type="dxa" w:w="4320"/>
          </w:tcPr>
          <w:p>
            <w:r>
              <w:t>不同抗体可以直接比较</w:t>
            </w:r>
          </w:p>
        </w:tc>
      </w:tr>
      <w:tr>
        <w:tc>
          <w:tcPr>
            <w:tcW w:type="dxa" w:w="4320"/>
          </w:tcPr>
          <w:p>
            <w:r>
              <w:t>数据库</w:t>
            </w:r>
          </w:p>
        </w:tc>
        <w:tc>
          <w:tcPr>
            <w:tcW w:type="dxa" w:w="4320"/>
          </w:tcPr>
          <w:p>
            <w:r>
              <w:t>IMGT 数据库使用 IMGT 编号</w:t>
            </w:r>
          </w:p>
        </w:tc>
      </w:tr>
      <w:tr>
        <w:tc>
          <w:tcPr>
            <w:tcW w:type="dxa" w:w="4320"/>
          </w:tcPr>
          <w:p>
            <w:r>
              <w:t>监管认可</w:t>
            </w:r>
          </w:p>
        </w:tc>
        <w:tc>
          <w:tcPr>
            <w:tcW w:type="dxa" w:w="4320"/>
          </w:tcPr>
          <w:p>
            <w:r>
              <w:t>USAN/WHO 标准采用 IMGT</w:t>
            </w:r>
          </w:p>
        </w:tc>
      </w:tr>
    </w:tbl>
    <w:p/>
    <w:p>
      <w:pPr>
        <w:pStyle w:val="Heading2"/>
      </w:pPr>
      <w:r>
        <w:t>6.4 为什么工程化用 Kabat？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优势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结构相关性</w:t>
            </w:r>
          </w:p>
        </w:tc>
        <w:tc>
          <w:tcPr>
            <w:tcW w:type="dxa" w:w="4320"/>
          </w:tcPr>
          <w:p>
            <w:r>
              <w:t>Kabat CDR 定义与抗体三维结构更相关</w:t>
            </w:r>
          </w:p>
        </w:tc>
      </w:tr>
      <w:tr>
        <w:tc>
          <w:tcPr>
            <w:tcW w:type="dxa" w:w="4320"/>
          </w:tcPr>
          <w:p>
            <w:r>
              <w:t>功能重要性</w:t>
            </w:r>
          </w:p>
        </w:tc>
        <w:tc>
          <w:tcPr>
            <w:tcW w:type="dxa" w:w="4320"/>
          </w:tcPr>
          <w:p>
            <w:r>
              <w:t>高变区直接对应功能位点</w:t>
            </w:r>
          </w:p>
        </w:tc>
      </w:tr>
      <w:tr>
        <w:tc>
          <w:tcPr>
            <w:tcW w:type="dxa" w:w="4320"/>
          </w:tcPr>
          <w:p>
            <w:r>
              <w:t>工程经验</w:t>
            </w:r>
          </w:p>
        </w:tc>
        <w:tc>
          <w:tcPr>
            <w:tcW w:type="dxa" w:w="4320"/>
          </w:tcPr>
          <w:p>
            <w:r>
              <w:t>40+ 年的工程实践积累</w:t>
            </w:r>
          </w:p>
        </w:tc>
      </w:tr>
      <w:tr>
        <w:tc>
          <w:tcPr>
            <w:tcW w:type="dxa" w:w="4320"/>
          </w:tcPr>
          <w:p>
            <w:r>
              <w:t>灵活性</w:t>
            </w:r>
          </w:p>
        </w:tc>
        <w:tc>
          <w:tcPr>
            <w:tcW w:type="dxa" w:w="4320"/>
          </w:tcPr>
          <w:p>
            <w:r>
              <w:t>字母插入编码更适合 CDR 长度变化</w:t>
            </w:r>
          </w:p>
        </w:tc>
      </w:tr>
    </w:tbl>
    <w:p/>
    <w:p>
      <w:pPr>
        <w:pStyle w:val="Heading2"/>
      </w:pPr>
      <w:r>
        <w:t>6.5 实际工作流程</w:t>
      </w:r>
    </w:p>
    <w:p>
      <w:pPr>
        <w:pStyle w:val="ListNumber"/>
      </w:pPr>
      <w:r>
        <w:t>1. 人源化评估 (IMGT)：使用 IMGT 编号评估 FR/CDR 同源性</w:t>
      </w:r>
    </w:p>
    <w:p>
      <w:pPr>
        <w:pStyle w:val="ListNumber"/>
      </w:pPr>
      <w:r>
        <w:t>2. CDR 移植 (Kabat)：使用 Kabat 编号识别 CDR 位置</w:t>
      </w:r>
    </w:p>
    <w:p>
      <w:pPr>
        <w:pStyle w:val="ListNumber"/>
      </w:pPr>
      <w:r>
        <w:t>3. 回复突变 (Kabat)：使用 Kabat 编号设计回复突变</w:t>
      </w:r>
    </w:p>
    <w:p>
      <w:pPr>
        <w:pStyle w:val="ListNumber"/>
      </w:pPr>
      <w:r>
        <w:t>4. 亲和力成熟 (Kabat)：使用 Kabat 编号定位 CDR 突变位点</w:t>
      </w:r>
    </w:p>
    <w:p/>
    <w:p>
      <w:pPr>
        <w:pStyle w:val="Heading2"/>
      </w:pPr>
      <w:r>
        <w:t>6.6 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方面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IMGT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Kabat</w:t>
            </w:r>
          </w:p>
        </w:tc>
      </w:tr>
      <w:tr>
        <w:tc>
          <w:tcPr>
            <w:tcW w:type="dxa" w:w="2880"/>
          </w:tcPr>
          <w:p>
            <w:r>
              <w:t>用途</w:t>
            </w:r>
          </w:p>
        </w:tc>
        <w:tc>
          <w:tcPr>
            <w:tcW w:type="dxa" w:w="2880"/>
          </w:tcPr>
          <w:p>
            <w:r>
              <w:t>评估、比较、数据库</w:t>
            </w:r>
          </w:p>
        </w:tc>
        <w:tc>
          <w:tcPr>
            <w:tcW w:type="dxa" w:w="2880"/>
          </w:tcPr>
          <w:p>
            <w:r>
              <w:t>工程化、设计、实验</w:t>
            </w:r>
          </w:p>
        </w:tc>
      </w:tr>
      <w:tr>
        <w:tc>
          <w:tcPr>
            <w:tcW w:type="dxa" w:w="2880"/>
          </w:tcPr>
          <w:p>
            <w:r>
              <w:t>CDR 定义</w:t>
            </w:r>
          </w:p>
        </w:tc>
        <w:tc>
          <w:tcPr>
            <w:tcW w:type="dxa" w:w="2880"/>
          </w:tcPr>
          <w:p>
            <w:r>
              <w:t>基于结构（β-折叠）</w:t>
            </w:r>
          </w:p>
        </w:tc>
        <w:tc>
          <w:tcPr>
            <w:tcW w:type="dxa" w:w="2880"/>
          </w:tcPr>
          <w:p>
            <w:r>
              <w:t>基于序列可变性</w:t>
            </w:r>
          </w:p>
        </w:tc>
      </w:tr>
      <w:tr>
        <w:tc>
          <w:tcPr>
            <w:tcW w:type="dxa" w:w="2880"/>
          </w:tcPr>
          <w:p>
            <w:r>
              <w:t>标准化</w:t>
            </w:r>
          </w:p>
        </w:tc>
        <w:tc>
          <w:tcPr>
            <w:tcW w:type="dxa" w:w="2880"/>
          </w:tcPr>
          <w:p>
            <w:r>
              <w:t>高（统一编号）</w:t>
            </w:r>
          </w:p>
        </w:tc>
        <w:tc>
          <w:tcPr>
            <w:tcW w:type="dxa" w:w="2880"/>
          </w:tcPr>
          <w:p>
            <w:r>
              <w:t>低（实验室差异）</w:t>
            </w:r>
          </w:p>
        </w:tc>
      </w:tr>
      <w:tr>
        <w:tc>
          <w:tcPr>
            <w:tcW w:type="dxa" w:w="2880"/>
          </w:tcPr>
          <w:p>
            <w:r>
              <w:t>工程经验</w:t>
            </w:r>
          </w:p>
        </w:tc>
        <w:tc>
          <w:tcPr>
            <w:tcW w:type="dxa" w:w="2880"/>
          </w:tcPr>
          <w:p>
            <w:r>
              <w:t>少（30+ 年）</w:t>
            </w:r>
          </w:p>
        </w:tc>
        <w:tc>
          <w:tcPr>
            <w:tcW w:type="dxa" w:w="2880"/>
          </w:tcPr>
          <w:p>
            <w:r>
              <w:t>多（40+ 年）</w:t>
            </w:r>
          </w:p>
        </w:tc>
      </w:tr>
      <w:tr>
        <w:tc>
          <w:tcPr>
            <w:tcW w:type="dxa" w:w="2880"/>
          </w:tcPr>
          <w:p>
            <w:r>
              <w:t>文献支持</w:t>
            </w:r>
          </w:p>
        </w:tc>
        <w:tc>
          <w:tcPr>
            <w:tcW w:type="dxa" w:w="2880"/>
          </w:tcPr>
          <w:p>
            <w:r>
              <w:t>新文献</w:t>
            </w:r>
          </w:p>
        </w:tc>
        <w:tc>
          <w:tcPr>
            <w:tcW w:type="dxa" w:w="2880"/>
          </w:tcPr>
          <w:p>
            <w:r>
              <w:t>大量历史文献</w:t>
            </w:r>
          </w:p>
        </w:tc>
      </w:tr>
    </w:tbl>
    <w:p/>
    <w:p>
      <w:r>
        <w:t>结论：评估用 IMGT（标准化、监管认可），工程化用 Kabat（结构相关性、实验经验），两者互补。</w:t>
      </w:r>
    </w:p>
    <w:p/>
    <w:p>
      <w:pPr>
        <w:pStyle w:val="Heading1"/>
      </w:pPr>
      <w:r>
        <w:t>7. 参考文献</w:t>
      </w:r>
    </w:p>
    <w:p>
      <w:pPr>
        <w:pStyle w:val="ListNumber"/>
      </w:pPr>
      <w:r>
        <w:t>WHO. (2012). International Nonproprietary Names (INN) for Biological Products. World Health Organization.</w:t>
      </w:r>
    </w:p>
    <w:p>
      <w:pPr>
        <w:pStyle w:val="ListNumber"/>
      </w:pPr>
      <w:r>
        <w:t>Lefranc, M. P., et al. (1999). IMGT, the international ImMunoGeneTics database. Nucleic Acids Research, 27(1), 209-212.</w:t>
      </w:r>
    </w:p>
    <w:p>
      <w:pPr>
        <w:pStyle w:val="ListNumber"/>
      </w:pPr>
      <w:r>
        <w:t>Chothia, C., et al. (1989). Conformations of immunoglobulin hypervariable regions. Nature, 342(6245), 877-883.</w:t>
      </w:r>
    </w:p>
    <w:p>
      <w:pPr>
        <w:pStyle w:val="ListNumber"/>
      </w:pPr>
      <w:r>
        <w:t>Kabat, E. A., et al. (1991). Sequences of Proteins of Immunological Interest. 5th ed. US Department of Health and Human Services.</w:t>
      </w:r>
    </w:p>
    <w:p/>
    <w:p>
      <w:pPr>
        <w:jc w:val="center"/>
      </w:pPr>
      <w:r>
        <w:rPr>
          <w:color w:val="999999"/>
          <w:sz w:val="18"/>
        </w:rPr>
        <w:t>生成时间：2026年9月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