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pPr>
        <w:pStyle w:val="1"/>
        <w:ind w:firstLine="3338" w:firstLineChars="1192"/>
        <w:jc w:val="right"/>
        <w:rPr>
          <w:rFonts w:ascii="宋体" w:eastAsia="宋体" w:hAnsi="宋体" w:hint="eastAsia"/>
          <w:b w:val="0"/>
          <w:bCs w:val="0"/>
          <w:sz w:val="28"/>
          <w:szCs w:val="28"/>
        </w:rPr>
      </w:pPr>
      <w:bookmarkStart w:id="0" w:name="_Toc261207568"/>
      <w:r>
        <w:rPr>
          <w:rFonts w:ascii="宋体" w:eastAsia="宋体" w:hAnsi="宋体"/>
          <w:b w:val="0"/>
          <w:sz w:val="28"/>
          <w:szCs w:val="28"/>
        </w:rPr>
        <w:t>报告编号：</w:t>
      </w:r>
      <w:bookmarkStart w:id="1" w:name="P1_报告编号"/>
      <w:r>
        <w:rPr>
          <w:rFonts w:ascii="宋体" w:eastAsia="宋体" w:hAnsi="宋体" w:hint="eastAsia"/>
          <w:b w:val="0"/>
          <w:sz w:val="28"/>
          <w:szCs w:val="28"/>
          <w:u w:val="single"/>
        </w:rPr>
        <w:t>GJJCZX-BLGS-LYEC-JKY-002</w:t>
      </w:r>
      <w:bookmarkEnd w:id="1"/>
    </w:p>
    <w:p>
      <w:pPr>
        <w:spacing w:line="288" w:lineRule="auto"/>
        <w:jc w:val="center"/>
        <w:rPr>
          <w:rFonts w:ascii="宋体" w:hAnsi="宋体" w:cs="宋体"/>
          <w:sz w:val="44"/>
          <w:szCs w:val="44"/>
        </w:rPr>
      </w:pPr>
    </w:p>
    <w:p>
      <w:pPr>
        <w:spacing w:line="288" w:lineRule="auto"/>
        <w:jc w:val="center"/>
        <w:rPr>
          <w:rFonts w:ascii="宋体" w:hAnsi="宋体" w:cs="宋体" w:hint="eastAsia"/>
          <w:sz w:val="44"/>
          <w:szCs w:val="44"/>
        </w:rPr>
      </w:pPr>
    </w:p>
    <w:p>
      <w:pPr>
        <w:spacing w:line="288" w:lineRule="auto"/>
        <w:jc w:val="center"/>
        <w:rPr>
          <w:rFonts w:ascii="宋体" w:hAnsi="宋体" w:cs="宋体"/>
          <w:sz w:val="44"/>
          <w:szCs w:val="44"/>
        </w:rPr>
      </w:pPr>
      <w:bookmarkStart w:id="2" w:name="P1_项目名称"/>
      <w:r>
        <w:rPr>
          <w:rFonts w:ascii="宋体" w:hAnsi="宋体" w:cs="宋体" w:hint="eastAsia"/>
          <w:sz w:val="44"/>
          <w:szCs w:val="44"/>
        </w:rPr>
        <w:t>云南保山至泸水高速公路老营特长隧道</w:t>
      </w:r>
      <w:bookmarkEnd w:id="2"/>
    </w:p>
    <w:p>
      <w:pPr>
        <w:spacing w:line="288" w:lineRule="auto"/>
        <w:jc w:val="center"/>
        <w:rPr>
          <w:rFonts w:ascii="楷体_GB2312" w:eastAsia="楷体_GB2312" w:hAnsi="宋体" w:cs="楷体_GB2312" w:hint="eastAsia"/>
          <w:b/>
          <w:bCs/>
          <w:sz w:val="44"/>
          <w:szCs w:val="44"/>
        </w:rPr>
      </w:pPr>
    </w:p>
    <w:p>
      <w:pPr>
        <w:adjustRightInd w:val="0"/>
        <w:snapToGrid w:val="0"/>
        <w:spacing w:before="163" w:beforeLines="50" w:after="163" w:afterLines="50"/>
        <w:jc w:val="center"/>
        <w:rPr>
          <w:rFonts w:ascii="宋体" w:hAnsi="宋体" w:hint="eastAsia"/>
          <w:sz w:val="48"/>
        </w:rPr>
      </w:pPr>
      <w:r>
        <w:rPr>
          <w:rFonts w:ascii="黑体" w:eastAsia="黑体" w:hAnsi="黑体" w:cs="黑体" w:hint="eastAsia"/>
          <w:b/>
          <w:bCs/>
          <w:sz w:val="72"/>
          <w:szCs w:val="72"/>
        </w:rPr>
        <w:t>二次衬砌质量检测报告</w:t>
      </w:r>
    </w:p>
    <w:p>
      <w:pPr>
        <w:pStyle w:val="1"/>
        <w:ind w:firstLine="1798" w:firstLineChars="642"/>
        <w:rPr>
          <w:rFonts w:ascii="宋体" w:eastAsia="宋体" w:hAnsi="宋体" w:hint="eastAsia"/>
          <w:b w:val="0"/>
          <w:bCs w:val="0"/>
          <w:sz w:val="28"/>
          <w:szCs w:val="28"/>
        </w:rPr>
      </w:pPr>
      <w:r>
        <w:rPr>
          <w:rFonts w:ascii="宋体" w:eastAsia="宋体" w:hAnsi="宋体" w:hint="eastAsia"/>
          <w:b w:val="0"/>
          <w:sz w:val="28"/>
          <w:szCs w:val="28"/>
        </w:rPr>
        <w:t xml:space="preserve">  </w:t>
      </w:r>
    </w:p>
    <w:p>
      <w:pPr>
        <w:jc w:val="center"/>
        <w:rPr>
          <w:rFonts w:ascii="宋体" w:hAnsi="宋体" w:hint="eastAsia"/>
          <w:sz w:val="48"/>
        </w:rPr>
      </w:pPr>
    </w:p>
    <w:p>
      <w:pPr>
        <w:jc w:val="center"/>
        <w:rPr>
          <w:rFonts w:ascii="宋体" w:hAnsi="宋体" w:hint="eastAsia"/>
          <w:sz w:val="48"/>
        </w:rPr>
      </w:pPr>
    </w:p>
    <w:p>
      <w:pPr>
        <w:jc w:val="center"/>
        <w:rPr>
          <w:rFonts w:ascii="宋体" w:hAnsi="宋体" w:hint="eastAsia"/>
          <w:sz w:val="48"/>
        </w:rPr>
      </w:pPr>
    </w:p>
    <w:p>
      <w:pPr>
        <w:pStyle w:val="1"/>
        <w:ind w:firstLine="880" w:firstLineChars="275"/>
        <w:rPr>
          <w:rFonts w:hint="eastAsia"/>
        </w:rPr>
      </w:pPr>
      <w:r>
        <w:rPr>
          <w:rFonts w:hint="eastAsia"/>
        </w:rPr>
        <w:t>合 同 段</w:t>
      </w:r>
      <w:r>
        <w:t>：</w:t>
      </w:r>
      <w:bookmarkStart w:id="3" w:name="P1_合同段"/>
      <w:r>
        <w:rPr>
          <w:rFonts w:ascii="宋体" w:eastAsia="宋体" w:hAnsi="宋体"/>
          <w:b w:val="0"/>
          <w:szCs w:val="30"/>
          <w:u w:val="single"/>
        </w:rPr>
        <w:t xml:space="preserve">      土建S1合同         </w:t>
      </w:r>
      <w:bookmarkEnd w:id="3"/>
    </w:p>
    <w:p>
      <w:pPr>
        <w:pStyle w:val="1"/>
        <w:ind w:firstLine="880" w:firstLineChars="275"/>
        <w:rPr>
          <w:rFonts w:ascii="宋体" w:eastAsia="宋体" w:hAnsi="宋体" w:hint="eastAsia"/>
          <w:b w:val="0"/>
          <w:sz w:val="30"/>
          <w:u w:val="single"/>
        </w:rPr>
      </w:pPr>
      <w:r>
        <w:rPr>
          <w:rFonts w:hint="eastAsia"/>
        </w:rPr>
        <w:t>隧道名称：</w:t>
      </w:r>
      <w:bookmarkStart w:id="4" w:name="P1_隧道名称"/>
      <w:r>
        <w:rPr>
          <w:rFonts w:ascii="宋体" w:eastAsia="宋体" w:hAnsi="宋体" w:hint="eastAsia"/>
          <w:b w:val="0"/>
          <w:szCs w:val="32"/>
          <w:u w:val="single"/>
        </w:rPr>
        <w:t>老营特长隧道右幅（进口端）</w:t>
      </w:r>
      <w:bookmarkEnd w:id="4"/>
    </w:p>
    <w:p>
      <w:pPr>
        <w:pStyle w:val="1"/>
        <w:ind w:firstLine="880" w:firstLineChars="275"/>
        <w:rPr>
          <w:rFonts w:ascii="宋体" w:eastAsia="宋体" w:hAnsi="宋体" w:hint="eastAsia"/>
          <w:b w:val="0"/>
          <w:szCs w:val="32"/>
          <w:u w:val="single"/>
        </w:rPr>
      </w:pPr>
      <w:r>
        <w:rPr>
          <w:rFonts w:hint="eastAsia"/>
        </w:rPr>
        <w:t>检测里程</w:t>
      </w:r>
      <w:r>
        <w:t>：</w:t>
      </w:r>
      <w:bookmarkStart w:id="5" w:name="P1_监测范围1"/>
      <w:r>
        <w:rPr>
          <w:rFonts w:ascii="宋体" w:eastAsia="宋体" w:hAnsi="宋体"/>
          <w:b w:val="0"/>
          <w:szCs w:val="30"/>
          <w:u w:val="single"/>
        </w:rPr>
        <w:t xml:space="preserve">      K1+400～K1+460      </w:t>
      </w:r>
      <w:bookmarkEnd w:id="5"/>
    </w:p>
    <w:p>
      <w:pPr>
        <w:pStyle w:val="1"/>
        <w:ind w:firstLine="880" w:firstLineChars="275"/>
        <w:rPr>
          <w:rFonts w:ascii="宋体" w:eastAsia="宋体" w:hAnsi="宋体" w:hint="eastAsia"/>
          <w:b w:val="0"/>
          <w:szCs w:val="30"/>
          <w:u w:val="single"/>
        </w:rPr>
      </w:pPr>
      <w:r>
        <w:rPr>
          <w:rFonts w:hint="eastAsia"/>
          <w:szCs w:val="32"/>
        </w:rPr>
        <w:t>检测</w:t>
      </w:r>
      <w:r>
        <w:rPr>
          <w:szCs w:val="32"/>
        </w:rPr>
        <w:t>日期：</w:t>
      </w:r>
      <w:bookmarkStart w:id="6" w:name="P1_监测日期"/>
      <w:r>
        <w:rPr>
          <w:rFonts w:hint="eastAsia"/>
          <w:b w:val="0"/>
          <w:szCs w:val="32"/>
          <w:u w:val="single"/>
        </w:rPr>
        <w:t xml:space="preserve">    2019年01月10日     </w:t>
      </w:r>
      <w:bookmarkEnd w:id="6"/>
    </w:p>
    <w:p>
      <w:pPr>
        <w:jc w:val="center"/>
        <w:rPr>
          <w:rFonts w:ascii="宋体" w:hAnsi="宋体" w:hint="eastAsia"/>
          <w:sz w:val="48"/>
        </w:rPr>
      </w:pPr>
    </w:p>
    <w:p>
      <w:pPr>
        <w:jc w:val="center"/>
        <w:rPr>
          <w:rFonts w:ascii="宋体" w:hAnsi="宋体" w:hint="eastAsia"/>
          <w:sz w:val="48"/>
        </w:rPr>
      </w:pPr>
    </w:p>
    <w:p>
      <w:pPr>
        <w:rPr>
          <w:rFonts w:ascii="宋体" w:hAnsi="宋体" w:hint="eastAsia"/>
          <w:sz w:val="48"/>
        </w:rPr>
      </w:pPr>
    </w:p>
    <w:p>
      <w:pPr>
        <w:pStyle w:val="Style1"/>
        <w:spacing w:line="240" w:lineRule="auto"/>
        <w:ind w:firstLine="0" w:firstLineChars="0"/>
        <w:rPr>
          <w:rFonts w:ascii="宋体" w:hAnsi="宋体" w:hint="eastAsia"/>
          <w:b/>
          <w:color w:val="333333"/>
          <w:sz w:val="36"/>
          <w:szCs w:val="36"/>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1" style="width:54.45pt;height:44.7pt;mso-position-horizontal-relative:page;mso-position-vertical-relative:page;mso-wrap-style:square" filled="f" stroked="f">
            <v:stroke linestyle="single"/>
            <v:imagedata r:id="rId4" o:title="1"/>
            <v:path o:extrusionok="f"/>
            <o:lock v:ext="edit" aspectratio="t"/>
          </v:shape>
        </w:pict>
      </w:r>
      <w:bookmarkStart w:id="7" w:name="P1_监测公司"/>
      <w:r>
        <w:rPr>
          <w:rFonts w:ascii="宋体" w:hAnsi="宋体" w:hint="eastAsia"/>
          <w:b/>
          <w:color w:val="333333"/>
          <w:sz w:val="36"/>
          <w:szCs w:val="36"/>
        </w:rPr>
        <w:t>贵州省交通建设工程检测中心有限责任公司</w:t>
      </w:r>
      <w:bookmarkEnd w:id="7"/>
    </w:p>
    <w:p>
      <w:pPr>
        <w:pStyle w:val="Style1"/>
        <w:spacing w:line="240" w:lineRule="auto"/>
        <w:ind w:firstLine="360" w:firstLineChars="100"/>
        <w:rPr>
          <w:sz w:val="52"/>
          <w:szCs w:val="52"/>
        </w:rPr>
      </w:pPr>
      <w:bookmarkStart w:id="8" w:name="P1_项目部"/>
      <w:r>
        <w:rPr>
          <w:rFonts w:ascii="宋体" w:hAnsi="宋体" w:hint="eastAsia"/>
          <w:b/>
          <w:color w:val="333333"/>
          <w:sz w:val="36"/>
          <w:szCs w:val="36"/>
        </w:rPr>
        <w:t>云南保泸高速公路隧道检测第一合同项目经理部</w:t>
      </w:r>
      <w:bookmarkEnd w:id="8"/>
    </w:p>
    <w:p>
      <w:pPr>
        <w:pStyle w:val="10"/>
        <w:spacing w:after="163" w:afterLines="50"/>
        <w:rPr>
          <w:rFonts w:ascii="宋体" w:cs="宋体" w:hint="eastAsia"/>
          <w:sz w:val="52"/>
          <w:szCs w:val="52"/>
        </w:rPr>
      </w:pPr>
      <w:r>
        <w:rPr>
          <w:rFonts w:ascii="宋体" w:cs="宋体" w:hint="eastAsia"/>
        </w:rPr>
        <w:t>注 意 事 项</w:t>
      </w:r>
    </w:p>
    <w:p>
      <w:pPr>
        <w:pStyle w:val="2"/>
        <w:numPr>
          <w:ilvl w:val="0"/>
          <w:numId w:val="2"/>
        </w:numPr>
        <w:tabs>
          <w:tab w:val="left" w:pos="840"/>
        </w:tabs>
        <w:ind w:left="1054" w:hanging="574" w:leftChars="200" w:hangingChars="205"/>
      </w:pPr>
      <w:r>
        <w:t>报告无“报告专用章”</w:t>
      </w:r>
      <w:r>
        <w:rPr>
          <w:rFonts w:hint="eastAsia"/>
        </w:rPr>
        <w:t>或公司公章</w:t>
      </w:r>
      <w:r>
        <w:t>无效。</w:t>
      </w:r>
    </w:p>
    <w:p>
      <w:pPr>
        <w:pStyle w:val="2"/>
        <w:numPr>
          <w:ilvl w:val="0"/>
          <w:numId w:val="2"/>
        </w:numPr>
        <w:tabs>
          <w:tab w:val="left" w:pos="840"/>
        </w:tabs>
        <w:ind w:left="1054" w:hanging="574" w:leftChars="200" w:hangingChars="205"/>
      </w:pPr>
      <w:r>
        <w:t>复制报告未加盖“报告专用章”无效。</w:t>
      </w:r>
    </w:p>
    <w:p>
      <w:pPr>
        <w:pStyle w:val="2"/>
        <w:numPr>
          <w:ilvl w:val="0"/>
          <w:numId w:val="2"/>
        </w:numPr>
        <w:tabs>
          <w:tab w:val="left" w:pos="840"/>
        </w:tabs>
        <w:ind w:left="1054" w:hanging="574" w:leftChars="200" w:hangingChars="205"/>
      </w:pPr>
      <w:r>
        <w:t>报告签字</w:t>
      </w:r>
      <w:r>
        <w:rPr>
          <w:rFonts w:hint="eastAsia"/>
        </w:rPr>
        <w:t>栏空白</w:t>
      </w:r>
      <w:r>
        <w:t>无效。</w:t>
      </w:r>
    </w:p>
    <w:p>
      <w:pPr>
        <w:pStyle w:val="2"/>
        <w:numPr>
          <w:ilvl w:val="0"/>
          <w:numId w:val="2"/>
        </w:numPr>
        <w:tabs>
          <w:tab w:val="left" w:pos="840"/>
        </w:tabs>
        <w:ind w:left="1054" w:hanging="574" w:leftChars="200" w:hangingChars="205"/>
        <w:rPr>
          <w:rFonts w:hint="eastAsia"/>
        </w:rPr>
      </w:pPr>
      <w:r>
        <w:t>报告涂改、自行增删无效。</w:t>
      </w:r>
    </w:p>
    <w:p>
      <w:pPr>
        <w:pStyle w:val="2"/>
        <w:numPr>
          <w:ilvl w:val="0"/>
          <w:numId w:val="2"/>
        </w:numPr>
        <w:tabs>
          <w:tab w:val="left" w:pos="840"/>
        </w:tabs>
        <w:ind w:left="1054" w:hanging="574" w:leftChars="200" w:hangingChars="205"/>
        <w:rPr>
          <w:rFonts w:hint="eastAsia"/>
        </w:rPr>
      </w:pPr>
      <w:r>
        <w:rPr>
          <w:rFonts w:hint="eastAsia"/>
        </w:rPr>
        <w:t>检测报告</w:t>
      </w:r>
      <w:r>
        <w:t>仅对受检项目即时状态负责。</w:t>
      </w:r>
    </w:p>
    <w:p>
      <w:pPr>
        <w:pStyle w:val="2"/>
        <w:numPr>
          <w:ilvl w:val="0"/>
          <w:numId w:val="2"/>
        </w:numPr>
        <w:tabs>
          <w:tab w:val="left" w:pos="840"/>
        </w:tabs>
        <w:ind w:left="1054" w:hanging="574" w:leftChars="200" w:hangingChars="205"/>
        <w:rPr>
          <w:rFonts w:hint="eastAsia"/>
        </w:rPr>
      </w:pPr>
      <w:r>
        <w:rPr>
          <w:rFonts w:hint="eastAsia"/>
        </w:rPr>
        <w:t>送样试验报告仅对来样负责。</w:t>
      </w:r>
    </w:p>
    <w:p>
      <w:pPr>
        <w:pStyle w:val="2"/>
        <w:numPr>
          <w:ilvl w:val="0"/>
          <w:numId w:val="2"/>
        </w:numPr>
        <w:tabs>
          <w:tab w:val="left" w:pos="840"/>
        </w:tabs>
        <w:ind w:left="1054" w:hanging="574" w:leftChars="200" w:hangingChars="205"/>
      </w:pPr>
      <w:r>
        <w:rPr>
          <w:rFonts w:hint="eastAsia"/>
        </w:rPr>
        <w:t>未经同意，</w:t>
      </w:r>
      <w:r>
        <w:t>报告不得作商业广告用。</w:t>
      </w:r>
    </w:p>
    <w:p>
      <w:pPr>
        <w:pStyle w:val="2"/>
        <w:numPr>
          <w:ilvl w:val="0"/>
          <w:numId w:val="2"/>
        </w:numPr>
        <w:tabs>
          <w:tab w:val="left" w:pos="840"/>
        </w:tabs>
        <w:ind w:left="1054" w:right="-425" w:hanging="574" w:leftChars="200" w:rightChars="-177" w:hangingChars="205"/>
      </w:pPr>
      <w:r>
        <w:t>对报告有异议，应于收到报告之日起十五日内向</w:t>
      </w:r>
      <w:r>
        <w:rPr>
          <w:rFonts w:hint="eastAsia"/>
        </w:rPr>
        <w:t>报告编写</w:t>
      </w:r>
      <w:r>
        <w:t>单位提出。</w:t>
      </w:r>
    </w:p>
    <w:p>
      <w:pPr>
        <w:pStyle w:val="2"/>
        <w:numPr>
          <w:ilvl w:val="0"/>
          <w:numId w:val="0"/>
        </w:numPr>
        <w:rPr>
          <w:rFonts w:hint="eastAsia"/>
        </w:rPr>
      </w:pPr>
    </w:p>
    <w:p>
      <w:pPr>
        <w:pStyle w:val="2"/>
        <w:numPr>
          <w:ilvl w:val="0"/>
          <w:numId w:val="0"/>
        </w:numPr>
      </w:pPr>
    </w:p>
    <w:p>
      <w:pPr>
        <w:pStyle w:val="2"/>
        <w:numPr>
          <w:ilvl w:val="0"/>
          <w:numId w:val="0"/>
        </w:numPr>
      </w:pPr>
    </w:p>
    <w:p>
      <w:pPr>
        <w:pStyle w:val="2"/>
        <w:numPr>
          <w:ilvl w:val="0"/>
          <w:numId w:val="0"/>
        </w:numPr>
        <w:rPr>
          <w:rFonts w:hint="eastAsia"/>
        </w:rPr>
      </w:pPr>
    </w:p>
    <w:p>
      <w:pPr>
        <w:pStyle w:val="2"/>
        <w:numPr>
          <w:ilvl w:val="0"/>
          <w:numId w:val="0"/>
        </w:numPr>
        <w:rPr>
          <w:rFonts w:hint="eastAsia"/>
        </w:rPr>
      </w:pPr>
    </w:p>
    <w:p>
      <w:pPr>
        <w:rPr>
          <w:rFonts w:ascii="宋体" w:hAnsi="宋体" w:hint="eastAsia"/>
          <w:b/>
          <w:bCs/>
          <w:sz w:val="36"/>
          <w:szCs w:val="36"/>
        </w:rPr>
      </w:pPr>
      <w:r>
        <w:rPr>
          <w:sz w:val="28"/>
          <w:szCs w:val="28"/>
        </w:rPr>
        <w:pict>
          <v:line id="直线 388" o:spid="_x0000_s1026" style="mso-wrap-style:square;position:absolute;z-index:251658240" from="6pt,57.05pt" to="402pt,57.05pt" strokeweight="1.5pt">
            <v:stroke linestyle="single"/>
          </v:line>
        </w:pict>
      </w:r>
      <w:r>
        <w:rPr>
          <w:sz w:val="28"/>
          <w:szCs w:val="28"/>
        </w:rPr>
        <w:pict>
          <v:shape id="图片 1" o:spid="_x0000_i1027" type="#_x0000_t75" alt="1" style="width:54.45pt;height:44.7pt;mso-position-horizontal-relative:page;mso-position-vertical-relative:page;mso-wrap-style:square" filled="f" stroked="f">
            <v:fill o:detectmouseclick="t"/>
            <v:stroke linestyle="single"/>
            <v:imagedata r:id="rId4" o:title="1"/>
            <v:path o:extrusionok="f"/>
            <o:lock v:ext="edit" aspectratio="t"/>
          </v:shape>
        </w:pict>
      </w:r>
      <w:bookmarkStart w:id="9" w:name="P2_监测公司"/>
      <w:r>
        <w:rPr>
          <w:rFonts w:ascii="宋体" w:hAnsi="宋体" w:hint="eastAsia"/>
          <w:b/>
          <w:bCs/>
          <w:sz w:val="36"/>
          <w:szCs w:val="36"/>
        </w:rPr>
        <w:t>贵州省交通建设工程检测中心有限责任公司</w:t>
      </w:r>
      <w:bookmarkEnd w:id="9"/>
    </w:p>
    <w:p>
      <w:pPr>
        <w:spacing w:line="240" w:lineRule="auto"/>
        <w:ind w:firstLine="986" w:firstLineChars="411"/>
        <w:jc w:val="left"/>
        <w:rPr>
          <w:rFonts w:ascii="宋体" w:hAnsi="宋体" w:cs="宋体" w:hint="eastAsia"/>
          <w:snapToGrid w:val="0"/>
          <w:spacing w:val="16"/>
          <w:kern w:val="0"/>
        </w:rPr>
      </w:pPr>
      <w:r>
        <w:rPr>
          <w:rFonts w:hint="eastAsia"/>
        </w:rPr>
        <w:t xml:space="preserve"> </w:t>
      </w:r>
      <w:r>
        <w:rPr>
          <w:rFonts w:ascii="宋体" w:hAnsi="宋体" w:cs="宋体" w:hint="eastAsia"/>
          <w:snapToGrid w:val="0"/>
          <w:spacing w:val="16"/>
          <w:kern w:val="0"/>
        </w:rPr>
        <w:t>单位地址：贵州省贵阳市云岩区白云大道南段301号</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传 真：（0851）84719700</w:t>
      </w:r>
    </w:p>
    <w:p>
      <w:pPr>
        <w:spacing w:line="240" w:lineRule="auto"/>
        <w:ind w:firstLine="986" w:firstLineChars="411"/>
        <w:jc w:val="left"/>
        <w:rPr>
          <w:rFonts w:ascii="宋体" w:hAnsi="宋体" w:hint="eastAsia"/>
          <w:b/>
          <w:sz w:val="28"/>
        </w:rPr>
      </w:pPr>
      <w:r>
        <w:rPr>
          <w:rFonts w:ascii="宋体" w:hAnsi="宋体" w:cs="宋体" w:hint="eastAsia"/>
          <w:snapToGrid w:val="0"/>
          <w:spacing w:val="16"/>
          <w:kern w:val="0"/>
        </w:rPr>
        <w:t>电 话：（0851）84719700</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邮 箱：gzjtjczx@126.com</w:t>
      </w:r>
    </w:p>
    <w:p>
      <w:pPr>
        <w:spacing w:line="240" w:lineRule="auto"/>
        <w:ind w:firstLine="986" w:firstLineChars="411"/>
        <w:jc w:val="left"/>
        <w:rPr>
          <w:rFonts w:ascii="宋体" w:hAnsi="宋体" w:cs="宋体" w:hint="eastAsia"/>
          <w:snapToGrid w:val="0"/>
          <w:spacing w:val="16"/>
          <w:kern w:val="0"/>
        </w:rPr>
      </w:pPr>
    </w:p>
    <w:p>
      <w:pPr>
        <w:spacing w:line="288" w:lineRule="auto"/>
        <w:jc w:val="center"/>
        <w:rPr>
          <w:rFonts w:ascii="楷体_GB2312" w:eastAsia="楷体_GB2312" w:hAnsi="宋体" w:cs="楷体_GB2312"/>
          <w:b/>
          <w:bCs/>
          <w:sz w:val="44"/>
          <w:szCs w:val="44"/>
        </w:rPr>
      </w:pPr>
      <w:r>
        <w:rPr>
          <w:rFonts w:ascii="楷体_GB2312" w:eastAsia="楷体_GB2312" w:hAnsi="宋体" w:cs="楷体_GB2312"/>
          <w:b/>
          <w:bCs/>
          <w:sz w:val="44"/>
          <w:szCs w:val="44"/>
        </w:rPr>
        <w:br w:type="page"/>
      </w:r>
    </w:p>
    <w:p>
      <w:pPr>
        <w:spacing w:line="288" w:lineRule="auto"/>
        <w:jc w:val="center"/>
        <w:rPr>
          <w:rFonts w:ascii="宋体" w:hAnsi="宋体" w:cs="宋体"/>
          <w:sz w:val="44"/>
          <w:szCs w:val="44"/>
        </w:rPr>
      </w:pPr>
      <w:bookmarkStart w:id="10" w:name="P3_项目名称"/>
      <w:r>
        <w:rPr>
          <w:rFonts w:ascii="宋体" w:hAnsi="宋体" w:cs="宋体" w:hint="eastAsia"/>
          <w:sz w:val="44"/>
          <w:szCs w:val="44"/>
        </w:rPr>
        <w:t>云南保山至泸水高速公路老营特长隧道</w:t>
      </w:r>
      <w:bookmarkEnd w:id="10"/>
    </w:p>
    <w:p>
      <w:pPr>
        <w:spacing w:line="288" w:lineRule="auto"/>
        <w:jc w:val="center"/>
        <w:rPr>
          <w:rFonts w:ascii="宋体" w:hAnsi="宋体" w:cs="宋体" w:hint="eastAsia"/>
          <w:sz w:val="44"/>
          <w:szCs w:val="44"/>
        </w:rPr>
      </w:pPr>
    </w:p>
    <w:p>
      <w:pPr>
        <w:jc w:val="center"/>
        <w:rPr>
          <w:rFonts w:ascii="黑体" w:eastAsia="黑体" w:hAnsi="黑体" w:cs="黑体" w:hint="eastAsia"/>
          <w:b/>
          <w:bCs/>
          <w:sz w:val="72"/>
          <w:szCs w:val="72"/>
        </w:rPr>
      </w:pPr>
      <w:r>
        <w:rPr>
          <w:rFonts w:ascii="黑体" w:eastAsia="黑体" w:hAnsi="黑体" w:cs="黑体" w:hint="eastAsia"/>
          <w:b/>
          <w:bCs/>
          <w:sz w:val="72"/>
          <w:szCs w:val="72"/>
        </w:rPr>
        <w:t>二次衬砌质量检测报告</w:t>
      </w:r>
    </w:p>
    <w:p>
      <w:pPr>
        <w:rPr>
          <w:rFonts w:ascii="宋体" w:hAnsi="宋体"/>
          <w:b/>
          <w:bCs/>
          <w:sz w:val="32"/>
          <w:szCs w:val="32"/>
        </w:rPr>
      </w:pPr>
    </w:p>
    <w:p>
      <w:pPr>
        <w:rPr>
          <w:rFonts w:ascii="宋体" w:hAnsi="宋体"/>
          <w:b/>
          <w:bCs/>
          <w:sz w:val="32"/>
          <w:szCs w:val="32"/>
        </w:rPr>
      </w:pPr>
    </w:p>
    <w:p>
      <w:pPr>
        <w:rPr>
          <w:rFonts w:ascii="宋体" w:hAnsi="宋体" w:hint="eastAsia"/>
          <w:b/>
          <w:bCs/>
          <w:sz w:val="32"/>
          <w:szCs w:val="32"/>
        </w:rPr>
      </w:pPr>
    </w:p>
    <w:p>
      <w:pPr>
        <w:ind w:firstLine="1920" w:firstLineChars="600"/>
        <w:rPr>
          <w:rFonts w:ascii="宋体" w:hAnsi="宋体" w:hint="eastAsia"/>
          <w:b/>
          <w:bCs/>
          <w:sz w:val="32"/>
          <w:szCs w:val="32"/>
          <w:u w:val="single"/>
        </w:rPr>
      </w:pPr>
      <w:r>
        <w:rPr>
          <w:rFonts w:ascii="宋体" w:hAnsi="宋体" w:hint="eastAsia"/>
          <w:b/>
          <w:bCs/>
          <w:sz w:val="32"/>
          <w:szCs w:val="32"/>
        </w:rPr>
        <w:t>项目负责：</w:t>
      </w:r>
    </w:p>
    <w:p>
      <w:pPr>
        <w:ind w:firstLine="1920" w:firstLineChars="600"/>
        <w:rPr>
          <w:rFonts w:ascii="宋体" w:hAnsi="宋体" w:hint="eastAsia"/>
          <w:b/>
          <w:bCs/>
          <w:sz w:val="32"/>
          <w:szCs w:val="32"/>
        </w:rPr>
      </w:pPr>
      <w:r>
        <w:rPr>
          <w:rFonts w:ascii="宋体" w:hAnsi="宋体" w:hint="eastAsia"/>
          <w:b/>
          <w:bCs/>
          <w:sz w:val="32"/>
          <w:szCs w:val="32"/>
        </w:rPr>
        <w:t>报告编写：</w:t>
      </w:r>
    </w:p>
    <w:p>
      <w:pPr>
        <w:ind w:firstLine="1920" w:firstLineChars="600"/>
        <w:rPr>
          <w:rFonts w:ascii="宋体" w:hAnsi="宋体" w:hint="eastAsia"/>
          <w:b/>
          <w:bCs/>
          <w:sz w:val="32"/>
          <w:szCs w:val="32"/>
        </w:rPr>
      </w:pPr>
      <w:r>
        <w:rPr>
          <w:rFonts w:ascii="宋体" w:hAnsi="宋体" w:hint="eastAsia"/>
          <w:b/>
          <w:bCs/>
          <w:sz w:val="32"/>
          <w:szCs w:val="32"/>
        </w:rPr>
        <w:t>报告审核：</w:t>
      </w:r>
    </w:p>
    <w:p>
      <w:pPr>
        <w:ind w:firstLine="1920" w:firstLineChars="600"/>
        <w:rPr>
          <w:rFonts w:ascii="宋体" w:hAnsi="宋体" w:hint="eastAsia"/>
          <w:b/>
          <w:bCs/>
          <w:sz w:val="32"/>
          <w:szCs w:val="32"/>
        </w:rPr>
      </w:pPr>
      <w:r>
        <w:rPr>
          <w:rFonts w:ascii="宋体" w:hAnsi="宋体" w:hint="eastAsia"/>
          <w:b/>
          <w:bCs/>
          <w:sz w:val="32"/>
          <w:szCs w:val="32"/>
        </w:rPr>
        <w:t>检测人员：</w:t>
      </w:r>
    </w:p>
    <w:p>
      <w:pPr>
        <w:rPr>
          <w:rFonts w:ascii="宋体" w:hAnsi="宋体" w:hint="eastAsia"/>
          <w:b/>
          <w:bCs/>
          <w:sz w:val="28"/>
          <w:szCs w:val="28"/>
        </w:rPr>
      </w:pPr>
    </w:p>
    <w:p>
      <w:pPr>
        <w:rPr>
          <w:rFonts w:ascii="宋体" w:hAnsi="宋体" w:hint="eastAsia"/>
          <w:b/>
          <w:bCs/>
          <w:sz w:val="28"/>
          <w:szCs w:val="28"/>
        </w:rPr>
      </w:pPr>
    </w:p>
    <w:p>
      <w:pPr>
        <w:rPr>
          <w:rFonts w:ascii="宋体" w:hAnsi="宋体"/>
          <w:b/>
          <w:bCs/>
          <w:sz w:val="28"/>
          <w:szCs w:val="28"/>
        </w:rPr>
      </w:pPr>
    </w:p>
    <w:p>
      <w:pPr>
        <w:rPr>
          <w:rFonts w:ascii="宋体" w:hAnsi="宋体"/>
          <w:b/>
          <w:bCs/>
          <w:sz w:val="28"/>
          <w:szCs w:val="28"/>
        </w:rPr>
      </w:pPr>
    </w:p>
    <w:p>
      <w:pPr>
        <w:ind w:right="284"/>
        <w:rPr>
          <w:rFonts w:ascii="宋体" w:hAnsi="宋体" w:hint="eastAsia"/>
          <w:sz w:val="32"/>
          <w:szCs w:val="32"/>
        </w:rPr>
      </w:pPr>
      <w:r>
        <w:rPr>
          <w:rFonts w:ascii="宋体" w:hAnsi="宋体" w:hint="eastAsia"/>
          <w:b/>
          <w:bCs/>
          <w:sz w:val="28"/>
          <w:szCs w:val="28"/>
        </w:rPr>
        <w:t xml:space="preserve"> </w:t>
      </w:r>
      <w:r>
        <w:rPr>
          <w:rFonts w:ascii="宋体" w:hAnsi="宋体" w:hint="eastAsia"/>
          <w:sz w:val="32"/>
          <w:szCs w:val="32"/>
        </w:rPr>
        <w:t>检测单位：</w:t>
      </w:r>
      <w:bookmarkStart w:id="11" w:name="P3_监测公司"/>
      <w:r>
        <w:rPr>
          <w:rFonts w:ascii="宋体" w:hAnsi="宋体" w:hint="eastAsia"/>
          <w:sz w:val="32"/>
          <w:szCs w:val="32"/>
        </w:rPr>
        <w:t>贵州省交通建设工程检测中心有限责任公司</w:t>
      </w:r>
      <w:bookmarkEnd w:id="11"/>
    </w:p>
    <w:p>
      <w:pPr>
        <w:ind w:right="284" w:firstLine="1120" w:firstLineChars="350"/>
        <w:rPr>
          <w:rFonts w:ascii="宋体" w:hAnsi="宋体"/>
          <w:sz w:val="32"/>
          <w:szCs w:val="32"/>
        </w:rPr>
      </w:pPr>
      <w:bookmarkStart w:id="12" w:name="P3_项目部"/>
      <w:r>
        <w:rPr>
          <w:rFonts w:ascii="宋体" w:hAnsi="宋体" w:hint="eastAsia"/>
          <w:sz w:val="32"/>
          <w:szCs w:val="32"/>
        </w:rPr>
        <w:t>云南保泸高速公路隧道检测第一合同项目经理部</w:t>
      </w:r>
      <w:bookmarkEnd w:id="12"/>
    </w:p>
    <w:p>
      <w:pPr>
        <w:ind w:right="284"/>
        <w:rPr>
          <w:rFonts w:ascii="宋体" w:hAnsi="宋体" w:hint="eastAsia"/>
          <w:sz w:val="32"/>
          <w:szCs w:val="32"/>
        </w:rPr>
      </w:pPr>
    </w:p>
    <w:p>
      <w:pPr>
        <w:ind w:right="284"/>
        <w:jc w:val="center"/>
        <w:rPr>
          <w:rFonts w:ascii="宋体" w:hAnsi="宋体" w:hint="eastAsia"/>
          <w:sz w:val="32"/>
          <w:szCs w:val="32"/>
        </w:rPr>
      </w:pPr>
      <w:r>
        <w:rPr>
          <w:rFonts w:ascii="宋体" w:hAnsi="宋体" w:hint="eastAsia"/>
          <w:sz w:val="32"/>
          <w:szCs w:val="32"/>
        </w:rPr>
        <w:t>（签章）</w:t>
      </w:r>
    </w:p>
    <w:p>
      <w:pPr>
        <w:ind w:right="284"/>
        <w:jc w:val="center"/>
        <w:rPr>
          <w:rFonts w:hint="eastAsia"/>
          <w:sz w:val="28"/>
          <w:szCs w:val="28"/>
        </w:rPr>
        <w:sectPr>
          <w:headerReference w:type="default" r:id="rId5"/>
          <w:footerReference w:type="default" r:id="rId6"/>
          <w:pgSz w:w="11906" w:h="16838" w:orient="portrait"/>
          <w:pgMar w:top="1440" w:right="1418" w:bottom="1440" w:left="1134" w:header="851" w:footer="992" w:gutter="0"/>
          <w:cols w:space="708"/>
          <w:docGrid w:type="lines" w:linePitch="326"/>
        </w:sectPr>
      </w:pPr>
      <w:bookmarkStart w:id="13" w:name="P3_日期"/>
      <w:r>
        <w:rPr>
          <w:rFonts w:hint="eastAsia"/>
          <w:sz w:val="28"/>
          <w:szCs w:val="28"/>
        </w:rPr>
        <w:t>2019年1月10日</w:t>
      </w:r>
      <w:bookmarkEnd w:id="13"/>
      <w:bookmarkEnd w:id="0"/>
    </w:p>
    <w:p>
      <w:pPr>
        <w:pStyle w:val="0"/>
        <w:jc w:val="center"/>
        <w:rPr>
          <w:rStyle w:val="DefaultParagraphFont"/>
          <w:rFonts w:hint="eastAsia"/>
          <w:b/>
          <w:color w:val="000000"/>
          <w:sz w:val="28"/>
          <w:szCs w:val="28"/>
        </w:rPr>
      </w:pPr>
      <w:r>
        <w:rPr>
          <w:rStyle w:val="DefaultParagraphFont"/>
          <w:rFonts w:hint="eastAsia"/>
          <w:b/>
          <w:color w:val="000000"/>
          <w:sz w:val="28"/>
          <w:szCs w:val="28"/>
        </w:rPr>
        <w:t>目 录</w:t>
      </w:r>
    </w:p>
    <w:p>
      <w:pPr>
        <w:pStyle w:val="100"/>
        <w:tabs>
          <w:tab w:val="right" w:leader="dot" w:pos="9344"/>
        </w:tabs>
        <w:rPr>
          <w:rStyle w:val="DefaultParagraphFont"/>
          <w:rFonts w:ascii="Calibri" w:hAnsi="Calibri"/>
          <w:noProof/>
          <w:sz w:val="22"/>
        </w:rPr>
      </w:pPr>
      <w:r>
        <w:rPr>
          <w:rStyle w:val="DefaultParagraphFont"/>
          <w:rFonts w:ascii="宋体" w:eastAsia="宋体" w:hAnsi="宋体"/>
          <w:color w:val="000000"/>
          <w:sz w:val="24"/>
          <w:szCs w:val="24"/>
        </w:rPr>
        <w:fldChar w:fldCharType="begin"/>
      </w:r>
      <w:r>
        <w:rPr>
          <w:rStyle w:val="DefaultParagraphFont"/>
          <w:rFonts w:ascii="宋体" w:eastAsia="宋体" w:hAnsi="宋体"/>
          <w:color w:val="000000"/>
          <w:sz w:val="24"/>
          <w:szCs w:val="24"/>
        </w:rPr>
        <w:instrText xml:space="preserve"> TOC \o "1-3" \h \z \u </w:instrText>
      </w:r>
      <w:r>
        <w:rPr>
          <w:rStyle w:val="DefaultParagraphFont"/>
          <w:rFonts w:ascii="宋体" w:eastAsia="宋体" w:hAnsi="宋体"/>
          <w:color w:val="000000"/>
          <w:sz w:val="24"/>
          <w:szCs w:val="24"/>
        </w:rPr>
        <w:fldChar w:fldCharType="separate"/>
      </w:r>
      <w:r>
        <w:rPr>
          <w:rStyle w:val="DefaultParagraphFont"/>
        </w:rPr>
        <w:fldChar w:fldCharType="begin"/>
      </w:r>
      <w:r>
        <w:rPr>
          <w:rStyle w:val="DefaultParagraphFont"/>
        </w:rPr>
        <w:instrText xml:space="preserve"> HYPERLINK \l "_Toc256000000" </w:instrText>
      </w:r>
      <w:r>
        <w:rPr>
          <w:rStyle w:val="DefaultParagraphFont"/>
        </w:rPr>
        <w:fldChar w:fldCharType="separate"/>
      </w:r>
      <w:r>
        <w:rPr>
          <w:rStyle w:val="Hyperlink"/>
          <w:rFonts w:hint="eastAsia"/>
        </w:rPr>
        <w:t>1工程概况</w:t>
      </w:r>
      <w:r>
        <w:rPr>
          <w:rStyle w:val="DefaultParagraphFont"/>
        </w:rPr>
        <w:tab/>
      </w:r>
      <w:r>
        <w:rPr>
          <w:rStyle w:val="DefaultParagraphFont"/>
        </w:rPr>
        <w:fldChar w:fldCharType="begin"/>
      </w:r>
      <w:r>
        <w:rPr>
          <w:rStyle w:val="DefaultParagraphFont"/>
        </w:rPr>
        <w:instrText xml:space="preserve"> PAGEREF _Toc256000000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"_Toc256000001" </w:instrText>
      </w:r>
      <w:r>
        <w:rPr>
          <w:rStyle w:val="DefaultParagraphFont"/>
        </w:rPr>
        <w:fldChar w:fldCharType="separate"/>
      </w:r>
      <w:r>
        <w:rPr>
          <w:rStyle w:val="Hyperlink"/>
          <w:rFonts w:hint="eastAsia"/>
        </w:rPr>
        <w:t>2检测内容</w:t>
      </w:r>
      <w:r>
        <w:rPr>
          <w:rStyle w:val="DefaultParagraphFont"/>
        </w:rPr>
        <w:tab/>
      </w:r>
      <w:r>
        <w:rPr>
          <w:rStyle w:val="DefaultParagraphFont"/>
        </w:rPr>
        <w:fldChar w:fldCharType="begin"/>
      </w:r>
      <w:r>
        <w:rPr>
          <w:rStyle w:val="DefaultParagraphFont"/>
        </w:rPr>
        <w:instrText xml:space="preserve"> PAGEREF _Toc256000001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"_Toc256000002" </w:instrText>
      </w:r>
      <w:r>
        <w:rPr>
          <w:rStyle w:val="DefaultParagraphFont"/>
        </w:rPr>
        <w:fldChar w:fldCharType="separate"/>
      </w:r>
      <w:r>
        <w:rPr>
          <w:rStyle w:val="Hyperlink"/>
          <w:rFonts w:hint="eastAsia"/>
        </w:rPr>
        <w:t>3检测仪器</w:t>
      </w:r>
      <w:r>
        <w:rPr>
          <w:rStyle w:val="DefaultParagraphFont"/>
        </w:rPr>
        <w:tab/>
      </w:r>
      <w:r>
        <w:rPr>
          <w:rStyle w:val="DefaultParagraphFont"/>
        </w:rPr>
        <w:fldChar w:fldCharType="begin"/>
      </w:r>
      <w:r>
        <w:rPr>
          <w:rStyle w:val="DefaultParagraphFont"/>
        </w:rPr>
        <w:instrText xml:space="preserve"> PAGEREF _Toc256000002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"_Toc256000003" </w:instrText>
      </w:r>
      <w:r>
        <w:rPr>
          <w:rStyle w:val="DefaultParagraphFont"/>
        </w:rPr>
        <w:fldChar w:fldCharType="separate"/>
      </w:r>
      <w:r>
        <w:rPr>
          <w:rStyle w:val="Hyperlink"/>
          <w:rFonts w:hint="eastAsia"/>
        </w:rPr>
        <w:t>4检测依据</w:t>
      </w:r>
      <w:r>
        <w:rPr>
          <w:rStyle w:val="Hyperlink"/>
        </w:rPr>
        <w:t>及解释依据</w:t>
      </w:r>
      <w:r>
        <w:rPr>
          <w:rStyle w:val="DefaultParagraphFont"/>
        </w:rPr>
        <w:tab/>
      </w:r>
      <w:r>
        <w:rPr>
          <w:rStyle w:val="DefaultParagraphFont"/>
        </w:rPr>
        <w:fldChar w:fldCharType="begin"/>
      </w:r>
      <w:r>
        <w:rPr>
          <w:rStyle w:val="DefaultParagraphFont"/>
        </w:rPr>
        <w:instrText xml:space="preserve"> PAGEREF _Toc256000003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"_Toc256000004" </w:instrText>
      </w:r>
      <w:r>
        <w:rPr>
          <w:rStyle w:val="DefaultParagraphFont"/>
        </w:rPr>
        <w:fldChar w:fldCharType="separate"/>
      </w:r>
      <w:r>
        <w:rPr>
          <w:rStyle w:val="Hyperlink"/>
          <w:rFonts w:hint="eastAsia"/>
        </w:rPr>
        <w:t>4.1检测依据</w:t>
      </w:r>
      <w:r>
        <w:rPr>
          <w:rStyle w:val="DefaultParagraphFont"/>
        </w:rPr>
        <w:tab/>
      </w:r>
      <w:r>
        <w:rPr>
          <w:rStyle w:val="DefaultParagraphFont"/>
        </w:rPr>
        <w:fldChar w:fldCharType="begin"/>
      </w:r>
      <w:r>
        <w:rPr>
          <w:rStyle w:val="DefaultParagraphFont"/>
        </w:rPr>
        <w:instrText xml:space="preserve"> PAGEREF _Toc256000004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"_Toc256000005" </w:instrText>
      </w:r>
      <w:r>
        <w:rPr>
          <w:rStyle w:val="DefaultParagraphFont"/>
        </w:rPr>
        <w:fldChar w:fldCharType="separate"/>
      </w:r>
      <w:r>
        <w:rPr>
          <w:rStyle w:val="Hyperlink"/>
          <w:rFonts w:hint="eastAsia"/>
        </w:rPr>
        <w:t>4.2解释依据</w:t>
      </w:r>
      <w:r>
        <w:rPr>
          <w:rStyle w:val="DefaultParagraphFont"/>
        </w:rPr>
        <w:tab/>
      </w:r>
      <w:r>
        <w:rPr>
          <w:rStyle w:val="DefaultParagraphFont"/>
        </w:rPr>
        <w:fldChar w:fldCharType="begin"/>
      </w:r>
      <w:r>
        <w:rPr>
          <w:rStyle w:val="DefaultParagraphFont"/>
        </w:rPr>
        <w:instrText xml:space="preserve"> PAGEREF _Toc256000005 \h </w:instrText>
      </w:r>
      <w:r>
        <w:rPr>
          <w:rStyle w:val="DefaultParagraphFont"/>
        </w:rPr>
        <w:fldChar w:fldCharType="separate"/>
      </w:r>
      <w:r>
        <w:rPr>
          <w:rStyle w:val="DefaultParagraphFont"/>
        </w:rPr>
        <w:t>2</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"_Toc256000006" </w:instrText>
      </w:r>
      <w:r>
        <w:rPr>
          <w:rStyle w:val="DefaultParagraphFont"/>
        </w:rPr>
        <w:fldChar w:fldCharType="separate"/>
      </w:r>
      <w:r>
        <w:rPr>
          <w:rStyle w:val="Hyperlink"/>
          <w:rFonts w:hint="eastAsia"/>
        </w:rPr>
        <w:t>5工作原理与检测方法</w:t>
      </w:r>
      <w:r>
        <w:rPr>
          <w:rStyle w:val="DefaultParagraphFont"/>
        </w:rPr>
        <w:tab/>
      </w:r>
      <w:r>
        <w:rPr>
          <w:rStyle w:val="DefaultParagraphFont"/>
        </w:rPr>
        <w:fldChar w:fldCharType="begin"/>
      </w:r>
      <w:r>
        <w:rPr>
          <w:rStyle w:val="DefaultParagraphFont"/>
        </w:rPr>
        <w:instrText xml:space="preserve"> PAGEREF _Toc256000006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"_Toc256000007" </w:instrText>
      </w:r>
      <w:r>
        <w:rPr>
          <w:rStyle w:val="DefaultParagraphFont"/>
        </w:rPr>
        <w:fldChar w:fldCharType="separate"/>
      </w:r>
      <w:r>
        <w:rPr>
          <w:rStyle w:val="Hyperlink"/>
          <w:rFonts w:hint="eastAsia"/>
        </w:rPr>
        <w:t>5.1工作原理</w:t>
      </w:r>
      <w:r>
        <w:rPr>
          <w:rStyle w:val="DefaultParagraphFont"/>
        </w:rPr>
        <w:tab/>
      </w:r>
      <w:r>
        <w:rPr>
          <w:rStyle w:val="DefaultParagraphFont"/>
        </w:rPr>
        <w:fldChar w:fldCharType="begin"/>
      </w:r>
      <w:r>
        <w:rPr>
          <w:rStyle w:val="DefaultParagraphFont"/>
        </w:rPr>
        <w:instrText xml:space="preserve"> PAGEREF _Toc256000007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"_Toc256000008" </w:instrText>
      </w:r>
      <w:r>
        <w:rPr>
          <w:rStyle w:val="DefaultParagraphFont"/>
        </w:rPr>
        <w:fldChar w:fldCharType="separate"/>
      </w:r>
      <w:r>
        <w:rPr>
          <w:rStyle w:val="Hyperlink"/>
          <w:rFonts w:hint="eastAsia"/>
        </w:rPr>
        <w:t>5.2检测方法</w:t>
      </w:r>
      <w:r>
        <w:rPr>
          <w:rStyle w:val="DefaultParagraphFont"/>
        </w:rPr>
        <w:tab/>
      </w:r>
      <w:r>
        <w:rPr>
          <w:rStyle w:val="DefaultParagraphFont"/>
        </w:rPr>
        <w:fldChar w:fldCharType="begin"/>
      </w:r>
      <w:r>
        <w:rPr>
          <w:rStyle w:val="DefaultParagraphFont"/>
        </w:rPr>
        <w:instrText xml:space="preserve"> PAGEREF _Toc256000008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"_Toc256000009" </w:instrText>
      </w:r>
      <w:r>
        <w:rPr>
          <w:rStyle w:val="DefaultParagraphFont"/>
        </w:rPr>
        <w:fldChar w:fldCharType="separate"/>
      </w:r>
      <w:r>
        <w:rPr>
          <w:rStyle w:val="Hyperlink"/>
          <w:rFonts w:hint="eastAsia"/>
        </w:rPr>
        <w:t>5.3</w:t>
      </w:r>
      <w:r>
        <w:rPr>
          <w:rStyle w:val="Hyperlink"/>
        </w:rPr>
        <w:t>测线布置</w:t>
      </w:r>
      <w:r>
        <w:rPr>
          <w:rStyle w:val="DefaultParagraphFont"/>
        </w:rPr>
        <w:tab/>
      </w:r>
      <w:r>
        <w:rPr>
          <w:rStyle w:val="DefaultParagraphFont"/>
        </w:rPr>
        <w:fldChar w:fldCharType="begin"/>
      </w:r>
      <w:r>
        <w:rPr>
          <w:rStyle w:val="DefaultParagraphFont"/>
        </w:rPr>
        <w:instrText xml:space="preserve"> PAGEREF _Toc256000009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"_Toc256000010" </w:instrText>
      </w:r>
      <w:r>
        <w:rPr>
          <w:rStyle w:val="DefaultParagraphFont"/>
        </w:rPr>
        <w:fldChar w:fldCharType="separate"/>
      </w:r>
      <w:r>
        <w:rPr>
          <w:rStyle w:val="Hyperlink"/>
          <w:rFonts w:hint="eastAsia"/>
        </w:rPr>
        <w:t>6隧道混凝土衬砌检测结果</w:t>
      </w:r>
      <w:r>
        <w:rPr>
          <w:rStyle w:val="DefaultParagraphFont"/>
        </w:rPr>
        <w:tab/>
      </w:r>
      <w:r>
        <w:rPr>
          <w:rStyle w:val="DefaultParagraphFont"/>
        </w:rPr>
        <w:fldChar w:fldCharType="begin"/>
      </w:r>
      <w:r>
        <w:rPr>
          <w:rStyle w:val="DefaultParagraphFont"/>
        </w:rPr>
        <w:instrText xml:space="preserve"> PAGEREF _Toc256000010 \h </w:instrText>
      </w:r>
      <w:r>
        <w:rPr>
          <w:rStyle w:val="DefaultParagraphFont"/>
        </w:rPr>
        <w:fldChar w:fldCharType="separate"/>
      </w:r>
      <w:r>
        <w:rPr>
          <w:rStyle w:val="DefaultParagraphFont"/>
        </w:rPr>
        <w:t>4</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"_Toc256000011" </w:instrText>
      </w:r>
      <w:r>
        <w:rPr>
          <w:rStyle w:val="DefaultParagraphFont"/>
        </w:rPr>
        <w:fldChar w:fldCharType="separate"/>
      </w:r>
      <w:r>
        <w:rPr>
          <w:rStyle w:val="Hyperlink"/>
          <w:rFonts w:hint="eastAsia"/>
        </w:rPr>
        <w:t>6.</w:t>
      </w:r>
      <w:r>
        <w:rPr>
          <w:rStyle w:val="Hyperlink"/>
          <w:rFonts w:hint="eastAsia"/>
        </w:rPr>
        <w:t>1</w:t>
      </w:r>
      <w:r>
        <w:rPr>
          <w:rStyle w:val="Hyperlink"/>
          <w:rFonts w:hint="eastAsia"/>
        </w:rPr>
        <w:t xml:space="preserve"> 混凝土衬砌厚度检测结果</w:t>
      </w:r>
      <w:r>
        <w:rPr>
          <w:rStyle w:val="DefaultParagraphFont"/>
        </w:rPr>
        <w:tab/>
      </w:r>
      <w:r>
        <w:rPr>
          <w:rStyle w:val="DefaultParagraphFont"/>
        </w:rPr>
        <w:fldChar w:fldCharType="begin"/>
      </w:r>
      <w:r>
        <w:rPr>
          <w:rStyle w:val="DefaultParagraphFont"/>
        </w:rPr>
        <w:instrText xml:space="preserve"> PAGEREF _Toc256000011 \h </w:instrText>
      </w:r>
      <w:r>
        <w:rPr>
          <w:rStyle w:val="DefaultParagraphFont"/>
        </w:rPr>
        <w:fldChar w:fldCharType="separate"/>
      </w:r>
      <w:r>
        <w:rPr>
          <w:rStyle w:val="DefaultParagraphFont"/>
        </w:rPr>
        <w:t>5</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"_Toc256000012" </w:instrText>
      </w:r>
      <w:r>
        <w:rPr>
          <w:rStyle w:val="DefaultParagraphFont"/>
        </w:rPr>
        <w:fldChar w:fldCharType="separate"/>
      </w:r>
      <w:r>
        <w:rPr>
          <w:rStyle w:val="Hyperlink"/>
          <w:rFonts w:hint="eastAsia"/>
        </w:rPr>
        <w:t>6.</w:t>
      </w:r>
      <w:r>
        <w:rPr>
          <w:rStyle w:val="Hyperlink"/>
          <w:rFonts w:hint="eastAsia"/>
        </w:rPr>
        <w:t>2</w:t>
      </w:r>
      <w:r>
        <w:rPr>
          <w:rStyle w:val="Hyperlink"/>
          <w:rFonts w:hint="eastAsia"/>
        </w:rPr>
        <w:t xml:space="preserve"> 混凝土</w:t>
      </w:r>
      <w:r>
        <w:rPr>
          <w:rStyle w:val="Hyperlink"/>
        </w:rPr>
        <w:t>衬砌缺陷</w:t>
      </w:r>
      <w:r>
        <w:rPr>
          <w:rStyle w:val="Hyperlink"/>
          <w:rFonts w:hint="eastAsia"/>
        </w:rPr>
        <w:t>检测结果</w:t>
      </w:r>
      <w:r>
        <w:rPr>
          <w:rStyle w:val="DefaultParagraphFont"/>
        </w:rPr>
        <w:tab/>
      </w:r>
      <w:r>
        <w:rPr>
          <w:rStyle w:val="DefaultParagraphFont"/>
        </w:rPr>
        <w:fldChar w:fldCharType="begin"/>
      </w:r>
      <w:r>
        <w:rPr>
          <w:rStyle w:val="DefaultParagraphFont"/>
        </w:rPr>
        <w:instrText xml:space="preserve"> PAGEREF _Toc256000012 \h </w:instrText>
      </w:r>
      <w:r>
        <w:rPr>
          <w:rStyle w:val="DefaultParagraphFont"/>
        </w:rPr>
        <w:fldChar w:fldCharType="separate"/>
      </w:r>
      <w:r>
        <w:rPr>
          <w:rStyle w:val="DefaultParagraphFont"/>
        </w:rPr>
        <w:t>5</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"_Toc256000013" </w:instrText>
      </w:r>
      <w:r>
        <w:rPr>
          <w:rStyle w:val="DefaultParagraphFont"/>
        </w:rPr>
        <w:fldChar w:fldCharType="separate"/>
      </w:r>
      <w:r>
        <w:rPr>
          <w:rStyle w:val="Hyperlink"/>
          <w:rFonts w:hint="eastAsia"/>
        </w:rPr>
        <w:t>6.</w:t>
      </w:r>
      <w:r>
        <w:rPr>
          <w:rStyle w:val="Hyperlink"/>
          <w:rFonts w:hint="eastAsia"/>
        </w:rPr>
        <w:t>3</w:t>
      </w:r>
      <w:r>
        <w:rPr>
          <w:rStyle w:val="Hyperlink"/>
          <w:rFonts w:hint="eastAsia"/>
        </w:rPr>
        <w:t>衬砌</w:t>
      </w:r>
      <w:r>
        <w:rPr>
          <w:rStyle w:val="Hyperlink"/>
          <w:rFonts w:hint="eastAsia"/>
        </w:rPr>
        <w:t>钢筋主筋间距</w:t>
      </w:r>
      <w:r>
        <w:rPr>
          <w:rStyle w:val="Hyperlink"/>
          <w:rFonts w:hint="eastAsia"/>
        </w:rPr>
        <w:t>检测结果</w:t>
      </w:r>
      <w:r>
        <w:rPr>
          <w:rStyle w:val="DefaultParagraphFont"/>
        </w:rPr>
        <w:tab/>
      </w:r>
      <w:r>
        <w:rPr>
          <w:rStyle w:val="DefaultParagraphFont"/>
        </w:rPr>
        <w:fldChar w:fldCharType="begin"/>
      </w:r>
      <w:r>
        <w:rPr>
          <w:rStyle w:val="DefaultParagraphFont"/>
        </w:rPr>
        <w:instrText xml:space="preserve"> PAGEREF _Toc256000013 \h </w:instrText>
      </w:r>
      <w:r>
        <w:rPr>
          <w:rStyle w:val="DefaultParagraphFont"/>
        </w:rPr>
        <w:fldChar w:fldCharType="separate"/>
      </w:r>
      <w:r>
        <w:rPr>
          <w:rStyle w:val="DefaultParagraphFont"/>
        </w:rPr>
        <w:t>6</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"_Toc256000014" </w:instrText>
      </w:r>
      <w:r>
        <w:rPr>
          <w:rStyle w:val="DefaultParagraphFont"/>
        </w:rPr>
        <w:fldChar w:fldCharType="separate"/>
      </w:r>
      <w:r>
        <w:rPr>
          <w:rStyle w:val="Hyperlink"/>
          <w:rFonts w:hint="eastAsia"/>
        </w:rPr>
        <w:t>7 结论</w:t>
      </w:r>
      <w:r>
        <w:rPr>
          <w:rStyle w:val="DefaultParagraphFont"/>
        </w:rPr>
        <w:tab/>
      </w:r>
      <w:r>
        <w:rPr>
          <w:rStyle w:val="DefaultParagraphFont"/>
        </w:rPr>
        <w:fldChar w:fldCharType="begin"/>
      </w:r>
      <w:r>
        <w:rPr>
          <w:rStyle w:val="DefaultParagraphFont"/>
        </w:rPr>
        <w:instrText xml:space="preserve"> PAGEREF _Toc256000014 \h </w:instrText>
      </w:r>
      <w:r>
        <w:rPr>
          <w:rStyle w:val="DefaultParagraphFont"/>
        </w:rPr>
        <w:fldChar w:fldCharType="separate"/>
      </w:r>
      <w:r>
        <w:rPr>
          <w:rStyle w:val="DefaultParagraphFont"/>
        </w:rPr>
        <w:t>6</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"_Toc256000015" </w:instrText>
      </w:r>
      <w:r>
        <w:rPr>
          <w:rStyle w:val="DefaultParagraphFont"/>
        </w:rPr>
        <w:fldChar w:fldCharType="separate"/>
      </w:r>
      <w:r>
        <w:rPr>
          <w:rStyle w:val="Hyperlink"/>
        </w:rPr>
        <w:t>附图1各测线实测厚度剖面图</w:t>
      </w:r>
      <w:r>
        <w:rPr>
          <w:rStyle w:val="DefaultParagraphFont"/>
        </w:rPr>
        <w:tab/>
      </w:r>
      <w:r>
        <w:rPr>
          <w:rStyle w:val="DefaultParagraphFont"/>
        </w:rPr>
        <w:fldChar w:fldCharType="begin"/>
      </w:r>
      <w:r>
        <w:rPr>
          <w:rStyle w:val="DefaultParagraphFont"/>
        </w:rPr>
        <w:instrText xml:space="preserve"> PAGEREF _Toc256000015 \h </w:instrText>
      </w:r>
      <w:r>
        <w:rPr>
          <w:rStyle w:val="DefaultParagraphFont"/>
        </w:rPr>
        <w:fldChar w:fldCharType="separate"/>
      </w:r>
      <w:r>
        <w:rPr>
          <w:rStyle w:val="DefaultParagraphFont"/>
        </w:rPr>
        <w:t>7</w:t>
      </w:r>
      <w:r>
        <w:rPr>
          <w:rStyle w:val="DefaultParagraphFont"/>
        </w:rPr>
        <w:fldChar w:fldCharType="end"/>
      </w:r>
      <w:r>
        <w:rPr>
          <w:rStyle w:val="DefaultParagraphFont"/>
        </w:rPr>
        <w:fldChar w:fldCharType="end"/>
      </w:r>
    </w:p>
    <w:p>
      <w:pPr>
        <w:pStyle w:val="0"/>
        <w:rPr>
          <w:rStyle w:val="DefaultParagraphFont"/>
          <w:rFonts w:ascii="宋体" w:hAnsi="宋体"/>
          <w:color w:val="000000"/>
        </w:rPr>
      </w:pPr>
      <w:r>
        <w:rPr>
          <w:rStyle w:val="DefaultParagraphFont"/>
          <w:rFonts w:ascii="宋体" w:hAnsi="宋体"/>
          <w:color w:val="000000"/>
        </w:rPr>
        <w:fldChar w:fldCharType="end"/>
      </w: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sectPr>
          <w:headerReference w:type="default" r:id="rId7"/>
          <w:type w:val="nextPage"/>
          <w:pgSz w:w="11906" w:h="16838"/>
          <w:pgMar w:top="1440" w:right="1134" w:bottom="1440" w:left="1418" w:header="851" w:footer="992" w:gutter="0"/>
          <w:pgNumType w:fmt="decimal" w:start="1" w:chapStyle="0" w:chapSep="hyphen"/>
          <w:cols w:space="708"/>
          <w:docGrid w:type="linesAndChars" w:linePitch="312"/>
        </w:sectPr>
      </w:pPr>
    </w:p>
    <w:p>
      <w:pPr>
        <w:pStyle w:val="0"/>
        <w:rPr>
          <w:rStyle w:val="DefaultParagraphFont"/>
          <w:rFonts w:ascii="宋体" w:hAnsi="宋体"/>
          <w:color w:val="000000"/>
          <w:kern w:val="2"/>
          <w:sz w:val="24"/>
          <w:szCs w:val="24"/>
          <w:lang w:val="en-US" w:eastAsia="zh-CN" w:bidi="ar-SA"/>
        </w:rPr>
      </w:pPr>
    </w:p>
    <w:p>
      <w:pPr>
        <w:pStyle w:val="0"/>
        <w:tabs>
          <w:tab w:val="left" w:pos="4175"/>
        </w:tabs>
        <w:jc w:val="left"/>
        <w:rPr>
          <w:rStyle w:val="DefaultParagraphFont"/>
          <w:lang w:val="en-US" w:eastAsia="zh-CN"/>
        </w:rPr>
        <w:sectPr>
          <w:footerReference w:type="default" r:id="rId8"/>
          <w:type w:val="nextPage"/>
          <w:pgSz w:w="11906" w:h="16838"/>
          <w:pgMar w:top="1440" w:right="1134" w:bottom="1440" w:left="1418" w:header="851" w:footer="992" w:gutter="0"/>
          <w:pgNumType w:fmt="decimal" w:chapStyle="0" w:chapSep="hyphen"/>
          <w:cols w:space="708"/>
          <w:titlePg w:val="0"/>
          <w:docGrid w:type="linesAndChars" w:linePitch="312"/>
        </w:sectPr>
      </w:pPr>
    </w:p>
    <w:p>
      <w:pPr>
        <w:pStyle w:val="101"/>
        <w:rPr>
          <w:rStyle w:val="DefaultParagraphFont"/>
          <w:rFonts w:hint="eastAsia"/>
        </w:rPr>
      </w:pPr>
      <w:bookmarkStart w:id="14" w:name="_Toc334262433"/>
      <w:bookmarkStart w:id="15" w:name="_Toc334262471"/>
      <w:bookmarkStart w:id="16" w:name="_Toc384327949"/>
      <w:bookmarkStart w:id="17" w:name="_Toc461914952"/>
      <w:bookmarkStart w:id="18" w:name="_Toc256000000"/>
      <w:r>
        <w:rPr>
          <w:rStyle w:val="DefaultParagraphFont"/>
          <w:rFonts w:hint="eastAsia"/>
        </w:rPr>
        <w:t>1工程概况</w:t>
      </w:r>
      <w:bookmarkEnd w:id="18"/>
      <w:bookmarkEnd w:id="14"/>
      <w:bookmarkEnd w:id="15"/>
      <w:bookmarkEnd w:id="16"/>
      <w:bookmarkEnd w:id="17"/>
    </w:p>
    <w:p>
      <w:pPr>
        <w:pStyle w:val="0"/>
        <w:ind w:firstLine="480" w:firstLineChars="200"/>
        <w:rPr>
          <w:rStyle w:val="DefaultParagraphFont"/>
          <w:rFonts w:ascii="宋体" w:hAnsi="宋体"/>
        </w:rPr>
      </w:pPr>
      <w:bookmarkStart w:id="19" w:name="_Toc334262434"/>
      <w:bookmarkStart w:id="20" w:name="_Toc334262472"/>
      <w:bookmarkStart w:id="21" w:name="_Toc384327950"/>
      <w:bookmarkStart w:id="22" w:name="T0102_隧道工程概况"/>
      <w:r>
        <w:rPr>
          <w:rStyle w:val="DefaultParagraphFont"/>
          <w:rFonts w:ascii="宋体" w:hAnsi="宋体"/>
        </w:rPr>
        <w:t>保山至泸水高速公路地处云南省西北部，路线走向总为由东向西北方向布设。路线起于保山市隆阳区老营，经过隆阳区瓦房乡、怒江州泸水县上江乡，止于怒江州泸水县六库镇。</w:t>
      </w:r>
    </w:p>
    <w:p>
      <w:pPr>
        <w:pStyle w:val="0"/>
        <w:ind w:firstLine="480" w:firstLineChars="200"/>
        <w:rPr>
          <w:rStyle w:val="DefaultParagraphFont"/>
          <w:rFonts w:ascii="宋体" w:hAnsi="宋体"/>
        </w:rPr>
      </w:pPr>
      <w:r>
        <w:rPr>
          <w:rStyle w:val="DefaultParagraphFont"/>
          <w:rFonts w:ascii="宋体" w:hAnsi="宋体"/>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米；右幅隧道起讫里程为K1+435～K12+955，长11520m，最大埋深约为1252m。</w:t>
      </w:r>
      <w:bookmarkEnd w:id="22"/>
    </w:p>
    <w:p>
      <w:pPr>
        <w:pStyle w:val="0"/>
        <w:ind w:firstLine="480" w:firstLineChars="200"/>
        <w:rPr>
          <w:rStyle w:val="DefaultParagraphFont"/>
          <w:rFonts w:ascii="宋体" w:eastAsia="宋体" w:hAnsi="宋体" w:hint="eastAsia"/>
          <w:lang w:val="en-US" w:eastAsia="zh-CN"/>
        </w:rPr>
      </w:pPr>
      <w:bookmarkStart w:id="23" w:name="T0103_隧道检测情况"/>
      <w:r>
        <w:rPr>
          <w:rStyle w:val="DefaultParagraphFont"/>
          <w:rFonts w:ascii="宋体" w:eastAsia="宋体" w:hAnsi="宋体" w:hint="eastAsia"/>
          <w:lang w:val="en-US" w:eastAsia="zh-CN"/>
        </w:rPr>
        <w:t>2016年06月23日，我公司运用地质雷达法对老营特长隧道右幅进口K1+600～K1+670段进行隧道二次衬砌施工质量检测。</w:t>
      </w:r>
    </w:p>
    <w:p>
      <w:pPr>
        <w:pStyle w:val="0"/>
        <w:ind w:firstLine="480" w:firstLineChars="200"/>
        <w:rPr>
          <w:rStyle w:val="DefaultParagraphFont"/>
          <w:rFonts w:ascii="宋体" w:eastAsia="宋体" w:hAnsi="宋体" w:hint="eastAsia"/>
          <w:lang w:val="en-US" w:eastAsia="zh-CN"/>
        </w:rPr>
      </w:pPr>
      <w:r>
        <w:rPr>
          <w:rStyle w:val="DefaultParagraphFont"/>
          <w:rFonts w:ascii="宋体" w:eastAsia="宋体" w:hAnsi="宋体" w:hint="eastAsia"/>
          <w:lang w:val="en-US" w:eastAsia="zh-CN"/>
        </w:rPr>
        <w:t>实际采集雷达数据490测线米，完成雷达检测工作量70延米,累计检测完成221.5m。</w:t>
      </w:r>
      <w:bookmarkEnd w:id="23"/>
    </w:p>
    <w:p>
      <w:pPr>
        <w:pStyle w:val="101"/>
        <w:rPr>
          <w:rStyle w:val="DefaultParagraphFont"/>
          <w:rFonts w:hint="eastAsia"/>
        </w:rPr>
      </w:pPr>
      <w:bookmarkStart w:id="24" w:name="_Toc461914953"/>
      <w:bookmarkStart w:id="25" w:name="_Toc256000001"/>
      <w:r>
        <w:rPr>
          <w:rStyle w:val="DefaultParagraphFont"/>
          <w:rFonts w:hint="eastAsia"/>
        </w:rPr>
        <w:t>2检测内容</w:t>
      </w:r>
      <w:bookmarkEnd w:id="25"/>
      <w:bookmarkEnd w:id="19"/>
      <w:bookmarkEnd w:id="20"/>
      <w:bookmarkEnd w:id="21"/>
      <w:bookmarkEnd w:id="24"/>
    </w:p>
    <w:p>
      <w:pPr>
        <w:pStyle w:val="0"/>
        <w:widowControl/>
        <w:spacing w:line="500" w:lineRule="exact"/>
        <w:ind w:firstLine="480" w:firstLineChars="200"/>
        <w:jc w:val="left"/>
        <w:rPr>
          <w:rStyle w:val="DefaultParagraphFont"/>
          <w:rFonts w:ascii="宋体" w:hAnsi="宋体" w:cs="宋体" w:hint="eastAsia"/>
          <w:kern w:val="0"/>
        </w:rPr>
      </w:pPr>
      <w:bookmarkStart w:id="26" w:name="_Toc349896721"/>
      <w:bookmarkStart w:id="27" w:name="_Toc349906546"/>
      <w:bookmarkStart w:id="28" w:name="_Toc356737685"/>
      <w:bookmarkStart w:id="29" w:name="_Toc384327951"/>
      <w:r>
        <w:rPr>
          <w:rStyle w:val="DefaultParagraphFont"/>
          <w:rFonts w:ascii="宋体" w:hAnsi="宋体" w:cs="宋体" w:hint="eastAsia"/>
          <w:kern w:val="0"/>
        </w:rPr>
        <w:t>（1）隧道混凝土衬砌厚度；</w:t>
      </w:r>
    </w:p>
    <w:p>
      <w:pPr>
        <w:pStyle w:val="0"/>
        <w:widowControl/>
        <w:spacing w:line="500" w:lineRule="exact"/>
        <w:ind w:firstLine="480" w:firstLineChars="200"/>
        <w:jc w:val="left"/>
        <w:rPr>
          <w:rStyle w:val="DefaultParagraphFont"/>
          <w:rFonts w:ascii="宋体" w:hAnsi="宋体" w:cs="宋体"/>
          <w:kern w:val="0"/>
        </w:rPr>
      </w:pPr>
      <w:r>
        <w:rPr>
          <w:rStyle w:val="DefaultParagraphFont"/>
          <w:rFonts w:ascii="宋体" w:hAnsi="宋体" w:cs="宋体" w:hint="eastAsia"/>
          <w:kern w:val="0"/>
        </w:rPr>
        <w:t>（2）隧道混凝土衬砌内部缺陷；</w:t>
      </w:r>
    </w:p>
    <w:p>
      <w:pPr>
        <w:pStyle w:val="0"/>
        <w:widowControl/>
        <w:spacing w:line="500" w:lineRule="exact"/>
        <w:ind w:firstLine="480" w:firstLineChars="200"/>
        <w:jc w:val="left"/>
        <w:rPr>
          <w:rStyle w:val="DefaultParagraphFont"/>
          <w:rFonts w:ascii="宋体" w:hAnsi="宋体" w:cs="宋体" w:hint="eastAsia"/>
          <w:kern w:val="0"/>
        </w:rPr>
      </w:pPr>
      <w:r>
        <w:rPr>
          <w:rStyle w:val="DefaultParagraphFont"/>
          <w:rFonts w:ascii="宋体" w:hAnsi="宋体" w:cs="宋体" w:hint="eastAsia"/>
          <w:kern w:val="0"/>
        </w:rPr>
        <w:t>（3）衬砌钢筋主筋间距。</w:t>
      </w:r>
    </w:p>
    <w:p>
      <w:pPr>
        <w:pStyle w:val="101"/>
        <w:rPr>
          <w:rStyle w:val="DefaultParagraphFont"/>
          <w:rFonts w:hint="eastAsia"/>
          <w:color w:val="000000"/>
        </w:rPr>
      </w:pPr>
      <w:bookmarkStart w:id="30" w:name="_Toc461914954"/>
      <w:bookmarkStart w:id="31" w:name="_Toc256000002"/>
      <w:r>
        <w:rPr>
          <w:rStyle w:val="DefaultParagraphFont"/>
          <w:rFonts w:hint="eastAsia"/>
          <w:color w:val="000000"/>
        </w:rPr>
        <w:t>3检测仪器</w:t>
      </w:r>
      <w:bookmarkEnd w:id="31"/>
      <w:bookmarkEnd w:id="26"/>
      <w:bookmarkEnd w:id="27"/>
      <w:bookmarkEnd w:id="28"/>
      <w:bookmarkEnd w:id="29"/>
      <w:bookmarkEnd w:id="30"/>
    </w:p>
    <w:p>
      <w:pPr>
        <w:pStyle w:val="0"/>
        <w:ind w:firstLine="480" w:firstLineChars="200"/>
        <w:jc w:val="left"/>
        <w:textAlignment w:val="center"/>
        <w:rPr>
          <w:rStyle w:val="DefaultParagraphFont"/>
          <w:rFonts w:ascii="宋体" w:hAnsi="宋体"/>
          <w:color w:val="000000"/>
        </w:rPr>
      </w:pPr>
      <w:bookmarkStart w:id="32" w:name="_Toc334262435"/>
      <w:bookmarkStart w:id="33" w:name="_Toc334262473"/>
      <w:bookmarkStart w:id="34" w:name="_Toc384327952"/>
      <w:r>
        <w:rPr>
          <w:rStyle w:val="DefaultParagraphFont"/>
          <w:rFonts w:ascii="宋体" w:hAnsi="宋体" w:hint="eastAsia"/>
          <w:color w:val="000000"/>
        </w:rPr>
        <w:t>本次检测使用的仪器为美国劳雷地质雷达（见表1）。</w:t>
      </w:r>
    </w:p>
    <w:p>
      <w:pPr>
        <w:pStyle w:val="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
      <w:tblGrid>
        <w:gridCol w:w="1559"/>
        <w:gridCol w:w="2307"/>
        <w:gridCol w:w="2308"/>
        <w:gridCol w:w="2614"/>
      </w:tblGrid>
      <w:tr>
        <w:tblPrEx>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Ex>
        <w:trPr>
          <w:trHeight w:val="431"/>
          <w:jc w:val="center"/>
        </w:trPr>
        <w:tc>
          <w:tcPr>
            <w:tcW w:w="1559" w:type="dxa"/>
            <w:tcBorders>
              <w:top w:val="single" w:sz="12" w:space="0" w:color="auto"/>
              <w:bottom w:val="single" w:sz="6" w:space="0" w:color="auto"/>
            </w:tcBorders>
            <w:vAlign w:val="center"/>
          </w:tcPr>
          <w:p>
            <w:pPr>
              <w:pStyle w:v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6"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02"/>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12"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400MHz</w:t>
            </w:r>
          </w:p>
        </w:tc>
        <w:tc>
          <w:tcPr>
            <w:tcW w:w="2614" w:type="dxa"/>
            <w:tcBorders>
              <w:top w:val="single" w:sz="6" w:space="0" w:color="auto"/>
              <w:bottom w:val="single" w:sz="12"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30</w:t>
            </w:r>
          </w:p>
        </w:tc>
      </w:tr>
    </w:tbl>
    <w:p>
      <w:pPr>
        <w:pStyle w:val="101"/>
        <w:rPr>
          <w:rStyle w:val="DefaultParagraphFont"/>
          <w:rFonts w:hint="eastAsia"/>
        </w:rPr>
      </w:pPr>
      <w:bookmarkStart w:id="35" w:name="_Toc461914955"/>
      <w:bookmarkStart w:id="36" w:name="_Toc256000003"/>
      <w:r>
        <w:rPr>
          <w:rStyle w:val="DefaultParagraphFont"/>
          <w:rFonts w:hint="eastAsia"/>
        </w:rPr>
        <w:t>4检测依据</w:t>
      </w:r>
      <w:bookmarkEnd w:id="32"/>
      <w:bookmarkEnd w:id="33"/>
      <w:r>
        <w:rPr>
          <w:rStyle w:val="DefaultParagraphFont"/>
        </w:rPr>
        <w:t>及解释依据</w:t>
      </w:r>
      <w:bookmarkEnd w:id="36"/>
      <w:bookmarkEnd w:id="34"/>
      <w:bookmarkEnd w:id="35"/>
    </w:p>
    <w:p>
      <w:pPr>
        <w:pStyle w:val="200"/>
        <w:rPr>
          <w:rStyle w:val="DefaultParagraphFont"/>
          <w:rFonts w:hint="eastAsia"/>
        </w:rPr>
      </w:pPr>
      <w:bookmarkStart w:id="37" w:name="_Toc311655041"/>
      <w:bookmarkStart w:id="38" w:name="_Toc384327953"/>
      <w:bookmarkStart w:id="39" w:name="_Toc461914956"/>
      <w:bookmarkStart w:id="40" w:name="_Toc256000004"/>
      <w:r>
        <w:rPr>
          <w:rStyle w:val="DefaultParagraphFont"/>
          <w:rFonts w:hint="eastAsia"/>
        </w:rPr>
        <w:t>4.1检测依据</w:t>
      </w:r>
      <w:bookmarkEnd w:id="40"/>
      <w:bookmarkEnd w:id="37"/>
      <w:bookmarkEnd w:id="38"/>
      <w:bookmarkEnd w:id="39"/>
    </w:p>
    <w:p>
      <w:pPr>
        <w:pStyle w:val="0"/>
        <w:spacing w:line="500" w:lineRule="exact"/>
        <w:ind w:firstLine="480" w:firstLineChars="200"/>
        <w:rPr>
          <w:rStyle w:val="DefaultParagraphFont"/>
          <w:rFonts w:ascii="宋体" w:hAnsi="宋体"/>
          <w:color w:val="000000"/>
          <w:lang w:val="zh-CN"/>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w:t>
      </w:r>
      <w:r>
        <w:rPr>
          <w:rStyle w:val="DefaultParagraphFont"/>
          <w:rFonts w:ascii="宋体" w:hAnsi="宋体"/>
          <w:color w:val="000000"/>
        </w:rPr>
        <w:t>》</w:t>
      </w:r>
      <w:r>
        <w:rPr>
          <w:rStyle w:val="DefaultParagraphFont"/>
          <w:rFonts w:ascii="宋体" w:hAnsi="宋体" w:hint="eastAsia"/>
          <w:color w:val="000000"/>
        </w:rPr>
        <w:t>；</w:t>
      </w:r>
    </w:p>
    <w:p>
      <w:pPr>
        <w:pStyle w:val="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hint="eastAsia"/>
        </w:rPr>
        <w:t>公路工程竣（交）工验收办法实施细则》公路局交工路发 【2010】65号</w:t>
      </w:r>
      <w:r>
        <w:rPr>
          <w:rStyle w:val="DefaultParagraphFont"/>
          <w:rFonts w:ascii="宋体" w:hAnsi="宋体" w:hint="eastAsia"/>
          <w:color w:val="000000"/>
        </w:rPr>
        <w:t>；</w:t>
      </w:r>
    </w:p>
    <w:p>
      <w:pPr>
        <w:pStyle w:val="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（5）</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w:t>
      </w:r>
    </w:p>
    <w:p>
      <w:pPr>
        <w:pStyle w:val="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（6）老营特长隧道右幅复合式衬砌参数见表2。</w:t>
      </w:r>
    </w:p>
    <w:p>
      <w:pPr>
        <w:pStyle w:val="0"/>
        <w:spacing w:line="240" w:lineRule="auto"/>
        <w:ind w:firstLine="210" w:firstLineChars="100"/>
        <w:jc w:val="center"/>
        <w:rPr>
          <w:rStyle w:val="DefaultParagraphFont"/>
          <w:rFonts w:hint="eastAsia"/>
          <w:sz w:val="21"/>
          <w:szCs w:val="21"/>
        </w:rPr>
      </w:pPr>
      <w:bookmarkStart w:id="41" w:name="T0401_二衬参数表"/>
      <w:r>
        <w:rPr>
          <w:rStyle w:val="DefaultParagraphFont"/>
          <w:rFonts w:hint="eastAsia"/>
          <w:sz w:val="21"/>
          <w:szCs w:val="21"/>
        </w:rPr>
        <w:t>表2 老营特长隧道右幅复合式衬砌参数表</w:t>
      </w:r>
    </w:p>
    <w:tbl>
      <w:tblPr>
        <w:tblStyle w:val="TableNormal"/>
        <w:jc w:val="center"/>
        <w:tblInd w:w="-123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1581"/>
        <w:gridCol w:w="722"/>
        <w:gridCol w:w="838"/>
        <w:gridCol w:w="1340"/>
        <w:gridCol w:w="1562"/>
        <w:gridCol w:w="3205"/>
      </w:tblGrid>
      <w:tr>
        <w:tblPrEx>
          <w:jc w:val="center"/>
          <w:tblInd w:w="-123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855"/>
          <w:jc w:val="center"/>
        </w:trPr>
        <w:tc>
          <w:tcPr>
            <w:tcW w:w="1581" w:type="dxa"/>
            <w:vAlign w:val="center"/>
          </w:tcPr>
          <w:p>
            <w:pPr>
              <w:pStyle w:val="0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里程</w:t>
            </w:r>
          </w:p>
        </w:tc>
        <w:tc>
          <w:tcPr>
            <w:tcW w:w="722"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围岩级别</w:t>
            </w:r>
          </w:p>
        </w:tc>
        <w:tc>
          <w:tcPr>
            <w:tcW w:w="838"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支护类型</w:t>
            </w:r>
          </w:p>
        </w:tc>
        <w:tc>
          <w:tcPr>
            <w:tcW w:w="1340"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二次衬砌厚度（cm）</w:t>
            </w:r>
          </w:p>
        </w:tc>
        <w:tc>
          <w:tcPr>
            <w:tcW w:w="1562" w:type="dxa"/>
            <w:tcBorders>
              <w:top w:val="single" w:sz="18" w:space="0" w:color="auto"/>
              <w:bottom w:val="single" w:sz="4" w:space="0" w:color="auto"/>
              <w:right w:val="single" w:sz="8" w:space="0" w:color="auto"/>
            </w:tcBorders>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衬砌钢筋主筋间距(</w:t>
            </w:r>
            <w:r>
              <w:rPr>
                <w:rStyle w:val="DefaultParagraphFont"/>
                <w:rFonts w:ascii="宋体" w:hAnsi="宋体" w:cs="宋体"/>
                <w:b/>
                <w:bCs/>
                <w:kern w:val="0"/>
                <w:sz w:val="21"/>
                <w:szCs w:val="21"/>
              </w:rPr>
              <w:t>cm</w:t>
            </w:r>
            <w:r>
              <w:rPr>
                <w:rStyle w:val="DefaultParagraphFont"/>
                <w:rFonts w:ascii="宋体" w:hAnsi="宋体" w:cs="宋体" w:hint="eastAsia"/>
                <w:b/>
                <w:bCs/>
                <w:kern w:val="0"/>
                <w:sz w:val="21"/>
                <w:szCs w:val="21"/>
              </w:rPr>
              <w:t>)</w:t>
            </w:r>
          </w:p>
        </w:tc>
        <w:tc>
          <w:tcPr>
            <w:tcW w:w="3205" w:type="dxa"/>
            <w:tcBorders>
              <w:top w:val="single" w:sz="18" w:space="0" w:color="auto"/>
              <w:left w:val="single" w:sz="8" w:space="0" w:color="auto"/>
              <w:bottom w:val="single" w:sz="4" w:space="0" w:color="auto"/>
            </w:tcBorders>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Pr>
            </w:pPr>
            <w:r>
              <w:rPr>
                <w:rStyle w:val="DefaultParagraphFont"/>
                <w:sz w:val="20"/>
              </w:rPr>
              <w:t>K1+448-K1+460</w:t>
            </w:r>
          </w:p>
        </w:tc>
        <w:tc>
          <w:tcPr>
            <w:tcW w:w="360" w:type="dxa"/>
            <w:vAlign w:val="center"/>
          </w:tcPr>
          <w:p>
            <w:pPr>
              <w:pStyle w:val="000"/>
              <w:spacing w:line="200" w:lineRule="auto"/>
              <w:jc w:val="center"/>
              <w:rPr>
                <w:rStyle w:val="DefaultParagraphFont"/>
              </w:rPr>
            </w:pPr>
            <w:r>
              <w:rPr>
                <w:rStyle w:val="DefaultParagraphFont"/>
                <w:sz w:val="20"/>
              </w:rPr>
              <w:t>Ⅴ级</w:t>
            </w:r>
          </w:p>
        </w:tc>
        <w:tc>
          <w:tcPr>
            <w:tcW w:w="360" w:type="dxa"/>
            <w:vAlign w:val="center"/>
          </w:tcPr>
          <w:p>
            <w:pPr>
              <w:pStyle w:val="000"/>
              <w:spacing w:line="200" w:lineRule="auto"/>
              <w:jc w:val="center"/>
              <w:rPr>
                <w:rStyle w:val="DefaultParagraphFont"/>
              </w:rPr>
            </w:pPr>
            <w:r>
              <w:rPr>
                <w:rStyle w:val="DefaultParagraphFont"/>
                <w:sz w:val="20"/>
              </w:rPr>
              <w:t>SF5c</w:t>
            </w:r>
          </w:p>
        </w:tc>
        <w:tc>
          <w:tcPr>
            <w:tcW w:w="360" w:type="dxa"/>
            <w:vAlign w:val="center"/>
          </w:tcPr>
          <w:p>
            <w:pPr>
              <w:pStyle w:val="000"/>
              <w:spacing w:line="200" w:lineRule="auto"/>
              <w:jc w:val="center"/>
              <w:rPr>
                <w:rStyle w:val="DefaultParagraphFont"/>
              </w:rPr>
            </w:pPr>
            <w:r>
              <w:rPr>
                <w:rStyle w:val="DefaultParagraphFont"/>
                <w:sz w:val="20"/>
              </w:rPr>
              <w:t>27</w:t>
            </w:r>
          </w:p>
        </w:tc>
        <w:tc>
          <w:tcPr>
            <w:tcW w:w="360" w:type="dxa"/>
            <w:vAlign w:val="center"/>
          </w:tcPr>
          <w:p>
            <w:pPr>
              <w:pStyle w:val="000"/>
              <w:spacing w:line="200" w:lineRule="auto"/>
              <w:jc w:val="center"/>
              <w:rPr>
                <w:rStyle w:val="DefaultParagraphFont"/>
              </w:rPr>
            </w:pPr>
            <w:r>
              <w:rPr>
                <w:rStyle w:val="DefaultParagraphFont"/>
                <w:sz w:val="20"/>
              </w:rPr>
              <w:t>60</w:t>
            </w:r>
          </w:p>
        </w:tc>
        <w:tc>
          <w:tcPr>
            <w:tcW w:w="360" w:type="dxa"/>
            <w:vAlign w:val="center"/>
          </w:tcPr>
          <w:p>
            <w:pPr>
              <w:pStyle w:val="000"/>
              <w:spacing w:line="200" w:lineRule="auto"/>
              <w:jc w:val="center"/>
              <w:rPr>
                <w:rStyle w:val="DefaultParagraphFont"/>
              </w:rPr>
            </w:pPr>
            <w:r>
              <w:rPr>
                <w:rStyle w:val="DefaultParagraphFont"/>
                <w:sz w:val="20"/>
              </w:rPr>
              <w:t>本段变更：支护类型SF5d；喷射混凝土厚度27cm；钢支撑间距50cm</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Pr>
            </w:pPr>
            <w:r>
              <w:rPr>
                <w:rStyle w:val="DefaultParagraphFont"/>
                <w:sz w:val="20"/>
              </w:rPr>
              <w:t>K1+448-K1+460</w:t>
            </w:r>
          </w:p>
        </w:tc>
        <w:tc>
          <w:tcPr>
            <w:tcW w:w="360" w:type="dxa"/>
            <w:vAlign w:val="center"/>
          </w:tcPr>
          <w:p>
            <w:pPr>
              <w:pStyle w:val="000"/>
              <w:spacing w:line="200" w:lineRule="auto"/>
              <w:jc w:val="center"/>
              <w:rPr>
                <w:rStyle w:val="DefaultParagraphFont"/>
              </w:rPr>
            </w:pPr>
            <w:r>
              <w:rPr>
                <w:rStyle w:val="DefaultParagraphFont"/>
                <w:sz w:val="20"/>
              </w:rPr>
              <w:t>Ⅴ级</w:t>
            </w:r>
          </w:p>
        </w:tc>
        <w:tc>
          <w:tcPr>
            <w:tcW w:w="360" w:type="dxa"/>
            <w:vAlign w:val="center"/>
          </w:tcPr>
          <w:p>
            <w:pPr>
              <w:pStyle w:val="000"/>
              <w:spacing w:line="200" w:lineRule="auto"/>
              <w:jc w:val="center"/>
              <w:rPr>
                <w:rStyle w:val="DefaultParagraphFont"/>
              </w:rPr>
            </w:pPr>
            <w:r>
              <w:rPr>
                <w:rStyle w:val="DefaultParagraphFont"/>
                <w:sz w:val="20"/>
              </w:rPr>
              <w:t>SF5c</w:t>
            </w:r>
          </w:p>
        </w:tc>
        <w:tc>
          <w:tcPr>
            <w:tcW w:w="360" w:type="dxa"/>
            <w:vAlign w:val="center"/>
          </w:tcPr>
          <w:p>
            <w:pPr>
              <w:pStyle w:val="000"/>
              <w:spacing w:line="200" w:lineRule="auto"/>
              <w:jc w:val="center"/>
              <w:rPr>
                <w:rStyle w:val="DefaultParagraphFont"/>
              </w:rPr>
            </w:pPr>
            <w:r>
              <w:rPr>
                <w:rStyle w:val="DefaultParagraphFont"/>
                <w:sz w:val="20"/>
              </w:rPr>
              <w:t>27</w:t>
            </w:r>
          </w:p>
        </w:tc>
        <w:tc>
          <w:tcPr>
            <w:tcW w:w="360" w:type="dxa"/>
            <w:vAlign w:val="center"/>
          </w:tcPr>
          <w:p>
            <w:pPr>
              <w:pStyle w:val="000"/>
              <w:spacing w:line="200" w:lineRule="auto"/>
              <w:jc w:val="center"/>
              <w:rPr>
                <w:rStyle w:val="DefaultParagraphFont"/>
              </w:rPr>
            </w:pPr>
            <w:r>
              <w:rPr>
                <w:rStyle w:val="DefaultParagraphFont"/>
                <w:sz w:val="20"/>
              </w:rPr>
              <w:t>60</w:t>
            </w:r>
          </w:p>
        </w:tc>
        <w:tc>
          <w:tcPr>
            <w:tcW w:w="360" w:type="dxa"/>
            <w:vAlign w:val="center"/>
          </w:tcPr>
          <w:p>
            <w:pPr>
              <w:pStyle w:val="000"/>
              <w:spacing w:line="200" w:lineRule="auto"/>
              <w:jc w:val="center"/>
              <w:rPr>
                <w:rStyle w:val="DefaultParagraphFont"/>
              </w:rPr>
            </w:pPr>
            <w:r>
              <w:rPr>
                <w:rStyle w:val="DefaultParagraphFont"/>
                <w:sz w:val="20"/>
              </w:rPr>
              <w:t>本段变更：支护类型SF5d；喷射混凝土厚度27cm；钢支撑间距50cm</w:t>
            </w:r>
          </w:p>
        </w:tc>
      </w:tr>
    </w:tbl>
    <w:p>
      <w:pPr>
        <w:pStyle w:val="000"/>
        <w:jc w:val="both"/>
        <w:rPr>
          <w:rStyle w:val="DefaultParagraphFont"/>
          <w:rFonts w:ascii="宋体" w:hAnsi="宋体" w:cs="宋体" w:hint="eastAsia"/>
          <w:kern w:val="0"/>
        </w:rPr>
      </w:pPr>
      <w:r>
        <w:rPr>
          <w:rStyle w:val="DefaultParagraphFont"/>
          <w:rFonts w:ascii="宋体" w:hAnsi="宋体" w:hint="eastAsia"/>
          <w:b/>
          <w:sz w:val="28"/>
          <w:szCs w:val="28"/>
        </w:rPr>
        <w:t xml:space="preserve"> </w:t>
      </w:r>
      <w:r>
        <w:rPr>
          <w:rStyle w:val="DefaultParagraphFont"/>
          <w:rFonts w:ascii="宋体" w:hAnsi="宋体"/>
          <w:b/>
          <w:sz w:val="28"/>
          <w:szCs w:val="28"/>
        </w:rPr>
        <w:t xml:space="preserve"> </w:t>
      </w:r>
    </w:p>
    <w:p>
      <w:pPr>
        <w:pStyle w:val="0"/>
        <w:spacing w:line="240" w:lineRule="auto"/>
        <w:ind w:firstLine="210" w:firstLineChars="100"/>
        <w:jc w:val="left"/>
        <w:rPr>
          <w:rStyle w:val="DefaultParagraphFont"/>
          <w:rFonts w:hint="eastAsia"/>
          <w:b w:val="0"/>
          <w:sz w:val="21"/>
          <w:szCs w:val="21"/>
        </w:rPr>
      </w:pPr>
      <w:bookmarkEnd w:id="41"/>
    </w:p>
    <w:p>
      <w:pPr>
        <w:pStyle w:val="0"/>
        <w:spacing w:line="240" w:lineRule="auto"/>
        <w:ind w:firstLine="210" w:firstLineChars="100"/>
        <w:jc w:val="left"/>
        <w:rPr>
          <w:rStyle w:val="DefaultParagraphFont"/>
          <w:rFonts w:ascii="宋体" w:hAnsi="宋体" w:hint="eastAsia"/>
          <w:color w:val="000000"/>
        </w:rPr>
      </w:pPr>
      <w:r>
        <w:rPr>
          <w:rStyle w:val="DefaultParagraphFont"/>
          <w:rFonts w:hint="eastAsia"/>
          <w:sz w:val="21"/>
          <w:szCs w:val="21"/>
        </w:rPr>
        <w:t>注：深阴影段为已检测段，浅阴影部分含本次检测段</w:t>
      </w:r>
      <w:r>
        <w:rPr>
          <w:rStyle w:val="DefaultParagraphFont"/>
          <w:rFonts w:hint="eastAsia"/>
        </w:rPr>
        <w:t>。</w:t>
      </w:r>
    </w:p>
    <w:p>
      <w:pPr>
        <w:pStyle w:val="200"/>
        <w:rPr>
          <w:rStyle w:val="DefaultParagraphFont"/>
          <w:rFonts w:hint="eastAsia"/>
        </w:rPr>
      </w:pPr>
      <w:bookmarkStart w:id="42" w:name="_Toc311655042"/>
      <w:bookmarkStart w:id="43" w:name="_Toc384327954"/>
      <w:bookmarkStart w:id="44" w:name="_Toc461914957"/>
      <w:bookmarkStart w:id="45" w:name="_Toc256000005"/>
      <w:r>
        <w:rPr>
          <w:rStyle w:val="DefaultParagraphFont"/>
          <w:rFonts w:hint="eastAsia"/>
        </w:rPr>
        <w:t>4.2解释依据</w:t>
      </w:r>
      <w:bookmarkEnd w:id="45"/>
      <w:bookmarkEnd w:id="42"/>
      <w:bookmarkEnd w:id="43"/>
      <w:bookmarkEnd w:id="44"/>
    </w:p>
    <w:p>
      <w:pPr>
        <w:pStyle w:val="0"/>
        <w:ind w:firstLine="48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0"/>
        <w:ind w:firstLine="48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0"/>
        <w:ind w:firstLine="480" w:firstLineChars="200"/>
        <w:rPr>
          <w:rStyle w:val="DefaultParagraphFont"/>
          <w:rFonts w:ascii="宋体" w:hAnsi="宋体"/>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0"/>
        <w:ind w:firstLine="422"/>
        <w:jc w:val="center"/>
        <w:rPr>
          <w:rStyle w:val="DefaultParagraphFont"/>
          <w:sz w:val="21"/>
          <w:szCs w:val="21"/>
        </w:rPr>
      </w:pPr>
    </w:p>
    <w:p>
      <w:pPr>
        <w:pStyle w:val="0"/>
        <w:ind w:firstLine="422"/>
        <w:jc w:val="center"/>
        <w:rPr>
          <w:rStyle w:val="DefaultParagraphFont"/>
          <w:sz w:val="21"/>
          <w:szCs w:val="21"/>
        </w:rPr>
      </w:pPr>
    </w:p>
    <w:p>
      <w:pPr>
        <w:pStyle w:val="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773"/>
        <w:gridCol w:w="3471"/>
      </w:tblGrid>
      <w:tr>
        <w:tblPrEx>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82"/>
              <w:jc w:val="center"/>
              <w:rPr>
                <w:rStyle w:val="DefaultParagraphFont"/>
                <w:b/>
                <w:bCs/>
              </w:rPr>
            </w:pPr>
            <w:r>
              <w:rPr>
                <w:rStyle w:val="DefaultParagraphFont"/>
                <w:b/>
                <w:bCs/>
              </w:rPr>
              <w:t>目标物</w:t>
            </w:r>
          </w:p>
        </w:tc>
        <w:tc>
          <w:tcPr>
            <w:tcW w:w="3471" w:type="dxa"/>
            <w:vAlign w:val="center"/>
          </w:tcPr>
          <w:p>
            <w:pPr>
              <w:pStyle w:val="0"/>
              <w:spacing w:line="240" w:lineRule="auto"/>
              <w:ind w:firstLine="482"/>
              <w:jc w:val="center"/>
              <w:rPr>
                <w:rStyle w:val="DefaultParagraphFont"/>
                <w:b/>
                <w:bCs/>
              </w:rPr>
            </w:pPr>
            <w:r>
              <w:rPr>
                <w:rStyle w:val="DefaultParagraphFont"/>
                <w:b/>
                <w:bCs/>
              </w:rPr>
              <w:t>介电常数</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0"/>
              <w:spacing w:line="240" w:lineRule="auto"/>
              <w:ind w:firstLine="420"/>
              <w:jc w:val="center"/>
              <w:rPr>
                <w:rStyle w:val="DefaultParagraphFont"/>
                <w:sz w:val="21"/>
                <w:szCs w:val="21"/>
              </w:rPr>
            </w:pPr>
            <w:r>
              <w:rPr>
                <w:rStyle w:val="DefaultParagraphFont"/>
                <w:sz w:val="21"/>
                <w:szCs w:val="21"/>
              </w:rPr>
              <w:t>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0"/>
              <w:spacing w:line="240" w:lineRule="auto"/>
              <w:ind w:firstLine="420"/>
              <w:jc w:val="center"/>
              <w:rPr>
                <w:rStyle w:val="DefaultParagraphFont"/>
                <w:sz w:val="21"/>
                <w:szCs w:val="21"/>
              </w:rPr>
            </w:pPr>
            <w:r>
              <w:rPr>
                <w:rStyle w:val="DefaultParagraphFont"/>
                <w:sz w:val="21"/>
                <w:szCs w:val="21"/>
              </w:rPr>
              <w:t>81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101"/>
        <w:rPr>
          <w:rStyle w:val="DefaultParagraphFont"/>
          <w:rFonts w:hint="eastAsia"/>
        </w:rPr>
      </w:pPr>
      <w:bookmarkStart w:id="46" w:name="_Toc432884408"/>
      <w:bookmarkStart w:id="47" w:name="_Toc461914958"/>
      <w:bookmarkStart w:id="48" w:name="_Toc256000006"/>
      <w:r>
        <w:rPr>
          <w:rStyle w:val="DefaultParagraphFont"/>
          <w:rFonts w:hint="eastAsia"/>
        </w:rPr>
        <w:t>5工作原理与检测方法</w:t>
      </w:r>
      <w:bookmarkEnd w:id="48"/>
      <w:bookmarkEnd w:id="46"/>
      <w:bookmarkEnd w:id="47"/>
    </w:p>
    <w:p>
      <w:pPr>
        <w:pStyle w:val="200"/>
        <w:rPr>
          <w:rStyle w:val="DefaultParagraphFont"/>
          <w:rFonts w:hint="eastAsia"/>
        </w:rPr>
      </w:pPr>
      <w:bookmarkStart w:id="49" w:name="_Toc334262437"/>
      <w:bookmarkStart w:id="50" w:name="_Toc334262475"/>
      <w:bookmarkStart w:id="51" w:name="_Toc432884409"/>
      <w:bookmarkStart w:id="52" w:name="_Toc461914959"/>
      <w:bookmarkStart w:id="53" w:name="_Toc256000007"/>
      <w:r>
        <w:rPr>
          <w:rStyle w:val="DefaultParagraphFont"/>
          <w:rFonts w:hint="eastAsia"/>
        </w:rPr>
        <w:t>5.1工作原理</w:t>
      </w:r>
      <w:bookmarkEnd w:id="53"/>
      <w:bookmarkEnd w:id="49"/>
      <w:bookmarkEnd w:id="50"/>
      <w:bookmarkEnd w:id="51"/>
      <w:bookmarkEnd w:id="52"/>
    </w:p>
    <w:p>
      <w:pPr>
        <w:pStyle w:val="0"/>
        <w:ind w:firstLine="480" w:firstLineChars="200"/>
        <w:rPr>
          <w:rStyle w:val="DefaultParagraphFont"/>
          <w:rFonts w:hint="eastAsia"/>
          <w:color w:val="000000"/>
        </w:rPr>
      </w:pPr>
      <w:r>
        <w:rPr>
          <w:rFonts w:hint="eastAsia"/>
          <w:color w:val="000000"/>
        </w:rPr>
        <w:pict>
          <v:shape id="图片 369" o:spid="_x0000_s1028" type="#_x0000_t75" style="width:195.5pt;height:168.05pt;margin-top:57.8pt;margin-left:249.35pt;mso-wrap-style:square;position:absolute;z-index:-251656192" o:allowoverlap="f" wrapcoords="15439 0 2227 0 2227 1593 4157 1593 2227 1991 2153 4778 -74 6271 -74 7266 2227 7963 4973 7963 9204 14334 9278 15926 8685 16524 8536 16922 8685 17718 10540 19112 4008 19609 4008 21500 18779 21500 18928 19709 18334 19609 10986 19112 16181 17618 16330 16125 15959 16026 11876 15926 11654 14334 14920 9556 15885 7963 18928 7963 21600 7266 21600 6371 18482 4778 18408 3185 16775 1593 19225 1593 19744 1294 19596 0 15439 0" filled="f" stroked="f">
            <v:stroke linestyle="single"/>
            <v:imagedata r:id="rId9" o:title=""/>
            <v:path o:extrusionok="f"/>
            <o:lock v:ext="edit" aspectratio="t"/>
            <w10:wrap type="square"/>
          </v:shape>
        </w:pict>
      </w:r>
      <w:r>
        <w:rPr>
          <w:rStyle w:val="DefaultParagraphFont"/>
          <w:rFonts w:hint="eastAsia"/>
          <w:color w:val="000000"/>
        </w:rPr>
        <w:t>地质雷达是一种电磁探测技术，利用主频为数十兆赫至千兆赫</w:t>
      </w:r>
      <w:bookmarkStart w:id="54" w:name="_Hlt126835285"/>
      <w:bookmarkEnd w:id="54"/>
      <w:r>
        <w:rPr>
          <w:rStyle w:val="DefaultParagraphFont"/>
          <w:rFonts w:hint="eastAsia"/>
          <w:color w:val="000000"/>
        </w:rPr>
        <w:t>波段的电磁波，以宽频带短脉冲的形式，由地面通过天线发射器（T）发送至地下，经地下目的体或地层的界面反射后返回地面，为雷达天线接收器（R）</w:t>
      </w:r>
    </w:p>
    <w:p>
      <w:pPr>
        <w:pStyle w:val="0"/>
        <w:ind w:firstLine="480" w:firstLineChars="200"/>
        <w:rPr>
          <w:rStyle w:val="DefaultParagraphFont"/>
          <w:rFonts w:hint="eastAsia"/>
          <w:color w:val="000000"/>
        </w:rPr>
      </w:pPr>
      <w:r>
        <w:rPr>
          <w:rStyle w:val="DefaultParagraphFont"/>
          <w:rFonts w:hint="eastAsia"/>
          <w:color w:val="000000"/>
        </w:rPr>
        <w:t>接收，其工作原理如图4.1。</w:t>
      </w:r>
    </w:p>
    <w:p>
      <w:pPr>
        <w:pStyle w:val="0"/>
        <w:ind w:firstLine="480" w:firstLineChars="200"/>
        <w:rPr>
          <w:rStyle w:val="DefaultParagraphFont"/>
          <w:rFonts w:hint="eastAsia"/>
          <w:color w:val="000000"/>
        </w:rPr>
      </w:pPr>
      <w:r>
        <w:rPr>
          <w:rStyle w:val="DefaultParagraphFont"/>
          <w:rFonts w:hint="eastAsia"/>
          <w:color w:val="000000"/>
        </w:rPr>
        <w:t>脉冲波的行程为：</w:t>
      </w:r>
    </w:p>
    <w:p>
      <w:pPr>
        <w:pStyle w:val="0"/>
        <w:ind w:firstLine="480" w:firstLineChars="200"/>
        <w:rPr>
          <w:rStyle w:val="DefaultParagraphFont"/>
          <w:rFonts w:hint="eastAsia"/>
          <w:color w:val="000000"/>
        </w:rPr>
      </w:pPr>
      <w:r>
        <w:rPr>
          <w:rStyle w:val="DefaultParagraphFont"/>
          <w:rFonts w:hint="eastAsia"/>
          <w:color w:val="000000"/>
        </w:rPr>
        <w:t xml:space="preserve">      </w:t>
      </w:r>
      <w:r>
        <w:rPr>
          <w:color w:val="000000"/>
        </w:rPr>
        <w:object>
          <v:shape id="对象 3" o:spid="_x0000_i1029" type="#_x0000_t75" style="width:97.96pt;height:18.97pt;mso-position-horizontal-relative:page;mso-position-vertical-relative:page;mso-wrap-style:square" o:oleicon="f" o:ole="" o:preferrelative="t" filled="f" fillcolor="#6d6d6d" stroked="f">
            <v:stroke linestyle="single"/>
            <v:imagedata r:id="rId10" o:title=""/>
            <v:path o:extrusionok="f"/>
            <o:lock v:ext="edit" aspectratio="t"/>
          </v:shape>
          <o:OLEObject Type="Embed" ProgID="Equation.3" ShapeID="对象 3" DrawAspect="Content" ObjectID="_1234567890" r:id="rId11"/>
        </w:object>
      </w:r>
      <w:r>
        <w:rPr>
          <w:rStyle w:val="DefaultParagraphFont"/>
          <w:rFonts w:hint="eastAsia"/>
          <w:color w:val="000000"/>
        </w:rPr>
        <w:t xml:space="preserve">                                    </w:t>
      </w:r>
    </w:p>
    <w:p>
      <w:pPr>
        <w:pStyle w:val="0"/>
        <w:ind w:firstLine="480" w:firstLineChars="200"/>
        <w:rPr>
          <w:rStyle w:val="DefaultParagraphFont"/>
          <w:rFonts w:hint="eastAsia"/>
          <w:color w:val="000000"/>
        </w:rPr>
      </w:pPr>
      <w:r>
        <w:rPr>
          <w:rStyle w:val="DefaultParagraphFont"/>
          <w:rFonts w:hint="eastAsia"/>
          <w:color w:val="000000"/>
        </w:rPr>
        <w:t xml:space="preserve">式中：t </w:t>
      </w:r>
      <w:r>
        <w:rPr>
          <w:rStyle w:val="DefaultParagraphFont"/>
          <w:rFonts w:hint="eastAsia"/>
          <w:color w:val="000000"/>
        </w:rPr>
        <w:t>——</w:t>
      </w:r>
      <w:r>
        <w:rPr>
          <w:rStyle w:val="DefaultParagraphFont"/>
          <w:rFonts w:hint="eastAsia"/>
          <w:color w:val="000000"/>
        </w:rPr>
        <w:t>脉冲波走时（1ns=10</w:t>
      </w:r>
      <w:r>
        <w:rPr>
          <w:rStyle w:val="DefaultParagraphFont"/>
          <w:rFonts w:hint="eastAsia"/>
          <w:color w:val="000000"/>
          <w:vertAlign w:val="superscript"/>
        </w:rPr>
        <w:t>-9</w:t>
      </w:r>
      <w:r>
        <w:rPr>
          <w:rStyle w:val="DefaultParagraphFont"/>
          <w:rFonts w:hint="eastAsia"/>
          <w:color w:val="000000"/>
        </w:rPr>
        <w:t>s）</w:t>
      </w:r>
    </w:p>
    <w:p>
      <w:pPr>
        <w:pStyle w:val="0"/>
        <w:ind w:firstLine="1200" w:firstLineChars="500"/>
        <w:rPr>
          <w:rStyle w:val="DefaultParagraphFont"/>
          <w:rFonts w:hint="eastAsia"/>
          <w:color w:val="000000"/>
        </w:rPr>
      </w:pPr>
      <w:r>
        <w:rPr>
          <w:rStyle w:val="DefaultParagraphFont"/>
          <w:rFonts w:hint="eastAsia"/>
          <w:color w:val="000000"/>
        </w:rPr>
        <w:t xml:space="preserve">z </w:t>
      </w:r>
      <w:r>
        <w:rPr>
          <w:rStyle w:val="DefaultParagraphFont"/>
          <w:rFonts w:hint="eastAsia"/>
          <w:color w:val="000000"/>
        </w:rPr>
        <w:t>——</w:t>
      </w:r>
      <w:r>
        <w:rPr>
          <w:rStyle w:val="DefaultParagraphFont"/>
          <w:rFonts w:hint="eastAsia"/>
          <w:color w:val="000000"/>
        </w:rPr>
        <w:t>反射体深度（m）</w:t>
      </w:r>
    </w:p>
    <w:p>
      <w:pPr>
        <w:pStyle w:val="0"/>
        <w:ind w:firstLine="1200" w:firstLineChars="500"/>
        <w:rPr>
          <w:rStyle w:val="DefaultParagraphFont"/>
          <w:rFonts w:hint="eastAsia"/>
          <w:color w:val="000000"/>
        </w:rPr>
      </w:pPr>
      <w:r>
        <w:rPr>
          <w:rStyle w:val="DefaultParagraphFont"/>
          <w:rFonts w:hint="eastAsia"/>
          <w:color w:val="000000"/>
        </w:rPr>
        <w:t xml:space="preserve">x </w:t>
      </w:r>
      <w:r>
        <w:rPr>
          <w:rStyle w:val="DefaultParagraphFont"/>
          <w:rFonts w:hint="eastAsia"/>
          <w:color w:val="000000"/>
        </w:rPr>
        <w:t>——</w:t>
      </w:r>
      <w:r>
        <w:rPr>
          <w:rStyle w:val="DefaultParagraphFont"/>
          <w:rFonts w:hint="eastAsia"/>
          <w:color w:val="000000"/>
        </w:rPr>
        <w:t>T与R的距离（m）</w:t>
      </w:r>
    </w:p>
    <w:p>
      <w:pPr>
        <w:pStyle w:val="0"/>
        <w:ind w:firstLine="1200" w:firstLineChars="500"/>
        <w:rPr>
          <w:rStyle w:val="DefaultParagraphFont"/>
          <w:color w:val="000000"/>
        </w:rPr>
      </w:pPr>
      <w:r>
        <w:rPr>
          <w:rStyle w:val="DefaultParagraphFont"/>
          <w:rFonts w:hint="eastAsia"/>
          <w:color w:val="000000"/>
        </w:rPr>
        <w:t xml:space="preserve">v </w:t>
      </w:r>
      <w:r>
        <w:rPr>
          <w:rStyle w:val="DefaultParagraphFont"/>
          <w:rFonts w:hint="eastAsia"/>
          <w:color w:val="000000"/>
        </w:rPr>
        <w:t>——</w:t>
      </w:r>
      <w:r>
        <w:rPr>
          <w:rStyle w:val="DefaultParagraphFont"/>
          <w:rFonts w:hint="eastAsia"/>
          <w:color w:val="000000"/>
        </w:rPr>
        <w:t>雷达脉冲波速（m/ns）</w:t>
      </w:r>
    </w:p>
    <w:p>
      <w:pPr>
        <w:pStyle w:val="0"/>
        <w:ind w:firstLine="480" w:firstLineChars="200"/>
        <w:rPr>
          <w:rStyle w:val="DefaultParagraphFont"/>
          <w:rFonts w:hint="eastAsia"/>
          <w:color w:val="000000"/>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200"/>
        <w:rPr>
          <w:rStyle w:val="DefaultParagraphFont"/>
          <w:rFonts w:hint="eastAsia"/>
          <w:lang w:eastAsia="zh-CN"/>
        </w:rPr>
      </w:pPr>
      <w:bookmarkStart w:id="55" w:name="_Toc334262438"/>
      <w:bookmarkStart w:id="56" w:name="_Toc334262476"/>
      <w:bookmarkStart w:id="57" w:name="_Toc432884410"/>
      <w:bookmarkStart w:id="58" w:name="_Toc461914960"/>
      <w:bookmarkStart w:id="59" w:name="_Toc256000008"/>
      <w:r>
        <w:rPr>
          <w:rStyle w:val="DefaultParagraphFont"/>
          <w:rFonts w:hint="eastAsia"/>
        </w:rPr>
        <w:t>5.2检测方法</w:t>
      </w:r>
      <w:bookmarkEnd w:id="59"/>
      <w:bookmarkEnd w:id="55"/>
      <w:bookmarkEnd w:id="56"/>
      <w:bookmarkEnd w:id="57"/>
      <w:bookmarkEnd w:id="58"/>
    </w:p>
    <w:p>
      <w:pPr>
        <w:pStyle w:val="0"/>
        <w:rPr>
          <w:rStyle w:val="DefaultParagraphFont"/>
          <w:rFonts w:hint="eastAsia"/>
          <w:color w:val="000000"/>
        </w:rPr>
      </w:pPr>
      <w:r>
        <w:rPr>
          <w:rStyle w:val="DefaultParagraphFont"/>
          <w:rFonts w:hint="eastAsia"/>
        </w:rPr>
        <w:t xml:space="preserve">   </w:t>
      </w:r>
      <w:r>
        <w:rPr>
          <w:rStyle w:val="DefaultParagraphFont"/>
          <w:rFonts w:hint="eastAsia"/>
          <w:color w:val="000000"/>
        </w:rPr>
        <w:t>根据现场情况，采用人工打标定位方式，每隔5m进行标记，当天线中心通过标记点时进行标记定位，配套天线紧贴隧道衬砌表面，沿隧道轴向布置雷达测线。</w:t>
      </w:r>
    </w:p>
    <w:p>
      <w:pPr>
        <w:pStyle w:val="201"/>
        <w:ind w:firstLine="0"/>
        <w:rPr>
          <w:rStyle w:val="DefaultParagraphFont"/>
          <w:rFonts w:ascii="宋体" w:hAnsi="宋体" w:hint="eastAsia"/>
          <w:sz w:val="24"/>
        </w:rPr>
      </w:pPr>
      <w:r>
        <w:rPr>
          <w:rStyle w:val="DefaultParagraphFont"/>
          <w:rFonts w:hint="eastAsia"/>
          <w:color w:val="000000"/>
          <w:sz w:val="24"/>
        </w:rPr>
        <w:t xml:space="preserve">   根据现场对混凝土衬砌的实测标定计算结果，</w:t>
      </w:r>
      <w:r>
        <w:rPr>
          <w:rStyle w:val="DefaultParagraphFont"/>
          <w:color w:val="000000"/>
          <w:sz w:val="24"/>
        </w:rPr>
        <w:t>相对介电常数</w:t>
      </w:r>
      <w:r>
        <w:rPr>
          <w:rStyle w:val="DefaultParagraphFont"/>
          <w:rFonts w:hint="eastAsia"/>
          <w:color w:val="000000"/>
          <w:sz w:val="24"/>
        </w:rPr>
        <w:t>采用</w:t>
      </w:r>
      <w:r>
        <w:rPr>
          <w:rStyle w:val="DefaultParagraphFont"/>
          <w:rFonts w:hint="eastAsia"/>
          <w:sz w:val="24"/>
        </w:rPr>
        <w:t>6.</w:t>
      </w:r>
      <w:r>
        <w:rPr>
          <w:rStyle w:val="DefaultParagraphFont"/>
          <w:sz w:val="24"/>
        </w:rPr>
        <w:t>8。</w:t>
      </w:r>
    </w:p>
    <w:p>
      <w:pPr>
        <w:pStyle w:val="200"/>
        <w:rPr>
          <w:rStyle w:val="DefaultParagraphFont"/>
        </w:rPr>
      </w:pPr>
      <w:bookmarkStart w:id="60" w:name="_Toc432884411"/>
      <w:bookmarkStart w:id="61" w:name="_Toc461914961"/>
      <w:bookmarkStart w:id="62" w:name="_Toc256000009"/>
      <w:r>
        <w:rPr>
          <w:rStyle w:val="DefaultParagraphFont"/>
          <w:rFonts w:hint="eastAsia"/>
        </w:rPr>
        <w:t>5.3</w:t>
      </w:r>
      <w:r>
        <w:rPr>
          <w:rStyle w:val="DefaultParagraphFont"/>
        </w:rPr>
        <w:t>测线布置</w:t>
      </w:r>
      <w:bookmarkEnd w:id="62"/>
      <w:bookmarkEnd w:id="60"/>
      <w:bookmarkEnd w:id="61"/>
    </w:p>
    <w:p>
      <w:pPr>
        <w:pStyle w:val="0"/>
        <w:ind w:firstLine="480" w:firstLineChars="200"/>
        <w:rPr>
          <w:rStyle w:val="DefaultParagraphFont"/>
          <w:color w:val="000000"/>
        </w:rPr>
      </w:pPr>
      <w:r>
        <w:rPr>
          <w:color w:val="000000"/>
        </w:rPr>
        <w:pict>
          <v:shapetype id="_x0000_t202" coordsize="21600,21600" o:spt="202" path="m,l,21600r21600,l21600,xe">
            <v:stroke joinstyle="miter"/>
            <v:path gradientshapeok="t" o:connecttype="rect"/>
          </v:shapetype>
          <v:shape id="文本框 366" o:spid="_x0000_s1030" type="#_x0000_t202" style="width:68.25pt;height:23.4pt;margin-top:0;margin-left:0;mso-position-horizontal:left;mso-position-horizontal-relative:page;mso-position-vertical:top;mso-position-vertical-relative:page;mso-wrap-style:square;position:absolute;z-index:251659264" filled="f" fillcolor="#e5e5e5" stroked="f" strokecolor="white" strokeweight="0.25pt">
            <v:stroke linestyle="single"/>
            <v:textbox inset="0,0,0,0">
              <w:txbxContent>
                <w:p>
                  <w:pPr>
                    <w:pStyle w:val="0"/>
                    <w:rPr>
                      <w:rStyle w:val="DefaultParagraphFont"/>
                    </w:rPr>
                  </w:pPr>
                </w:p>
              </w:txbxContent>
            </v:textbox>
          </v:shape>
        </w:pict>
      </w:r>
      <w:r>
        <w:rPr>
          <w:rStyle w:val="DefaultParagraphFont"/>
          <w:color w:val="000000"/>
        </w:rPr>
        <w:t>根据隧道</w:t>
      </w:r>
      <w:r>
        <w:rPr>
          <w:rStyle w:val="DefaultParagraphFont"/>
          <w:rFonts w:hint="eastAsia"/>
          <w:color w:val="000000"/>
        </w:rPr>
        <w:t>断面大小</w:t>
      </w:r>
      <w:r>
        <w:rPr>
          <w:rStyle w:val="DefaultParagraphFont"/>
          <w:color w:val="000000"/>
        </w:rPr>
        <w:t>，</w:t>
      </w:r>
      <w:r>
        <w:rPr>
          <w:rStyle w:val="DefaultParagraphFont"/>
          <w:rFonts w:hint="eastAsia"/>
          <w:color w:val="000000"/>
        </w:rPr>
        <w:t>本次检测是</w:t>
      </w:r>
      <w:r>
        <w:rPr>
          <w:rStyle w:val="DefaultParagraphFont"/>
          <w:color w:val="000000"/>
        </w:rPr>
        <w:t>以隧道拱顶为中心，设计测线间距</w:t>
      </w:r>
      <w:r>
        <w:rPr>
          <w:rStyle w:val="DefaultParagraphFont"/>
          <w:rFonts w:hint="eastAsia"/>
          <w:color w:val="000000"/>
        </w:rPr>
        <w:t>2m，</w:t>
      </w:r>
      <w:r>
        <w:rPr>
          <w:rStyle w:val="DefaultParagraphFont"/>
          <w:color w:val="000000"/>
        </w:rPr>
        <w:t>共布置</w:t>
      </w:r>
      <w:r>
        <w:rPr>
          <w:rStyle w:val="DefaultParagraphFont"/>
          <w:rFonts w:hint="eastAsia"/>
          <w:color w:val="000000"/>
        </w:rPr>
        <w:t>7</w:t>
      </w:r>
      <w:r>
        <w:rPr>
          <w:rStyle w:val="DefaultParagraphFont"/>
          <w:color w:val="000000"/>
        </w:rPr>
        <w:t>条测线，测线沿隧道</w:t>
      </w:r>
      <w:r>
        <w:rPr>
          <w:rStyle w:val="DefaultParagraphFont"/>
          <w:rFonts w:hint="eastAsia"/>
          <w:color w:val="000000"/>
        </w:rPr>
        <w:t>前进</w:t>
      </w:r>
      <w:r>
        <w:rPr>
          <w:rStyle w:val="DefaultParagraphFont"/>
          <w:color w:val="000000"/>
        </w:rPr>
        <w:t>方向布置，如图</w:t>
      </w:r>
      <w:r>
        <w:rPr>
          <w:rStyle w:val="DefaultParagraphFont"/>
          <w:rFonts w:hint="eastAsia"/>
          <w:color w:val="000000"/>
        </w:rPr>
        <w:t>4.2</w:t>
      </w:r>
      <w:r>
        <w:rPr>
          <w:rStyle w:val="DefaultParagraphFont"/>
          <w:color w:val="000000"/>
        </w:rPr>
        <w:t>所示。</w:t>
      </w:r>
    </w:p>
    <w:p>
      <w:pPr>
        <w:pStyle w:val="0"/>
        <w:ind w:firstLine="480" w:firstLineChars="200"/>
        <w:jc w:val="center"/>
        <w:rPr>
          <w:rStyle w:val="DefaultParagraphFont"/>
        </w:rPr>
      </w:pPr>
      <w:r>
        <w:rPr>
          <w:rStyle w:val="DefaultParagraphFont"/>
        </w:rPr>
        <w:t xml:space="preserve">   </w:t>
      </w:r>
      <w:r>
        <w:pict>
          <v:shape id="图片 1" o:spid="_x0000_i1031" type="#_x0000_t75" style="width:210.81pt;height:186.8pt;mso-position-horizontal-relative:page;mso-position-vertical-relative:page;mso-wrap-style:square" filled="f" stroked="f">
            <v:stroke linestyle="single"/>
            <v:imagedata r:id="rId12" o:title=""/>
            <v:path o:extrusionok="f"/>
            <o:lock v:ext="edit" aspectratio="t"/>
          </v:shape>
        </w:pict>
      </w:r>
    </w:p>
    <w:p>
      <w:pPr>
        <w:pStyle w:val="101"/>
        <w:spacing w:line="578" w:lineRule="auto"/>
        <w:rPr>
          <w:rStyle w:val="DefaultParagraphFont"/>
          <w:rFonts w:hint="eastAsia"/>
        </w:rPr>
      </w:pPr>
      <w:bookmarkStart w:id="63" w:name="_Toc334262439"/>
      <w:bookmarkStart w:id="64" w:name="_Toc334262477"/>
      <w:bookmarkStart w:id="65" w:name="_Toc432884413"/>
      <w:bookmarkStart w:id="66" w:name="_Toc461914962"/>
      <w:bookmarkStart w:id="67" w:name="_Toc256000010"/>
      <w:r>
        <w:rPr>
          <w:rStyle w:val="DefaultParagraphFont"/>
          <w:rFonts w:hint="eastAsia"/>
        </w:rPr>
        <w:t>6隧道混凝土衬砌检测结果</w:t>
      </w:r>
      <w:bookmarkEnd w:id="67"/>
      <w:bookmarkEnd w:id="63"/>
      <w:bookmarkEnd w:id="64"/>
      <w:bookmarkEnd w:id="65"/>
      <w:bookmarkEnd w:id="66"/>
    </w:p>
    <w:p>
      <w:pPr>
        <w:pStyle w:val="0"/>
        <w:ind w:firstLine="480" w:firstLineChars="200"/>
        <w:rPr>
          <w:rStyle w:val="DefaultParagraphFont"/>
          <w:rFonts w:ascii="宋体" w:hAnsi="宋体"/>
        </w:rPr>
      </w:pPr>
      <w:r>
        <w:rPr>
          <w:rStyle w:val="DefaultParagraphFont"/>
          <w:rFonts w:ascii="宋体" w:hAnsi="宋体" w:hint="eastAsia"/>
        </w:rPr>
        <w:t>依据</w:t>
      </w:r>
      <w:r>
        <w:rPr>
          <w:rStyle w:val="DefaultParagraphFont"/>
          <w:rFonts w:ascii="宋体" w:hAnsi="宋体"/>
        </w:rPr>
        <w:t>《公路工程质量检验评定标准》（JTG F80/1－2004）</w:t>
      </w:r>
      <w:r>
        <w:rPr>
          <w:rStyle w:val="DefaultParagraphFont"/>
          <w:rFonts w:ascii="宋体" w:hAnsi="宋体" w:hint="eastAsia"/>
          <w:color w:val="000000"/>
        </w:rPr>
        <w:t>，隧道</w:t>
      </w:r>
      <w:r>
        <w:rPr>
          <w:rStyle w:val="DefaultParagraphFont"/>
          <w:rFonts w:ascii="宋体" w:hAnsi="宋体" w:cs="宋体"/>
          <w:bCs/>
          <w:color w:val="000000"/>
          <w:kern w:val="0"/>
          <w:szCs w:val="21"/>
        </w:rPr>
        <w:t>混凝土衬砌</w:t>
      </w:r>
      <w:r>
        <w:rPr>
          <w:rStyle w:val="DefaultParagraphFont"/>
          <w:rFonts w:ascii="宋体" w:hAnsi="宋体" w:hint="eastAsia"/>
          <w:color w:val="000000"/>
        </w:rPr>
        <w:t>厚度</w:t>
      </w:r>
      <w:r>
        <w:rPr>
          <w:rStyle w:val="DefaultParagraphFont"/>
          <w:rFonts w:ascii="宋体" w:hAnsi="宋体" w:hint="eastAsia"/>
        </w:rPr>
        <w:t>评估参数参照《标准》表</w:t>
      </w:r>
      <w:r>
        <w:rPr>
          <w:rStyle w:val="DefaultParagraphFont"/>
          <w:rFonts w:ascii="宋体" w:hAnsi="宋体" w:cs="宋体"/>
          <w:bCs/>
          <w:kern w:val="0"/>
          <w:szCs w:val="21"/>
        </w:rPr>
        <w:t>10.</w:t>
      </w:r>
      <w:r>
        <w:rPr>
          <w:rStyle w:val="DefaultParagraphFont"/>
          <w:rFonts w:ascii="宋体" w:hAnsi="宋体" w:cs="宋体" w:hint="eastAsia"/>
          <w:bCs/>
          <w:kern w:val="0"/>
          <w:szCs w:val="21"/>
        </w:rPr>
        <w:t>11</w:t>
      </w:r>
      <w:r>
        <w:rPr>
          <w:rStyle w:val="DefaultParagraphFont"/>
          <w:rFonts w:ascii="宋体" w:hAnsi="宋体" w:cs="宋体"/>
          <w:bCs/>
          <w:kern w:val="0"/>
          <w:szCs w:val="21"/>
        </w:rPr>
        <w:t>.2</w:t>
      </w:r>
      <w:r>
        <w:rPr>
          <w:rStyle w:val="DefaultParagraphFont"/>
          <w:rFonts w:ascii="宋体" w:hAnsi="宋体" w:hint="eastAsia"/>
        </w:rPr>
        <w:t>中检查项目第2项要求（见表4）：</w:t>
      </w:r>
    </w:p>
    <w:p>
      <w:pPr>
        <w:pStyle w:val="0"/>
        <w:widowControl/>
        <w:spacing w:line="240" w:lineRule="auto"/>
        <w:ind w:firstLine="480"/>
        <w:jc w:val="center"/>
        <w:rPr>
          <w:rStyle w:val="DefaultParagraphFont"/>
          <w:rFonts w:ascii="宋体" w:hAnsi="宋体" w:cs="宋体"/>
          <w:bCs/>
          <w:kern w:val="0"/>
          <w:sz w:val="21"/>
          <w:szCs w:val="21"/>
        </w:rPr>
      </w:pPr>
      <w:r>
        <w:rPr>
          <w:rStyle w:val="DefaultParagraphFont"/>
          <w:rFonts w:ascii="宋体" w:hAnsi="宋体" w:cs="宋体"/>
          <w:bCs/>
          <w:kern w:val="0"/>
          <w:sz w:val="21"/>
          <w:szCs w:val="21"/>
        </w:rPr>
        <w:t>表</w:t>
      </w:r>
      <w:r>
        <w:rPr>
          <w:rStyle w:val="DefaultParagraphFont"/>
          <w:rFonts w:ascii="宋体" w:hAnsi="宋体" w:cs="宋体" w:hint="eastAsia"/>
          <w:bCs/>
          <w:kern w:val="0"/>
          <w:sz w:val="21"/>
          <w:szCs w:val="21"/>
        </w:rPr>
        <w:t>4</w:t>
      </w:r>
      <w:r>
        <w:rPr>
          <w:rStyle w:val="DefaultParagraphFont"/>
          <w:rFonts w:ascii="宋体" w:hAnsi="宋体" w:cs="宋体"/>
          <w:bCs/>
          <w:kern w:val="0"/>
          <w:sz w:val="21"/>
          <w:szCs w:val="21"/>
        </w:rPr>
        <w:t xml:space="preserve">  混凝土衬砌实测项目</w:t>
      </w:r>
    </w:p>
    <w:tbl>
      <w:tblPr>
        <w:tblStyle w:val="TableNormal"/>
        <w:jc w:val="center"/>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
      <w:tblGrid>
        <w:gridCol w:w="840"/>
        <w:gridCol w:w="1854"/>
        <w:gridCol w:w="1984"/>
        <w:gridCol w:w="3190"/>
        <w:gridCol w:w="1417"/>
      </w:tblGrid>
      <w:tr>
        <w:tblPrEx>
          <w:jc w:val="center"/>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Ex>
        <w:trPr>
          <w:trHeight w:val="525"/>
          <w:jc w:val="center"/>
        </w:trPr>
        <w:tc>
          <w:tcPr>
            <w:tcW w:w="840" w:type="dxa"/>
            <w:vAlign w:val="center"/>
          </w:tcPr>
          <w:p>
            <w:pPr>
              <w:pStyle w:val="0"/>
              <w:widowControl/>
              <w:spacing w:line="240" w:lineRule="auto"/>
              <w:jc w:val="center"/>
              <w:rPr>
                <w:rStyle w:val="DefaultParagraphFont"/>
                <w:rFonts w:eastAsia="等线"/>
                <w:b/>
                <w:bCs/>
                <w:color w:val="000000"/>
                <w:kern w:val="0"/>
                <w:sz w:val="21"/>
                <w:szCs w:val="21"/>
              </w:rPr>
            </w:pPr>
            <w:r>
              <w:rPr>
                <w:rStyle w:val="DefaultParagraphFont"/>
                <w:rFonts w:ascii="宋体" w:hAnsi="宋体" w:hint="eastAsia"/>
                <w:b/>
                <w:bCs/>
                <w:color w:val="000000"/>
                <w:kern w:val="0"/>
                <w:sz w:val="21"/>
                <w:szCs w:val="21"/>
              </w:rPr>
              <w:t>项次</w:t>
            </w:r>
          </w:p>
        </w:tc>
        <w:tc>
          <w:tcPr>
            <w:tcW w:w="1854" w:type="dxa"/>
            <w:vAlign w:val="center"/>
          </w:tcPr>
          <w:p>
            <w:pPr>
              <w:pStyle w:val="0"/>
              <w:widowControl/>
              <w:spacing w:line="240" w:lineRule="auto"/>
              <w:jc w:val="center"/>
              <w:rPr>
                <w:rStyle w:val="DefaultParagraphFont"/>
                <w:rFonts w:ascii="宋体" w:hAnsi="宋体" w:cs="宋体"/>
                <w:b/>
                <w:bCs/>
                <w:color w:val="000000"/>
                <w:kern w:val="0"/>
                <w:sz w:val="21"/>
                <w:szCs w:val="21"/>
              </w:rPr>
            </w:pPr>
            <w:r>
              <w:rPr>
                <w:rStyle w:val="DefaultParagraphFont"/>
                <w:rFonts w:ascii="宋体" w:hAnsi="宋体" w:cs="宋体" w:hint="eastAsia"/>
                <w:b/>
                <w:bCs/>
                <w:color w:val="000000"/>
                <w:kern w:val="0"/>
                <w:sz w:val="21"/>
                <w:szCs w:val="21"/>
              </w:rPr>
              <w:t>检</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查</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项</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目</w:t>
            </w:r>
          </w:p>
        </w:tc>
        <w:tc>
          <w:tcPr>
            <w:tcW w:w="1984" w:type="dxa"/>
            <w:vAlign w:val="center"/>
          </w:tcPr>
          <w:p>
            <w:pPr>
              <w:pStyle w:val="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规定值或允许偏差</w:t>
            </w:r>
          </w:p>
        </w:tc>
        <w:tc>
          <w:tcPr>
            <w:tcW w:w="3190" w:type="dxa"/>
            <w:vAlign w:val="center"/>
          </w:tcPr>
          <w:p>
            <w:pPr>
              <w:pStyle w:val="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检查方法和频率</w:t>
            </w:r>
          </w:p>
        </w:tc>
        <w:tc>
          <w:tcPr>
            <w:tcW w:w="1417" w:type="dxa"/>
            <w:vAlign w:val="center"/>
          </w:tcPr>
          <w:p>
            <w:pPr>
              <w:pStyle w:val="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权值</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shd w:val="clear" w:color="000000" w:fill="FFFFFF"/>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1</w:t>
            </w:r>
            <w:r>
              <w:rPr>
                <w:rStyle w:val="DefaultParagraphFont"/>
                <w:rFonts w:ascii="宋体" w:hAnsi="宋体" w:cs="宋体" w:hint="eastAsia"/>
                <w:color w:val="000000"/>
                <w:kern w:val="0"/>
                <w:sz w:val="21"/>
                <w:szCs w:val="21"/>
              </w:rPr>
              <w:t>△</w:t>
            </w:r>
          </w:p>
        </w:tc>
        <w:tc>
          <w:tcPr>
            <w:tcW w:w="1854" w:type="dxa"/>
            <w:shd w:val="clear" w:color="000000" w:fill="FFFFFF"/>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混凝土强度(MPa)</w:t>
            </w:r>
          </w:p>
        </w:tc>
        <w:tc>
          <w:tcPr>
            <w:tcW w:w="1984" w:type="dxa"/>
            <w:shd w:val="clear" w:color="000000" w:fill="FFFFFF"/>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在合格标准内</w:t>
            </w:r>
          </w:p>
        </w:tc>
        <w:tc>
          <w:tcPr>
            <w:tcW w:w="3190" w:type="dxa"/>
            <w:shd w:val="clear" w:color="000000" w:fill="FFFFFF"/>
            <w:vAlign w:val="center"/>
          </w:tcPr>
          <w:p>
            <w:pPr>
              <w:pStyle w:val="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按附录D检查</w:t>
            </w:r>
          </w:p>
        </w:tc>
        <w:tc>
          <w:tcPr>
            <w:tcW w:w="1417" w:type="dxa"/>
            <w:shd w:val="clear" w:color="000000" w:fill="FFFFFF"/>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shd w:val="clear" w:color="000000" w:fill="A6A6A6"/>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w:t>
            </w:r>
            <w:r>
              <w:rPr>
                <w:rStyle w:val="DefaultParagraphFont"/>
                <w:rFonts w:ascii="宋体" w:hAnsi="宋体" w:cs="宋体" w:hint="eastAsia"/>
                <w:color w:val="000000"/>
                <w:kern w:val="0"/>
                <w:sz w:val="21"/>
                <w:szCs w:val="21"/>
              </w:rPr>
              <w:t>△</w:t>
            </w:r>
          </w:p>
        </w:tc>
        <w:tc>
          <w:tcPr>
            <w:tcW w:w="1854" w:type="dxa"/>
            <w:shd w:val="clear" w:color="000000" w:fill="A6A6A6"/>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衬砌厚度(mm)</w:t>
            </w:r>
          </w:p>
        </w:tc>
        <w:tc>
          <w:tcPr>
            <w:tcW w:w="1984" w:type="dxa"/>
            <w:shd w:val="clear" w:color="000000" w:fill="A6A6A6"/>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不小于设计值</w:t>
            </w:r>
          </w:p>
        </w:tc>
        <w:tc>
          <w:tcPr>
            <w:tcW w:w="3190" w:type="dxa"/>
            <w:shd w:val="clear" w:color="000000" w:fill="A6A6A6"/>
            <w:vAlign w:val="center"/>
          </w:tcPr>
          <w:p>
            <w:pPr>
              <w:pStyle w:val="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激光断面仪或地质雷达：每40m检查一个断面</w:t>
            </w:r>
          </w:p>
        </w:tc>
        <w:tc>
          <w:tcPr>
            <w:tcW w:w="1417" w:type="dxa"/>
            <w:shd w:val="clear" w:color="000000" w:fill="A6A6A6"/>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c>
          <w:tcPr>
            <w:tcW w:w="1854" w:type="dxa"/>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墙面平整度(mm)</w:t>
            </w:r>
          </w:p>
        </w:tc>
        <w:tc>
          <w:tcPr>
            <w:tcW w:w="1984" w:type="dxa"/>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20</w:t>
            </w:r>
          </w:p>
        </w:tc>
        <w:tc>
          <w:tcPr>
            <w:tcW w:w="3190" w:type="dxa"/>
            <w:vAlign w:val="center"/>
          </w:tcPr>
          <w:p>
            <w:pPr>
              <w:pStyle w:val="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2m直尺：每40m每侧检查5处</w:t>
            </w:r>
          </w:p>
        </w:tc>
        <w:tc>
          <w:tcPr>
            <w:tcW w:w="1417" w:type="dxa"/>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1</w:t>
            </w:r>
          </w:p>
        </w:tc>
      </w:tr>
    </w:tbl>
    <w:p>
      <w:pPr>
        <w:pStyle w:val="0"/>
        <w:spacing w:line="240" w:lineRule="auto"/>
        <w:rPr>
          <w:rStyle w:val="DefaultParagraphFont"/>
          <w:sz w:val="18"/>
          <w:szCs w:val="18"/>
        </w:rPr>
      </w:pPr>
      <w:bookmarkStart w:id="68" w:name="_Toc274150036"/>
      <w:bookmarkStart w:id="69" w:name="_Toc343630369"/>
      <w:bookmarkStart w:id="70" w:name="_Toc432884414"/>
      <w:r>
        <w:rPr>
          <w:rStyle w:val="DefaultParagraphFont"/>
          <w:rFonts w:hint="eastAsia"/>
          <w:sz w:val="18"/>
          <w:szCs w:val="18"/>
        </w:rPr>
        <w:t>注：3.2.1</w:t>
      </w:r>
      <w:r>
        <w:rPr>
          <w:rStyle w:val="DefaultParagraphFont"/>
          <w:rFonts w:hint="eastAsia"/>
          <w:sz w:val="18"/>
          <w:szCs w:val="18"/>
        </w:rPr>
        <w:t>“</w:t>
      </w:r>
      <w:r>
        <w:rPr>
          <w:rStyle w:val="DefaultParagraphFont"/>
          <w:rFonts w:hint="eastAsia"/>
          <w:sz w:val="18"/>
          <w:szCs w:val="18"/>
        </w:rPr>
        <w:t>分项工程</w:t>
      </w:r>
      <w:r>
        <w:rPr>
          <w:rStyle w:val="DefaultParagraphFont"/>
          <w:sz w:val="18"/>
          <w:szCs w:val="18"/>
        </w:rPr>
        <w:t>评分</w:t>
      </w:r>
      <w:r>
        <w:rPr>
          <w:rStyle w:val="DefaultParagraphFont"/>
          <w:rFonts w:hint="eastAsia"/>
          <w:sz w:val="18"/>
          <w:szCs w:val="18"/>
        </w:rPr>
        <w:t>”</w:t>
      </w:r>
      <w:r>
        <w:rPr>
          <w:rStyle w:val="DefaultParagraphFont"/>
          <w:rFonts w:hint="eastAsia"/>
          <w:sz w:val="18"/>
          <w:szCs w:val="18"/>
        </w:rPr>
        <w:t>涉及</w:t>
      </w:r>
      <w:r>
        <w:rPr>
          <w:rStyle w:val="DefaultParagraphFont"/>
          <w:sz w:val="18"/>
          <w:szCs w:val="18"/>
        </w:rPr>
        <w:t>机构安全和使用功能的重要实测项目为关键项目（</w:t>
      </w:r>
      <w:r>
        <w:rPr>
          <w:rStyle w:val="DefaultParagraphFont"/>
          <w:rFonts w:hint="eastAsia"/>
          <w:sz w:val="18"/>
          <w:szCs w:val="18"/>
        </w:rPr>
        <w:t>在</w:t>
      </w:r>
      <w:r>
        <w:rPr>
          <w:rStyle w:val="DefaultParagraphFont"/>
          <w:sz w:val="18"/>
          <w:szCs w:val="18"/>
        </w:rPr>
        <w:t>文中以</w:t>
      </w:r>
      <w:r>
        <w:rPr>
          <w:rStyle w:val="DefaultParagraphFont"/>
          <w:rFonts w:hint="eastAsia"/>
          <w:sz w:val="18"/>
          <w:szCs w:val="18"/>
        </w:rPr>
        <w:t>“</w:t>
      </w:r>
      <w:r>
        <w:rPr>
          <w:rStyle w:val="DefaultParagraphFont"/>
          <w:rFonts w:ascii="宋体" w:hAnsi="宋体" w:hint="eastAsia"/>
          <w:sz w:val="18"/>
          <w:szCs w:val="18"/>
        </w:rPr>
        <w:t>△</w:t>
      </w:r>
      <w:r>
        <w:rPr>
          <w:rStyle w:val="DefaultParagraphFont"/>
          <w:rFonts w:hint="eastAsia"/>
          <w:sz w:val="18"/>
          <w:szCs w:val="18"/>
        </w:rPr>
        <w:t>”</w:t>
      </w:r>
      <w:r>
        <w:rPr>
          <w:rStyle w:val="DefaultParagraphFont"/>
          <w:rFonts w:hint="eastAsia"/>
          <w:sz w:val="18"/>
          <w:szCs w:val="18"/>
        </w:rPr>
        <w:t>标识</w:t>
      </w:r>
      <w:r>
        <w:rPr>
          <w:rStyle w:val="DefaultParagraphFont"/>
          <w:sz w:val="18"/>
          <w:szCs w:val="18"/>
        </w:rPr>
        <w:t>）</w:t>
      </w:r>
      <w:r>
        <w:rPr>
          <w:rStyle w:val="DefaultParagraphFont"/>
          <w:rFonts w:hint="eastAsia"/>
          <w:sz w:val="18"/>
          <w:szCs w:val="18"/>
        </w:rPr>
        <w:t>，</w:t>
      </w:r>
      <w:r>
        <w:rPr>
          <w:rStyle w:val="DefaultParagraphFont"/>
          <w:sz w:val="18"/>
          <w:szCs w:val="18"/>
        </w:rPr>
        <w:t>其合格率不得低于</w:t>
      </w:r>
      <w:r>
        <w:rPr>
          <w:rStyle w:val="DefaultParagraphFont"/>
          <w:rFonts w:hint="eastAsia"/>
          <w:sz w:val="18"/>
          <w:szCs w:val="18"/>
        </w:rPr>
        <w:t>90</w:t>
      </w:r>
      <w:r>
        <w:rPr>
          <w:rStyle w:val="DefaultParagraphFont"/>
          <w:sz w:val="18"/>
          <w:szCs w:val="18"/>
        </w:rPr>
        <w:t>%，且检测值不得超过规定极值，否则必须进行返工处理。</w:t>
      </w:r>
    </w:p>
    <w:p>
      <w:pPr>
        <w:pStyle w:val="0"/>
        <w:ind w:firstLine="480" w:firstLineChars="200"/>
        <w:rPr>
          <w:rStyle w:val="DefaultParagraphFont"/>
          <w:rFonts w:ascii="宋体" w:hAnsi="宋体"/>
        </w:rPr>
      </w:pPr>
      <w:r>
        <w:rPr>
          <w:rStyle w:val="DefaultParagraphFont"/>
          <w:rFonts w:ascii="宋体" w:hAnsi="宋体" w:hint="eastAsia"/>
        </w:rPr>
        <w:t>依据</w:t>
      </w:r>
      <w:r>
        <w:rPr>
          <w:rStyle w:val="DefaultParagraphFont"/>
          <w:rFonts w:ascii="宋体" w:hAnsi="宋体"/>
        </w:rPr>
        <w:t>《公路工程质量检验评定标准》（JTG F80/1－2004）</w:t>
      </w:r>
      <w:r>
        <w:rPr>
          <w:rStyle w:val="DefaultParagraphFont"/>
          <w:rFonts w:ascii="宋体" w:hAnsi="宋体" w:hint="eastAsia"/>
          <w:color w:val="000000"/>
        </w:rPr>
        <w:t>，隧道</w:t>
      </w:r>
      <w:r>
        <w:rPr>
          <w:rStyle w:val="DefaultParagraphFont"/>
          <w:rFonts w:ascii="宋体" w:hAnsi="宋体" w:cs="宋体"/>
          <w:bCs/>
          <w:color w:val="000000"/>
          <w:kern w:val="0"/>
          <w:szCs w:val="21"/>
        </w:rPr>
        <w:t>衬砌</w:t>
      </w:r>
      <w:r>
        <w:rPr>
          <w:rStyle w:val="DefaultParagraphFont"/>
          <w:rFonts w:ascii="宋体" w:hAnsi="宋体" w:cs="宋体" w:hint="eastAsia"/>
          <w:bCs/>
          <w:color w:val="000000"/>
          <w:kern w:val="0"/>
          <w:szCs w:val="21"/>
        </w:rPr>
        <w:t>钢筋实测项目</w:t>
      </w:r>
      <w:r>
        <w:rPr>
          <w:rStyle w:val="DefaultParagraphFont"/>
          <w:rFonts w:ascii="宋体" w:hAnsi="宋体" w:hint="eastAsia"/>
        </w:rPr>
        <w:t>评估参数参照《标准》表</w:t>
      </w:r>
      <w:r>
        <w:rPr>
          <w:rStyle w:val="DefaultParagraphFont"/>
          <w:rFonts w:ascii="宋体" w:hAnsi="宋体" w:cs="宋体"/>
          <w:bCs/>
          <w:kern w:val="0"/>
          <w:szCs w:val="21"/>
        </w:rPr>
        <w:t>10.</w:t>
      </w:r>
      <w:r>
        <w:rPr>
          <w:rStyle w:val="DefaultParagraphFont"/>
          <w:rFonts w:ascii="宋体" w:hAnsi="宋体" w:cs="宋体" w:hint="eastAsia"/>
          <w:bCs/>
          <w:kern w:val="0"/>
          <w:szCs w:val="21"/>
        </w:rPr>
        <w:t>13</w:t>
      </w:r>
      <w:r>
        <w:rPr>
          <w:rStyle w:val="DefaultParagraphFont"/>
          <w:rFonts w:ascii="宋体" w:hAnsi="宋体" w:cs="宋体"/>
          <w:bCs/>
          <w:kern w:val="0"/>
          <w:szCs w:val="21"/>
        </w:rPr>
        <w:t>.</w:t>
      </w:r>
      <w:r>
        <w:rPr>
          <w:rStyle w:val="DefaultParagraphFont"/>
          <w:rFonts w:ascii="宋体" w:hAnsi="宋体" w:cs="宋体" w:hint="eastAsia"/>
          <w:bCs/>
          <w:kern w:val="0"/>
          <w:szCs w:val="21"/>
        </w:rPr>
        <w:t>2</w:t>
      </w:r>
      <w:r>
        <w:rPr>
          <w:rStyle w:val="DefaultParagraphFont"/>
          <w:rFonts w:ascii="宋体" w:hAnsi="宋体" w:hint="eastAsia"/>
        </w:rPr>
        <w:t>中检查项目第1项要求（见表5）：</w:t>
      </w:r>
    </w:p>
    <w:p>
      <w:pPr>
        <w:pStyle w:val="0"/>
        <w:spacing w:line="240" w:lineRule="auto"/>
        <w:ind w:firstLine="420" w:firstLineChars="200"/>
        <w:jc w:val="center"/>
        <w:rPr>
          <w:rStyle w:val="DefaultParagraphFont"/>
          <w:rFonts w:ascii="宋体" w:hAnsi="宋体"/>
          <w:sz w:val="21"/>
          <w:szCs w:val="21"/>
        </w:rPr>
      </w:pPr>
      <w:r>
        <w:rPr>
          <w:rStyle w:val="DefaultParagraphFont"/>
          <w:rFonts w:ascii="宋体" w:hAnsi="宋体" w:hint="eastAsia"/>
          <w:sz w:val="21"/>
          <w:szCs w:val="21"/>
        </w:rPr>
        <w:t>表5</w:t>
      </w:r>
      <w:r>
        <w:rPr>
          <w:rStyle w:val="DefaultParagraphFont"/>
          <w:rFonts w:ascii="宋体" w:hAnsi="宋体"/>
          <w:sz w:val="21"/>
          <w:szCs w:val="21"/>
        </w:rPr>
        <w:t xml:space="preserve">  </w:t>
      </w:r>
      <w:r>
        <w:rPr>
          <w:rStyle w:val="DefaultParagraphFont"/>
          <w:rFonts w:ascii="宋体" w:hAnsi="宋体" w:hint="eastAsia"/>
          <w:sz w:val="21"/>
          <w:szCs w:val="21"/>
        </w:rPr>
        <w:t>衬砌钢筋实测项目</w:t>
      </w:r>
    </w:p>
    <w:tbl>
      <w:tblPr>
        <w:tblStyle w:val="TableNormal"/>
        <w:jc w:val="center"/>
        <w:tblInd w:w="93"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832"/>
        <w:gridCol w:w="1134"/>
        <w:gridCol w:w="709"/>
        <w:gridCol w:w="1134"/>
        <w:gridCol w:w="1984"/>
        <w:gridCol w:w="2327"/>
        <w:gridCol w:w="1195"/>
      </w:tblGrid>
      <w:tr>
        <w:tblPrEx>
          <w:jc w:val="center"/>
          <w:tblInd w:w="93"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trHeight w:val="452"/>
          <w:jc w:val="center"/>
        </w:trPr>
        <w:tc>
          <w:tcPr>
            <w:tcW w:w="832" w:type="dxa"/>
            <w:vAlign w:val="center"/>
          </w:tcPr>
          <w:p>
            <w:pPr>
              <w:pStyle w:val="0"/>
              <w:widowControl/>
              <w:spacing w:line="240" w:lineRule="auto"/>
              <w:jc w:val="center"/>
              <w:rPr>
                <w:rStyle w:val="DefaultParagraphFont"/>
                <w:b/>
                <w:sz w:val="21"/>
                <w:szCs w:val="21"/>
              </w:rPr>
            </w:pPr>
            <w:r>
              <w:rPr>
                <w:rStyle w:val="DefaultParagraphFont"/>
                <w:b/>
                <w:sz w:val="21"/>
                <w:szCs w:val="21"/>
              </w:rPr>
              <w:t> </w:t>
            </w:r>
            <w:r>
              <w:rPr>
                <w:rStyle w:val="DefaultParagraphFont"/>
                <w:rFonts w:hint="eastAsia"/>
                <w:b/>
                <w:sz w:val="21"/>
                <w:szCs w:val="21"/>
              </w:rPr>
              <w:t>项次</w:t>
            </w:r>
          </w:p>
        </w:tc>
        <w:tc>
          <w:tcPr>
            <w:tcW w:w="2977" w:type="dxa"/>
            <w:gridSpan w:val="3"/>
            <w:vAlign w:val="center"/>
          </w:tcPr>
          <w:p>
            <w:pPr>
              <w:pStyle w:val="0"/>
              <w:widowControl/>
              <w:spacing w:line="240" w:lineRule="auto"/>
              <w:jc w:val="center"/>
              <w:rPr>
                <w:rStyle w:val="DefaultParagraphFont"/>
                <w:b/>
                <w:sz w:val="21"/>
                <w:szCs w:val="21"/>
              </w:rPr>
            </w:pPr>
            <w:r>
              <w:rPr>
                <w:rStyle w:val="DefaultParagraphFont"/>
                <w:rFonts w:hint="eastAsia"/>
                <w:b/>
                <w:sz w:val="21"/>
                <w:szCs w:val="21"/>
              </w:rPr>
              <w:t>检 查 项 目</w:t>
            </w:r>
          </w:p>
        </w:tc>
        <w:tc>
          <w:tcPr>
            <w:tcW w:w="1984" w:type="dxa"/>
            <w:vAlign w:val="center"/>
          </w:tcPr>
          <w:p>
            <w:pPr>
              <w:pStyle w:val="0"/>
              <w:widowControl/>
              <w:spacing w:line="240" w:lineRule="auto"/>
              <w:jc w:val="center"/>
              <w:rPr>
                <w:rStyle w:val="DefaultParagraphFont"/>
                <w:b/>
                <w:sz w:val="21"/>
                <w:szCs w:val="21"/>
              </w:rPr>
            </w:pPr>
            <w:r>
              <w:rPr>
                <w:rStyle w:val="DefaultParagraphFont"/>
                <w:rFonts w:hint="eastAsia"/>
                <w:b/>
                <w:sz w:val="21"/>
                <w:szCs w:val="21"/>
              </w:rPr>
              <w:t>规定值或允许偏差</w:t>
            </w:r>
          </w:p>
        </w:tc>
        <w:tc>
          <w:tcPr>
            <w:tcW w:w="2327" w:type="dxa"/>
            <w:vAlign w:val="center"/>
          </w:tcPr>
          <w:p>
            <w:pPr>
              <w:pStyle w:val="0"/>
              <w:widowControl/>
              <w:spacing w:line="240" w:lineRule="auto"/>
              <w:jc w:val="center"/>
              <w:rPr>
                <w:rStyle w:val="DefaultParagraphFont"/>
                <w:b/>
                <w:sz w:val="21"/>
                <w:szCs w:val="21"/>
              </w:rPr>
            </w:pPr>
            <w:r>
              <w:rPr>
                <w:rStyle w:val="DefaultParagraphFont"/>
                <w:rFonts w:hint="eastAsia"/>
                <w:b/>
                <w:sz w:val="21"/>
                <w:szCs w:val="21"/>
              </w:rPr>
              <w:t>检查方法和频率</w:t>
            </w:r>
          </w:p>
        </w:tc>
        <w:tc>
          <w:tcPr>
            <w:tcW w:w="1195" w:type="dxa"/>
            <w:vAlign w:val="center"/>
          </w:tcPr>
          <w:p>
            <w:pPr>
              <w:pStyle w:val="0"/>
              <w:widowControl/>
              <w:spacing w:line="240" w:lineRule="auto"/>
              <w:jc w:val="center"/>
              <w:rPr>
                <w:rStyle w:val="DefaultParagraphFont"/>
                <w:b/>
                <w:sz w:val="21"/>
                <w:szCs w:val="21"/>
              </w:rPr>
            </w:pPr>
            <w:r>
              <w:rPr>
                <w:rStyle w:val="DefaultParagraphFont"/>
                <w:rFonts w:hint="eastAsia"/>
                <w:b/>
                <w:sz w:val="21"/>
                <w:szCs w:val="21"/>
              </w:rPr>
              <w:t>权值</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r>
              <w:rPr>
                <w:rStyle w:val="DefaultParagraphFont"/>
                <w:rFonts w:ascii="宋体" w:hAnsi="宋体" w:cs="宋体" w:hint="eastAsia"/>
                <w:kern w:val="0"/>
                <w:sz w:val="21"/>
                <w:szCs w:val="21"/>
              </w:rPr>
              <w:t>△</w:t>
            </w:r>
          </w:p>
        </w:tc>
        <w:tc>
          <w:tcPr>
            <w:tcW w:w="2977" w:type="dxa"/>
            <w:gridSpan w:val="3"/>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主筋间距(</w:t>
            </w:r>
            <w:r>
              <w:rPr>
                <w:rStyle w:val="DefaultParagraphFont"/>
                <w:rFonts w:ascii="宋体" w:hAnsi="宋体" w:cs="宋体"/>
                <w:kern w:val="0"/>
                <w:sz w:val="21"/>
                <w:szCs w:val="21"/>
              </w:rPr>
              <w:t>mm</w:t>
            </w:r>
            <w:r>
              <w:rPr>
                <w:rStyle w:val="DefaultParagraphFont"/>
                <w:rFonts w:ascii="宋体" w:hAnsi="宋体" w:cs="宋体" w:hint="eastAsia"/>
                <w:kern w:val="0"/>
                <w:sz w:val="21"/>
                <w:szCs w:val="21"/>
              </w:rPr>
              <w:t>)</w:t>
            </w:r>
          </w:p>
        </w:tc>
        <w:tc>
          <w:tcPr>
            <w:tcW w:w="1984" w:type="dxa"/>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10</w:t>
            </w:r>
          </w:p>
        </w:tc>
        <w:tc>
          <w:tcPr>
            <w:tcW w:w="2327" w:type="dxa"/>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尺量：每20m检查5点</w:t>
            </w:r>
          </w:p>
        </w:tc>
        <w:tc>
          <w:tcPr>
            <w:tcW w:w="1195" w:type="dxa"/>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977" w:type="dxa"/>
            <w:gridSpan w:val="3"/>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两层钢筋间距（mm）</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w:t>
            </w:r>
          </w:p>
        </w:tc>
        <w:tc>
          <w:tcPr>
            <w:tcW w:w="2327"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尺量：每20m检查5点</w:t>
            </w:r>
          </w:p>
        </w:tc>
        <w:tc>
          <w:tcPr>
            <w:tcW w:w="1195"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977" w:type="dxa"/>
            <w:gridSpan w:val="3"/>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箍筋间距（mm）</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20</w:t>
            </w:r>
          </w:p>
        </w:tc>
        <w:tc>
          <w:tcPr>
            <w:tcW w:w="2327"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尺量：每20m检查5处</w:t>
            </w:r>
          </w:p>
        </w:tc>
        <w:tc>
          <w:tcPr>
            <w:tcW w:w="1195"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vMerge w:val="restart"/>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4</w:t>
            </w:r>
          </w:p>
        </w:tc>
        <w:tc>
          <w:tcPr>
            <w:tcW w:w="1134" w:type="dxa"/>
            <w:vMerge w:val="restart"/>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绑扎</w:t>
            </w:r>
          </w:p>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搭接</w:t>
            </w:r>
          </w:p>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长度</w:t>
            </w:r>
          </w:p>
        </w:tc>
        <w:tc>
          <w:tcPr>
            <w:tcW w:w="709" w:type="dxa"/>
            <w:vMerge w:val="restart"/>
            <w:tcBorders>
              <w:left w:val="single" w:sz="4" w:space="0" w:color="auto"/>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受拉</w:t>
            </w:r>
          </w:p>
        </w:tc>
        <w:tc>
          <w:tcPr>
            <w:tcW w:w="1134" w:type="dxa"/>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Ⅰ</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30d</w:t>
            </w:r>
          </w:p>
        </w:tc>
        <w:tc>
          <w:tcPr>
            <w:tcW w:w="2327" w:type="dxa"/>
            <w:vMerge w:val="restart"/>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w:t>
            </w:r>
            <w:r>
              <w:rPr>
                <w:rStyle w:val="DefaultParagraphFont"/>
                <w:rFonts w:ascii="宋体" w:hAnsi="宋体" w:cs="宋体"/>
                <w:kern w:val="0"/>
                <w:sz w:val="21"/>
                <w:szCs w:val="21"/>
              </w:rPr>
              <w:t>3</w:t>
            </w:r>
            <w:r>
              <w:rPr>
                <w:rStyle w:val="DefaultParagraphFont"/>
                <w:rFonts w:ascii="宋体" w:hAnsi="宋体" w:cs="宋体" w:hint="eastAsia"/>
                <w:kern w:val="0"/>
                <w:sz w:val="21"/>
                <w:szCs w:val="21"/>
              </w:rPr>
              <w:t>个接头</w:t>
            </w:r>
          </w:p>
        </w:tc>
        <w:tc>
          <w:tcPr>
            <w:tcW w:w="1195" w:type="dxa"/>
            <w:vMerge w:val="restart"/>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left w:val="single" w:sz="4" w:space="0" w:color="auto"/>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1134" w:type="dxa"/>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Ⅱ</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35d</w:t>
            </w: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709" w:type="dxa"/>
            <w:vMerge w:val="restart"/>
            <w:tcBorders>
              <w:left w:val="single" w:sz="4" w:space="0" w:color="auto"/>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受压</w:t>
            </w:r>
          </w:p>
        </w:tc>
        <w:tc>
          <w:tcPr>
            <w:tcW w:w="1134" w:type="dxa"/>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Ⅰ</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20d</w:t>
            </w: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left w:val="single" w:sz="4" w:space="0" w:color="auto"/>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1134" w:type="dxa"/>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Ⅱ</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25d</w:t>
            </w: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w:t>
            </w:r>
          </w:p>
        </w:tc>
        <w:tc>
          <w:tcPr>
            <w:tcW w:w="1134" w:type="dxa"/>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钢筋加工</w:t>
            </w:r>
          </w:p>
        </w:tc>
        <w:tc>
          <w:tcPr>
            <w:tcW w:w="1843" w:type="dxa"/>
            <w:gridSpan w:val="2"/>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钢筋长度（mm）</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-10，+5</w:t>
            </w:r>
          </w:p>
        </w:tc>
        <w:tc>
          <w:tcPr>
            <w:tcW w:w="2327"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尺量：每20m检查2根</w:t>
            </w:r>
          </w:p>
        </w:tc>
        <w:tc>
          <w:tcPr>
            <w:tcW w:w="1195"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bl>
    <w:p>
      <w:pPr>
        <w:pStyle w:val="0"/>
        <w:spacing w:line="240" w:lineRule="auto"/>
        <w:jc w:val="left"/>
        <w:rPr>
          <w:rStyle w:val="DefaultParagraphFont"/>
          <w:rFonts w:ascii="宋体" w:hAnsi="宋体"/>
          <w:sz w:val="21"/>
          <w:szCs w:val="21"/>
        </w:rPr>
      </w:pPr>
      <w:r>
        <w:rPr>
          <w:rStyle w:val="DefaultParagraphFont"/>
          <w:rFonts w:ascii="宋体" w:hAnsi="宋体" w:hint="eastAsia"/>
          <w:sz w:val="21"/>
          <w:szCs w:val="21"/>
        </w:rPr>
        <w:t>注：</w:t>
      </w:r>
      <w:r>
        <w:rPr>
          <w:rStyle w:val="DefaultParagraphFont"/>
          <w:rFonts w:ascii="宋体" w:hAnsi="宋体" w:cs="宋体" w:hint="eastAsia"/>
          <w:kern w:val="0"/>
          <w:sz w:val="21"/>
          <w:szCs w:val="21"/>
        </w:rPr>
        <w:t>d为钢筋直径。</w:t>
      </w:r>
    </w:p>
    <w:p>
      <w:pPr>
        <w:pStyle w:val="200"/>
        <w:rPr>
          <w:rStyle w:val="DefaultParagraphFont"/>
          <w:rFonts w:hint="eastAsia"/>
        </w:rPr>
      </w:pPr>
      <w:bookmarkStart w:id="71" w:name="_Toc343630370"/>
      <w:bookmarkStart w:id="72" w:name="_Toc432884415"/>
      <w:bookmarkStart w:id="73" w:name="_Toc461914963"/>
      <w:bookmarkStart w:id="74" w:name="_Toc256000011"/>
      <w:r>
        <w:rPr>
          <w:rStyle w:val="DefaultParagraphFont"/>
          <w:rFonts w:hint="eastAsia"/>
        </w:rPr>
        <w:t>6.</w:t>
      </w:r>
      <w:r>
        <w:rPr>
          <w:rStyle w:val="DefaultParagraphFont"/>
          <w:rFonts w:hint="eastAsia"/>
          <w:lang w:eastAsia="zh-CN"/>
        </w:rPr>
        <w:t>1</w:t>
      </w:r>
      <w:r>
        <w:rPr>
          <w:rStyle w:val="DefaultParagraphFont"/>
          <w:rFonts w:hint="eastAsia"/>
        </w:rPr>
        <w:t xml:space="preserve"> 混凝土衬砌厚度检测结果</w:t>
      </w:r>
      <w:bookmarkEnd w:id="74"/>
      <w:bookmarkEnd w:id="71"/>
      <w:bookmarkEnd w:id="72"/>
      <w:bookmarkEnd w:id="73"/>
    </w:p>
    <w:p>
      <w:pPr>
        <w:pStyle w:val="0"/>
        <w:jc w:val="left"/>
        <w:rPr>
          <w:rStyle w:val="DefaultParagraphFont"/>
          <w:rFonts w:hint="eastAsia"/>
          <w:color w:val="000000"/>
        </w:rPr>
      </w:pPr>
      <w:bookmarkStart w:id="75" w:name="T0601_二衬厚度描述"/>
      <w:r>
        <w:rPr>
          <w:rStyle w:val="DefaultParagraphFont"/>
          <w:rFonts w:hint="eastAsia"/>
          <w:color w:val="000000"/>
        </w:rPr>
        <w:t>老营特长隧道右幅进口K1+448.5～K1+600段混凝土衬砌厚度检测结果见表6</w:t>
      </w:r>
      <w:bookmarkEnd w:id="75"/>
    </w:p>
    <w:p>
      <w:pPr>
        <w:pStyle w:val="0"/>
        <w:jc w:val="center"/>
        <w:rPr>
          <w:rStyle w:val="DefaultParagraphFont"/>
          <w:rFonts w:hint="eastAsia"/>
          <w:color w:val="000000"/>
        </w:rPr>
      </w:pPr>
      <w:bookmarkStart w:id="76" w:name="T0602_二衬厚度表"/>
      <w:r>
        <w:rPr>
          <w:rStyle w:val="DefaultParagraphFont"/>
          <w:rFonts w:hint="eastAsia"/>
          <w:color w:val="000000"/>
        </w:rPr>
        <w:t>表6 混凝土衬砌厚度实测结果统计表</w:t>
      </w:r>
    </w:p>
    <w:tbl>
      <w:tblPr>
        <w:tblStyle w:val="TableNormal"/>
        <w:jc w:val="center"/>
        <w:tblInd w:w="-318"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568"/>
        <w:gridCol w:w="992"/>
        <w:gridCol w:w="996"/>
        <w:gridCol w:w="459"/>
        <w:gridCol w:w="459"/>
        <w:gridCol w:w="459"/>
        <w:gridCol w:w="459"/>
        <w:gridCol w:w="459"/>
        <w:gridCol w:w="459"/>
        <w:gridCol w:w="459"/>
        <w:gridCol w:w="700"/>
        <w:gridCol w:w="700"/>
        <w:gridCol w:w="700"/>
        <w:gridCol w:w="1347"/>
      </w:tblGrid>
      <w:tr>
        <w:tblPrEx>
          <w:jc w:val="center"/>
          <w:tblInd w:w="-318"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691"/>
          <w:jc w:val="center"/>
        </w:trPr>
        <w:tc>
          <w:tcPr>
            <w:tcW w:w="568" w:type="dxa"/>
            <w:vMerge w:val="restart"/>
            <w:vAlign w:val="center"/>
          </w:tcPr>
          <w:p>
            <w:pPr>
              <w:pStyle w:val="11"/>
              <w:widowControl/>
              <w:spacing w:line="240" w:lineRule="auto"/>
              <w:jc w:val="center"/>
              <w:rPr>
                <w:rStyle w:val="DefaultParagraphFont"/>
                <w:rFonts w:ascii="宋体" w:hAnsi="宋体" w:cs="宋体"/>
                <w:b/>
                <w:bCs/>
                <w:kern w:val="0"/>
                <w:sz w:val="21"/>
                <w:szCs w:val="21"/>
              </w:rPr>
            </w:pPr>
            <w:bookmarkStart w:id="77" w:name="_Toc357587929"/>
            <w:bookmarkStart w:id="78" w:name="_Toc384327962"/>
            <w:bookmarkStart w:id="79" w:name="_Toc461283463"/>
            <w:bookmarkStart w:id="80" w:name="_Toc461283485"/>
            <w:bookmarkStart w:id="81" w:name="_Toc334262443"/>
            <w:bookmarkStart w:id="82" w:name="_Toc334262481"/>
            <w:r>
              <w:rPr>
                <w:rStyle w:val="DefaultParagraphFont"/>
                <w:rFonts w:ascii="宋体" w:hAnsi="宋体" w:cs="宋体" w:hint="eastAsia"/>
                <w:b/>
                <w:bCs/>
                <w:kern w:val="0"/>
                <w:sz w:val="21"/>
                <w:szCs w:val="21"/>
              </w:rPr>
              <w:t>序号</w:t>
            </w:r>
          </w:p>
        </w:tc>
        <w:tc>
          <w:tcPr>
            <w:tcW w:w="992"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断面里程</w:t>
            </w:r>
          </w:p>
        </w:tc>
        <w:tc>
          <w:tcPr>
            <w:tcW w:w="996"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混凝土衬砌设计厚度(cm）</w:t>
            </w:r>
          </w:p>
        </w:tc>
        <w:tc>
          <w:tcPr>
            <w:tcW w:w="3213" w:type="dxa"/>
            <w:gridSpan w:val="7"/>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实测厚度（cm）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最大厚度(cm)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最小厚度(cm)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平均</w:t>
            </w:r>
            <w:r>
              <w:rPr>
                <w:rStyle w:val="DefaultParagraphFont"/>
                <w:rFonts w:ascii="宋体" w:hAnsi="宋体" w:cs="宋体" w:hint="eastAsia"/>
                <w:b/>
                <w:bCs/>
                <w:kern w:val="0"/>
                <w:sz w:val="21"/>
                <w:szCs w:val="21"/>
              </w:rPr>
              <w:br/>
            </w:r>
            <w:r>
              <w:rPr>
                <w:rStyle w:val="DefaultParagraphFont"/>
                <w:rFonts w:ascii="宋体" w:hAnsi="宋体" w:cs="宋体" w:hint="eastAsia"/>
                <w:b/>
                <w:bCs/>
                <w:kern w:val="0"/>
                <w:sz w:val="21"/>
                <w:szCs w:val="21"/>
              </w:rPr>
              <w:t>厚度(cm)</w:t>
            </w:r>
          </w:p>
        </w:tc>
        <w:tc>
          <w:tcPr>
            <w:tcW w:w="1347"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测点大于等于设计厚度的百分比</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G</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E</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C</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A</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B</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D</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F</w:t>
            </w: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45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1347"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99.99%</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2</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2556" w:type="dxa"/>
            <w:gridSpan w:val="3"/>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每条测线平均厚度</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45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1347"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99.89%</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2</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2556" w:type="dxa"/>
            <w:gridSpan w:val="3"/>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每条测线平均厚度</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bl>
    <w:p>
      <w:pPr>
        <w:pStyle w:val="11"/>
        <w:tabs>
          <w:tab w:val="left" w:pos="2206"/>
        </w:tabs>
        <w:jc w:val="left"/>
        <w:rPr>
          <w:rStyle w:val="DefaultParagraphFont"/>
          <w:rFonts w:hint="eastAsia"/>
          <w:lang w:val="en-US" w:eastAsia="zh-CN"/>
        </w:rPr>
      </w:pPr>
      <w:bookmarkEnd w:id="77"/>
      <w:bookmarkEnd w:id="78"/>
      <w:bookmarkEnd w:id="79"/>
      <w:bookmarkEnd w:id="80"/>
      <w:bookmarkEnd w:id="81"/>
      <w:bookmarkEnd w:id="82"/>
    </w:p>
    <w:p>
      <w:pPr>
        <w:pStyle w:val="0"/>
        <w:jc w:val="left"/>
        <w:rPr>
          <w:rStyle w:val="DefaultParagraphFont"/>
          <w:rFonts w:hint="eastAsia"/>
          <w:b w:val="0"/>
          <w:color w:val="000000"/>
        </w:rPr>
      </w:pPr>
      <w:bookmarkEnd w:id="76"/>
    </w:p>
    <w:p>
      <w:pPr>
        <w:pStyle w:val="200"/>
        <w:rPr>
          <w:rStyle w:val="DefaultParagraphFont"/>
          <w:rFonts w:hint="eastAsia"/>
        </w:rPr>
      </w:pPr>
      <w:bookmarkStart w:id="83" w:name="_Toc461914964"/>
      <w:bookmarkStart w:id="84" w:name="_Toc256000012"/>
      <w:r>
        <w:rPr>
          <w:rStyle w:val="DefaultParagraphFont"/>
          <w:rFonts w:hint="eastAsia"/>
        </w:rPr>
        <w:t>6.</w:t>
      </w:r>
      <w:r>
        <w:rPr>
          <w:rStyle w:val="DefaultParagraphFont"/>
          <w:rFonts w:hint="eastAsia"/>
          <w:lang w:eastAsia="zh-CN"/>
        </w:rPr>
        <w:t>2</w:t>
      </w:r>
      <w:r>
        <w:rPr>
          <w:rStyle w:val="DefaultParagraphFont"/>
          <w:rFonts w:hint="eastAsia"/>
        </w:rPr>
        <w:t xml:space="preserve"> 混凝土</w:t>
      </w:r>
      <w:r>
        <w:rPr>
          <w:rStyle w:val="DefaultParagraphFont"/>
        </w:rPr>
        <w:t>衬砌缺陷</w:t>
      </w:r>
      <w:r>
        <w:rPr>
          <w:rStyle w:val="DefaultParagraphFont"/>
          <w:rFonts w:hint="eastAsia"/>
        </w:rPr>
        <w:t>检测结果</w:t>
      </w:r>
      <w:bookmarkEnd w:id="84"/>
      <w:bookmarkEnd w:id="68"/>
      <w:bookmarkEnd w:id="69"/>
      <w:bookmarkEnd w:id="70"/>
      <w:bookmarkEnd w:id="83"/>
    </w:p>
    <w:p>
      <w:pPr>
        <w:pStyle w:val="0"/>
        <w:ind w:firstLine="420" w:firstLineChars="0"/>
        <w:jc w:val="both"/>
        <w:rPr>
          <w:rStyle w:val="DefaultParagraphFont"/>
          <w:rFonts w:hint="eastAsia"/>
          <w:color w:val="000000"/>
        </w:rPr>
      </w:pPr>
      <w:r>
        <w:rPr>
          <w:rStyle w:val="DefaultParagraphFont"/>
          <w:rFonts w:hint="eastAsia"/>
          <w:color w:val="000000"/>
        </w:rPr>
        <w:t>通过雷达检测，</w:t>
      </w:r>
      <w:bookmarkStart w:id="85" w:name="T0603_二衬缺陷描述"/>
      <w:r>
        <w:rPr>
          <w:rStyle w:val="DefaultParagraphFont"/>
          <w:rFonts w:hint="eastAsia"/>
          <w:color w:val="000000"/>
        </w:rPr>
        <w:t>本次检测K1+448.5～K1+600段测线范围内未发现明显缺陷</w:t>
      </w:r>
      <w:bookmarkEnd w:id="85"/>
      <w:r>
        <w:rPr>
          <w:rStyle w:val="DefaultParagraphFont"/>
          <w:rFonts w:hint="eastAsia"/>
          <w:color w:val="000000"/>
        </w:rPr>
        <w:t>（见表7）。</w:t>
      </w:r>
    </w:p>
    <w:p>
      <w:pPr>
        <w:pStyle w:val="0"/>
        <w:ind w:firstLine="420" w:firstLineChars="0"/>
        <w:jc w:val="center"/>
        <w:rPr>
          <w:rStyle w:val="DefaultParagraphFont"/>
          <w:rFonts w:hint="eastAsia"/>
          <w:color w:val="000000"/>
        </w:rPr>
      </w:pPr>
      <w:bookmarkStart w:id="86" w:name="T0604_二衬缺陷表"/>
      <w:r>
        <w:rPr>
          <w:rStyle w:val="DefaultParagraphFont"/>
          <w:rFonts w:hint="eastAsia"/>
          <w:color w:val="000000"/>
        </w:rPr>
        <w:t>表7 混凝土衬砌缺陷检测结果统计表</w:t>
      </w:r>
    </w:p>
    <w:tbl>
      <w:tblPr>
        <w:tblStyle w:val="TableNormal"/>
        <w:jc w:val="center"/>
        <w:tblInd w:w="480" w:type="dxa"/>
        <w:tblBorders>
          <w:top w:val="single" w:sz="18" w:space="0" w:color="000000"/>
          <w:left w:val="single" w:sz="16" w:space="0" w:color="000000"/>
          <w:bottom w:val="single" w:sz="16" w:space="0" w:color="000000"/>
          <w:right w:val="single" w:sz="16" w:space="0" w:color="000000"/>
          <w:insideH w:val="single" w:sz="8" w:space="0" w:color="000000"/>
          <w:insideV w:val="single" w:sz="8" w:space="0" w:color="000000"/>
        </w:tblBorders>
        <w:tblLayout w:type="fixed"/>
        <w:tblCellMar>
          <w:top w:w="0" w:type="dxa"/>
          <w:left w:w="108" w:type="dxa"/>
          <w:bottom w:w="0" w:type="dxa"/>
          <w:right w:w="108" w:type="dxa"/>
        </w:tblCellMar>
        <w:tblLook w:val="0000"/>
      </w:tblPr>
      <w:tblGrid>
        <w:gridCol w:w="851"/>
        <w:gridCol w:w="1134"/>
        <w:gridCol w:w="2321"/>
        <w:gridCol w:w="1134"/>
        <w:gridCol w:w="1843"/>
        <w:gridCol w:w="1417"/>
      </w:tblGrid>
      <w:tr>
        <w:tblPrEx>
          <w:jc w:val="center"/>
          <w:tblInd w:w="480" w:type="dxa"/>
          <w:tblBorders>
            <w:top w:val="single" w:sz="18" w:space="0" w:color="000000"/>
            <w:left w:val="single" w:sz="16" w:space="0" w:color="000000"/>
            <w:bottom w:val="single" w:sz="16" w:space="0" w:color="000000"/>
            <w:right w:val="single" w:sz="16" w:space="0" w:color="000000"/>
            <w:insideH w:val="single" w:sz="8" w:space="0" w:color="000000"/>
            <w:insideV w:val="single" w:sz="8" w:space="0" w:color="000000"/>
          </w:tblBorders>
          <w:tblLayout w:type="fixed"/>
          <w:tblCellMar>
            <w:top w:w="0" w:type="dxa"/>
            <w:left w:w="108" w:type="dxa"/>
            <w:bottom w:w="0" w:type="dxa"/>
            <w:right w:w="108" w:type="dxa"/>
          </w:tblCellMar>
          <w:tblLook w:val="0000"/>
        </w:tblPrEx>
        <w:trPr>
          <w:trHeight w:val="563"/>
          <w:jc w:val="center"/>
        </w:trPr>
        <w:tc>
          <w:tcPr>
            <w:tcW w:w="851"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序号</w:t>
            </w:r>
          </w:p>
        </w:tc>
        <w:tc>
          <w:tcPr>
            <w:tcW w:w="1134"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测线位置</w:t>
            </w:r>
          </w:p>
        </w:tc>
        <w:tc>
          <w:tcPr>
            <w:tcW w:w="2321"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起止里程</w:t>
            </w:r>
          </w:p>
        </w:tc>
        <w:tc>
          <w:tcPr>
            <w:tcW w:w="1134"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缺陷类型</w:t>
            </w:r>
          </w:p>
        </w:tc>
        <w:tc>
          <w:tcPr>
            <w:tcW w:w="1843"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位置深度（cm）</w:t>
            </w:r>
          </w:p>
        </w:tc>
        <w:tc>
          <w:tcPr>
            <w:tcW w:w="1417"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备注</w:t>
            </w:r>
          </w:p>
        </w:tc>
      </w:tr>
      <w:tr>
        <w:tblPrEx>
          <w:tblW w:w="5000" w:type="pct"/>
          <w:tblBorders>
            <w:top w:val="single" w:sz="4" w:space="0" w:color="auto"/>
            <w:insideH w:val="single" w:sz="4" w:space="0" w:color="auto"/>
            <w:insideV w:val="single" w:sz="4" w:space="0" w:color="auto"/>
          </w:tblBorders>
          <w:tblCellMar>
            <w:left w:w="108" w:type="dxa"/>
            <w:right w:w="108" w:type="dxa"/>
          </w:tblCellMar>
        </w:tblPrEx>
        <w:tc>
          <w:tcPr>
            <w:tcW w:w="360" w:type="dxa"/>
            <w:vAlign w:val="center"/>
          </w:tcPr>
          <w:p>
            <w:pPr>
              <w:pStyle w:val="21"/>
              <w:spacing w:line="200" w:lineRule="auto"/>
              <w:jc w:val="center"/>
              <w:rPr>
                <w:rStyle w:val="DefaultParagraphFont"/>
              </w:rPr>
            </w:pPr>
            <w:r>
              <w:rPr>
                <w:rStyle w:val="DefaultParagraphFont"/>
                <w:sz w:val="20"/>
              </w:rPr>
              <w:t>1</w:t>
            </w:r>
          </w:p>
        </w:tc>
        <w:tc>
          <w:tcPr>
            <w:tcW w:w="360" w:type="dxa"/>
            <w:vAlign w:val="center"/>
          </w:tcPr>
          <w:p>
            <w:pPr>
              <w:pStyle w:val="21"/>
              <w:spacing w:line="200" w:lineRule="auto"/>
              <w:jc w:val="center"/>
              <w:rPr>
                <w:rStyle w:val="DefaultParagraphFont"/>
              </w:rPr>
            </w:pPr>
            <w:r>
              <w:rPr>
                <w:rStyle w:val="DefaultParagraphFont"/>
                <w:sz w:val="20"/>
              </w:rPr>
              <w:t>111</w:t>
            </w:r>
          </w:p>
        </w:tc>
        <w:tc>
          <w:tcPr>
            <w:tcW w:w="360" w:type="dxa"/>
            <w:vAlign w:val="center"/>
          </w:tcPr>
          <w:p>
            <w:pPr>
              <w:pStyle w:val="21"/>
              <w:spacing w:line="200" w:lineRule="auto"/>
              <w:jc w:val="center"/>
              <w:rPr>
                <w:rStyle w:val="DefaultParagraphFont"/>
              </w:rPr>
            </w:pPr>
            <w:r>
              <w:rPr>
                <w:rStyle w:val="DefaultParagraphFont"/>
                <w:sz w:val="20"/>
              </w:rPr>
              <w:t>K1+448-K1+460</w:t>
            </w:r>
          </w:p>
        </w:tc>
        <w:tc>
          <w:tcPr>
            <w:tcW w:w="360" w:type="dxa"/>
            <w:vAlign w:val="center"/>
          </w:tcPr>
          <w:p>
            <w:pPr>
              <w:pStyle w:val="21"/>
              <w:spacing w:line="200" w:lineRule="auto"/>
              <w:jc w:val="center"/>
              <w:rPr>
                <w:rStyle w:val="DefaultParagraphFont"/>
              </w:rPr>
            </w:pPr>
            <w:r>
              <w:rPr>
                <w:rStyle w:val="DefaultParagraphFont"/>
                <w:sz w:val="20"/>
              </w:rPr>
              <w:t>122</w:t>
            </w:r>
          </w:p>
        </w:tc>
        <w:tc>
          <w:tcPr>
            <w:tcW w:w="360" w:type="dxa"/>
            <w:vAlign w:val="center"/>
          </w:tcPr>
          <w:p>
            <w:pPr>
              <w:pStyle w:val="21"/>
              <w:spacing w:line="200" w:lineRule="auto"/>
              <w:jc w:val="center"/>
              <w:rPr>
                <w:rStyle w:val="DefaultParagraphFont"/>
              </w:rPr>
            </w:pPr>
            <w:r>
              <w:rPr>
                <w:rStyle w:val="DefaultParagraphFont"/>
                <w:sz w:val="20"/>
              </w:rPr>
              <w:t>SF5c</w:t>
            </w:r>
          </w:p>
        </w:tc>
        <w:tc>
          <w:tcPr>
            <w:tcW w:w="360" w:type="dxa"/>
            <w:vAlign w:val="center"/>
          </w:tcPr>
          <w:p>
            <w:pPr>
              <w:pStyle w:val="21"/>
              <w:spacing w:line="200" w:lineRule="auto"/>
              <w:jc w:val="center"/>
              <w:rPr>
                <w:rStyle w:val="DefaultParagraphFont"/>
              </w:rPr>
            </w:pPr>
            <w:r>
              <w:rPr>
                <w:rStyle w:val="DefaultParagraphFont"/>
                <w:sz w:val="20"/>
              </w:rPr>
              <w:t>本段变更：支护类型SF5d；喷射混凝土厚度27cm；钢支撑间距50cm</w:t>
            </w:r>
          </w:p>
        </w:tc>
      </w:tr>
      <w:tr>
        <w:tblPrEx>
          <w:tblW w:w="5000" w:type="pct"/>
          <w:tblBorders>
            <w:top w:val="single" w:sz="4" w:space="0" w:color="auto"/>
            <w:insideH w:val="single" w:sz="4" w:space="0" w:color="auto"/>
            <w:insideV w:val="single" w:sz="4" w:space="0" w:color="auto"/>
          </w:tblBorders>
          <w:tblCellMar>
            <w:left w:w="108" w:type="dxa"/>
            <w:right w:w="108" w:type="dxa"/>
          </w:tblCellMar>
        </w:tblPrEx>
        <w:tc>
          <w:tcPr>
            <w:tcW w:w="360" w:type="dxa"/>
            <w:vAlign w:val="center"/>
          </w:tcPr>
          <w:p>
            <w:pPr>
              <w:pStyle w:val="21"/>
              <w:spacing w:line="200" w:lineRule="auto"/>
              <w:jc w:val="center"/>
              <w:rPr>
                <w:rStyle w:val="DefaultParagraphFont"/>
              </w:rPr>
            </w:pPr>
            <w:r>
              <w:rPr>
                <w:rStyle w:val="DefaultParagraphFont"/>
                <w:sz w:val="20"/>
              </w:rPr>
              <w:t>1</w:t>
            </w:r>
          </w:p>
        </w:tc>
        <w:tc>
          <w:tcPr>
            <w:tcW w:w="360" w:type="dxa"/>
            <w:vAlign w:val="center"/>
          </w:tcPr>
          <w:p>
            <w:pPr>
              <w:pStyle w:val="21"/>
              <w:spacing w:line="200" w:lineRule="auto"/>
              <w:jc w:val="center"/>
              <w:rPr>
                <w:rStyle w:val="DefaultParagraphFont"/>
              </w:rPr>
            </w:pPr>
            <w:r>
              <w:rPr>
                <w:rStyle w:val="DefaultParagraphFont"/>
                <w:sz w:val="20"/>
              </w:rPr>
              <w:t>111</w:t>
            </w:r>
          </w:p>
        </w:tc>
        <w:tc>
          <w:tcPr>
            <w:tcW w:w="360" w:type="dxa"/>
            <w:vAlign w:val="center"/>
          </w:tcPr>
          <w:p>
            <w:pPr>
              <w:pStyle w:val="21"/>
              <w:spacing w:line="200" w:lineRule="auto"/>
              <w:jc w:val="center"/>
              <w:rPr>
                <w:rStyle w:val="DefaultParagraphFont"/>
              </w:rPr>
            </w:pPr>
            <w:r>
              <w:rPr>
                <w:rStyle w:val="DefaultParagraphFont"/>
                <w:sz w:val="20"/>
              </w:rPr>
              <w:t>K1+448-K1+460</w:t>
            </w:r>
          </w:p>
        </w:tc>
        <w:tc>
          <w:tcPr>
            <w:tcW w:w="360" w:type="dxa"/>
            <w:vAlign w:val="center"/>
          </w:tcPr>
          <w:p>
            <w:pPr>
              <w:pStyle w:val="21"/>
              <w:spacing w:line="200" w:lineRule="auto"/>
              <w:jc w:val="center"/>
              <w:rPr>
                <w:rStyle w:val="DefaultParagraphFont"/>
              </w:rPr>
            </w:pPr>
            <w:r>
              <w:rPr>
                <w:rStyle w:val="DefaultParagraphFont"/>
                <w:sz w:val="20"/>
              </w:rPr>
              <w:t>122</w:t>
            </w:r>
          </w:p>
        </w:tc>
        <w:tc>
          <w:tcPr>
            <w:tcW w:w="360" w:type="dxa"/>
            <w:vAlign w:val="center"/>
          </w:tcPr>
          <w:p>
            <w:pPr>
              <w:pStyle w:val="21"/>
              <w:spacing w:line="200" w:lineRule="auto"/>
              <w:jc w:val="center"/>
              <w:rPr>
                <w:rStyle w:val="DefaultParagraphFont"/>
              </w:rPr>
            </w:pPr>
            <w:r>
              <w:rPr>
                <w:rStyle w:val="DefaultParagraphFont"/>
                <w:sz w:val="20"/>
              </w:rPr>
              <w:t>SF5c</w:t>
            </w:r>
          </w:p>
        </w:tc>
        <w:tc>
          <w:tcPr>
            <w:tcW w:w="360" w:type="dxa"/>
            <w:vAlign w:val="center"/>
          </w:tcPr>
          <w:p>
            <w:pPr>
              <w:pStyle w:val="21"/>
              <w:spacing w:line="200" w:lineRule="auto"/>
              <w:jc w:val="center"/>
              <w:rPr>
                <w:rStyle w:val="DefaultParagraphFont"/>
              </w:rPr>
            </w:pPr>
            <w:r>
              <w:rPr>
                <w:rStyle w:val="DefaultParagraphFont"/>
                <w:sz w:val="20"/>
              </w:rPr>
              <w:t>本段变更：支护类型SF5d；喷射混凝土厚度27cm；钢支撑间距50cm</w:t>
            </w:r>
          </w:p>
        </w:tc>
      </w:tr>
    </w:tbl>
    <w:p>
      <w:pPr>
        <w:pStyle w:val="21"/>
        <w:jc w:val="both"/>
        <w:rPr>
          <w:rStyle w:val="DefaultParagraphFont"/>
          <w:rFonts w:ascii="宋体" w:hAnsi="宋体" w:cs="宋体" w:hint="eastAsia"/>
          <w:kern w:val="0"/>
        </w:rPr>
      </w:pPr>
    </w:p>
    <w:p>
      <w:pPr>
        <w:pStyle w:val="0"/>
        <w:ind w:firstLine="420" w:firstLineChars="0"/>
        <w:jc w:val="left"/>
        <w:rPr>
          <w:rStyle w:val="DefaultParagraphFont"/>
          <w:rFonts w:hint="eastAsia"/>
          <w:b w:val="0"/>
          <w:color w:val="000000"/>
        </w:rPr>
      </w:pPr>
      <w:bookmarkEnd w:id="86"/>
    </w:p>
    <w:p>
      <w:pPr>
        <w:pStyle w:val="200"/>
        <w:rPr>
          <w:rStyle w:val="DefaultParagraphFont"/>
          <w:rFonts w:hint="eastAsia"/>
          <w:lang w:eastAsia="zh-CN"/>
        </w:rPr>
      </w:pPr>
      <w:bookmarkStart w:id="87" w:name="_Toc454992355"/>
      <w:bookmarkStart w:id="88" w:name="_Toc461914965"/>
      <w:bookmarkStart w:id="89" w:name="_Toc432884416"/>
      <w:bookmarkStart w:id="90" w:name="_Toc256000013"/>
      <w:r>
        <w:rPr>
          <w:rStyle w:val="DefaultParagraphFont"/>
          <w:rFonts w:hint="eastAsia"/>
        </w:rPr>
        <w:t>6.</w:t>
      </w:r>
      <w:r>
        <w:rPr>
          <w:rStyle w:val="DefaultParagraphFont"/>
          <w:rFonts w:hint="eastAsia"/>
          <w:lang w:eastAsia="zh-CN"/>
        </w:rPr>
        <w:t>3</w:t>
      </w:r>
      <w:r>
        <w:rPr>
          <w:rStyle w:val="DefaultParagraphFont"/>
          <w:rFonts w:hint="eastAsia"/>
        </w:rPr>
        <w:t>衬砌</w:t>
      </w:r>
      <w:r>
        <w:rPr>
          <w:rStyle w:val="DefaultParagraphFont"/>
          <w:rFonts w:hint="eastAsia"/>
          <w:lang w:eastAsia="zh-CN"/>
        </w:rPr>
        <w:t>钢筋主筋间距</w:t>
      </w:r>
      <w:r>
        <w:rPr>
          <w:rStyle w:val="DefaultParagraphFont"/>
          <w:rFonts w:hint="eastAsia"/>
        </w:rPr>
        <w:t>检测结果</w:t>
      </w:r>
      <w:bookmarkEnd w:id="90"/>
      <w:bookmarkEnd w:id="87"/>
      <w:bookmarkEnd w:id="88"/>
    </w:p>
    <w:p>
      <w:pPr>
        <w:pStyle w:val="0"/>
        <w:spacing w:line="240" w:lineRule="auto"/>
        <w:ind w:firstLine="420" w:firstLineChars="200"/>
        <w:jc w:val="both"/>
        <w:rPr>
          <w:rStyle w:val="DefaultParagraphFont"/>
          <w:rFonts w:ascii="宋体" w:hAnsi="宋体" w:cs="宋体"/>
          <w:kern w:val="0"/>
          <w:sz w:val="21"/>
          <w:szCs w:val="21"/>
        </w:rPr>
      </w:pPr>
      <w:bookmarkStart w:id="91" w:name="T0605_二衬间距描述"/>
      <w:r>
        <w:rPr>
          <w:rStyle w:val="DefaultParagraphFont"/>
          <w:rFonts w:ascii="宋体" w:hAnsi="宋体" w:cs="宋体"/>
          <w:kern w:val="0"/>
          <w:sz w:val="21"/>
          <w:szCs w:val="21"/>
        </w:rPr>
        <w:t>老营特长隧道右幅进口K1+448.5～K1+600段衬砌钢筋主筋间距检测结果见表8</w:t>
      </w:r>
      <w:bookmarkEnd w:id="91"/>
    </w:p>
    <w:p>
      <w:pPr>
        <w:pStyle w:val="0"/>
        <w:spacing w:line="240" w:lineRule="auto"/>
        <w:ind w:firstLine="420" w:firstLineChars="200"/>
        <w:jc w:val="center"/>
        <w:rPr>
          <w:rStyle w:val="DefaultParagraphFont"/>
          <w:rFonts w:ascii="宋体" w:eastAsia="宋体" w:hAnsi="宋体" w:cs="宋体" w:hint="eastAsia"/>
          <w:kern w:val="0"/>
          <w:sz w:val="21"/>
          <w:szCs w:val="21"/>
          <w:lang w:val="en-US" w:eastAsia="zh-CN"/>
        </w:rPr>
      </w:pPr>
      <w:bookmarkStart w:id="92" w:name="T0606_二衬间距表"/>
      <w:r>
        <w:rPr>
          <w:rStyle w:val="DefaultParagraphFont"/>
          <w:rFonts w:ascii="宋体" w:eastAsia="宋体" w:hAnsi="宋体" w:cs="宋体" w:hint="eastAsia"/>
          <w:kern w:val="0"/>
          <w:sz w:val="21"/>
          <w:szCs w:val="21"/>
          <w:lang w:val="en-US" w:eastAsia="zh-CN"/>
        </w:rPr>
        <w:t>表8 衬砌钢筋主筋间距检测结果统计表</w:t>
      </w:r>
    </w:p>
    <w:tbl>
      <w:tblPr>
        <w:tblStyle w:val="TableNormal"/>
        <w:tblpPr w:leftFromText="180" w:rightFromText="180" w:vertAnchor="text" w:horzAnchor="page" w:tblpX="1547" w:tblpY="32"/>
        <w:tblOverlap w:val="never"/>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613"/>
        <w:gridCol w:w="2110"/>
        <w:gridCol w:w="709"/>
        <w:gridCol w:w="1068"/>
        <w:gridCol w:w="1220"/>
        <w:gridCol w:w="1240"/>
        <w:gridCol w:w="1261"/>
        <w:gridCol w:w="739"/>
      </w:tblGrid>
      <w:tr>
        <w:tblPrEx>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585"/>
        </w:trPr>
        <w:tc>
          <w:tcPr>
            <w:tcW w:w="613"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序号</w:t>
            </w:r>
          </w:p>
        </w:tc>
        <w:tc>
          <w:tcPr>
            <w:tcW w:w="2110"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检测里程</w:t>
            </w:r>
          </w:p>
        </w:tc>
        <w:tc>
          <w:tcPr>
            <w:tcW w:w="709"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衬砌类型</w:t>
            </w:r>
          </w:p>
        </w:tc>
        <w:tc>
          <w:tcPr>
            <w:tcW w:w="1068"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设计间距（cm）</w:t>
            </w:r>
          </w:p>
        </w:tc>
        <w:tc>
          <w:tcPr>
            <w:tcW w:w="1220"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实测最大值（cm）</w:t>
            </w:r>
          </w:p>
        </w:tc>
        <w:tc>
          <w:tcPr>
            <w:tcW w:w="1240"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实测最小值（cm）</w:t>
            </w:r>
          </w:p>
        </w:tc>
        <w:tc>
          <w:tcPr>
            <w:tcW w:w="1261"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实测平均值（cm）</w:t>
            </w:r>
          </w:p>
        </w:tc>
        <w:tc>
          <w:tcPr>
            <w:tcW w:w="739"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3"/>
              <w:spacing w:line="200" w:lineRule="auto"/>
              <w:jc w:val="center"/>
              <w:rPr>
                <w:rStyle w:val="DefaultParagraphFont"/>
              </w:rPr>
            </w:pPr>
            <w:r>
              <w:rPr>
                <w:rStyle w:val="DefaultParagraphFont"/>
                <w:sz w:val="20"/>
              </w:rPr>
              <w:t>1</w:t>
            </w:r>
          </w:p>
        </w:tc>
        <w:tc>
          <w:tcPr>
            <w:tcW w:w="360" w:type="dxa"/>
            <w:vAlign w:val="center"/>
          </w:tcPr>
          <w:p>
            <w:pPr>
              <w:pStyle w:val="3"/>
              <w:spacing w:line="200" w:lineRule="auto"/>
              <w:jc w:val="center"/>
              <w:rPr>
                <w:rStyle w:val="DefaultParagraphFont"/>
              </w:rPr>
            </w:pPr>
            <w:r>
              <w:rPr>
                <w:rStyle w:val="DefaultParagraphFont"/>
                <w:sz w:val="20"/>
              </w:rPr>
              <w:t>K1+448-K1+460</w:t>
            </w:r>
          </w:p>
        </w:tc>
        <w:tc>
          <w:tcPr>
            <w:tcW w:w="360" w:type="dxa"/>
            <w:vAlign w:val="center"/>
          </w:tcPr>
          <w:p>
            <w:pPr>
              <w:pStyle w:val="3"/>
              <w:spacing w:line="200" w:lineRule="auto"/>
              <w:jc w:val="center"/>
              <w:rPr>
                <w:rStyle w:val="DefaultParagraphFont"/>
              </w:rPr>
            </w:pPr>
            <w:r>
              <w:rPr>
                <w:rStyle w:val="DefaultParagraphFont"/>
                <w:sz w:val="20"/>
              </w:rPr>
              <w:t>SF5D</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1111111</w:t>
            </w:r>
          </w:p>
        </w:tc>
      </w:tr>
      <w:tr>
        <w:tblPrEx>
          <w:tblW w:w="5000" w:type="pct"/>
          <w:tblBorders>
            <w:top w:val="single" w:sz="4" w:space="0" w:color="auto"/>
          </w:tblBorders>
          <w:tblCellMar>
            <w:left w:w="108" w:type="dxa"/>
            <w:right w:w="108" w:type="dxa"/>
          </w:tblCellMar>
        </w:tblPrEx>
        <w:tc>
          <w:tcPr>
            <w:tcW w:w="360" w:type="dxa"/>
            <w:vAlign w:val="center"/>
          </w:tcPr>
          <w:p>
            <w:pPr>
              <w:pStyle w:val="3"/>
              <w:spacing w:line="200" w:lineRule="auto"/>
              <w:jc w:val="center"/>
              <w:rPr>
                <w:rStyle w:val="DefaultParagraphFont"/>
              </w:rPr>
            </w:pPr>
            <w:r>
              <w:rPr>
                <w:rStyle w:val="DefaultParagraphFont"/>
                <w:sz w:val="20"/>
              </w:rPr>
              <w:t>2</w:t>
            </w:r>
          </w:p>
        </w:tc>
        <w:tc>
          <w:tcPr>
            <w:tcW w:w="360" w:type="dxa"/>
            <w:vAlign w:val="center"/>
          </w:tcPr>
          <w:p>
            <w:pPr>
              <w:pStyle w:val="3"/>
              <w:spacing w:line="200" w:lineRule="auto"/>
              <w:jc w:val="center"/>
              <w:rPr>
                <w:rStyle w:val="DefaultParagraphFont"/>
              </w:rPr>
            </w:pPr>
            <w:r>
              <w:rPr>
                <w:rStyle w:val="DefaultParagraphFont"/>
                <w:sz w:val="20"/>
              </w:rPr>
              <w:t>K1+448-K1+460</w:t>
            </w:r>
          </w:p>
        </w:tc>
        <w:tc>
          <w:tcPr>
            <w:tcW w:w="360" w:type="dxa"/>
            <w:vAlign w:val="center"/>
          </w:tcPr>
          <w:p>
            <w:pPr>
              <w:pStyle w:val="3"/>
              <w:spacing w:line="200" w:lineRule="auto"/>
              <w:jc w:val="center"/>
              <w:rPr>
                <w:rStyle w:val="DefaultParagraphFont"/>
              </w:rPr>
            </w:pPr>
            <w:r>
              <w:rPr>
                <w:rStyle w:val="DefaultParagraphFont"/>
                <w:sz w:val="20"/>
              </w:rPr>
              <w:t>SF5D</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1111111</w:t>
            </w:r>
          </w:p>
        </w:tc>
      </w:tr>
    </w:tbl>
    <w:p>
      <w:pPr>
        <w:pStyle w:val="3"/>
        <w:jc w:val="both"/>
        <w:rPr>
          <w:rStyle w:val="DefaultParagraphFont"/>
          <w:rFonts w:ascii="宋体" w:hAnsi="宋体" w:cs="宋体" w:hint="eastAsia"/>
          <w:kern w:val="0"/>
        </w:rPr>
      </w:pPr>
    </w:p>
    <w:p>
      <w:pPr>
        <w:pStyle w:val="0"/>
        <w:spacing w:line="240" w:lineRule="auto"/>
        <w:ind w:firstLine="420" w:firstLineChars="200"/>
        <w:jc w:val="left"/>
        <w:rPr>
          <w:rStyle w:val="DefaultParagraphFont"/>
          <w:rFonts w:ascii="宋体" w:eastAsia="宋体" w:hAnsi="宋体" w:cs="宋体" w:hint="eastAsia"/>
          <w:b w:val="0"/>
          <w:kern w:val="0"/>
          <w:sz w:val="21"/>
          <w:szCs w:val="21"/>
          <w:lang w:val="en-US" w:eastAsia="zh-CN"/>
        </w:rPr>
      </w:pPr>
      <w:bookmarkEnd w:id="92"/>
    </w:p>
    <w:p>
      <w:pPr>
        <w:pStyle w:val="0"/>
        <w:spacing w:line="240" w:lineRule="auto"/>
        <w:ind w:firstLine="420" w:firstLineChars="200"/>
        <w:jc w:val="center"/>
        <w:rPr>
          <w:rStyle w:val="DefaultParagraphFont"/>
          <w:rFonts w:ascii="宋体" w:hAnsi="宋体" w:cs="宋体"/>
          <w:kern w:val="0"/>
          <w:sz w:val="21"/>
          <w:szCs w:val="21"/>
        </w:rPr>
      </w:pPr>
    </w:p>
    <w:p>
      <w:pPr>
        <w:pStyle w:val="101"/>
        <w:ind w:left="425" w:hanging="425"/>
        <w:rPr>
          <w:rStyle w:val="DefaultParagraphFont"/>
          <w:rFonts w:hint="eastAsia"/>
        </w:rPr>
      </w:pPr>
      <w:bookmarkStart w:id="93" w:name="_Toc461914966"/>
      <w:bookmarkStart w:id="94" w:name="_Toc256000014"/>
      <w:r>
        <w:rPr>
          <w:rStyle w:val="DefaultParagraphFont"/>
          <w:rFonts w:hint="eastAsia"/>
        </w:rPr>
        <w:t>7 结论</w:t>
      </w:r>
      <w:bookmarkEnd w:id="94"/>
      <w:bookmarkEnd w:id="89"/>
      <w:bookmarkEnd w:id="93"/>
    </w:p>
    <w:p>
      <w:pPr>
        <w:pStyle w:val="0"/>
        <w:ind w:firstLine="480" w:firstLineChars="200"/>
        <w:rPr>
          <w:rStyle w:val="DefaultParagraphFont"/>
          <w:rFonts w:ascii="宋体" w:hAnsi="宋体"/>
          <w:color w:val="000000"/>
        </w:rPr>
      </w:pPr>
      <w:r>
        <w:rPr>
          <w:rStyle w:val="DefaultParagraphFont"/>
          <w:rFonts w:ascii="宋体" w:hAnsi="宋体" w:hint="eastAsia"/>
          <w:color w:val="000000"/>
        </w:rPr>
        <w:t>1、依据</w:t>
      </w:r>
      <w:r>
        <w:rPr>
          <w:rStyle w:val="DefaultParagraphFont"/>
          <w:rFonts w:ascii="宋体" w:hAnsi="宋体"/>
          <w:color w:val="000000"/>
        </w:rPr>
        <w:t>《公路</w:t>
      </w:r>
      <w:r>
        <w:rPr>
          <w:rStyle w:val="DefaultParagraphFont"/>
          <w:rFonts w:ascii="宋体" w:hAnsi="宋体" w:hint="eastAsia"/>
          <w:color w:val="000000"/>
        </w:rPr>
        <w:t>工程质量检验评定标准</w:t>
      </w:r>
      <w:r>
        <w:rPr>
          <w:rStyle w:val="DefaultParagraphFont"/>
          <w:rFonts w:ascii="宋体" w:hAnsi="宋体"/>
          <w:color w:val="000000"/>
        </w:rPr>
        <w:t>》（JTG F</w:t>
      </w:r>
      <w:r>
        <w:rPr>
          <w:rStyle w:val="DefaultParagraphFont"/>
          <w:rFonts w:ascii="宋体" w:hAnsi="宋体" w:hint="eastAsia"/>
          <w:color w:val="000000"/>
        </w:rPr>
        <w:t>80/1</w:t>
      </w:r>
      <w:r>
        <w:rPr>
          <w:rStyle w:val="DefaultParagraphFont"/>
          <w:rFonts w:ascii="宋体" w:hAnsi="宋体"/>
          <w:color w:val="000000"/>
        </w:rPr>
        <w:t>－200</w:t>
      </w: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表10.11.2第2项要求，</w:t>
      </w:r>
      <w:bookmarkStart w:id="95" w:name="T0701_二衬厚度结论"/>
      <w:r>
        <w:rPr>
          <w:rStyle w:val="DefaultParagraphFont"/>
          <w:rFonts w:ascii="宋体" w:hAnsi="宋体"/>
          <w:color w:val="000000"/>
        </w:rPr>
        <w:t>老营特长隧道右幅进口K1+448.5～K1+600段检查点数的98.7%大于设计厚度，检测结果满足设计和规范要求，评定为合格。</w:t>
      </w:r>
      <w:bookmarkEnd w:id="95"/>
    </w:p>
    <w:p>
      <w:pPr>
        <w:pStyle w:val="0"/>
        <w:ind w:firstLine="480" w:firstLineChars="200"/>
        <w:rPr>
          <w:rStyle w:val="DefaultParagraphFont"/>
          <w:rFonts w:ascii="宋体" w:hAnsi="宋体" w:hint="eastAsia"/>
          <w:color w:val="000000"/>
        </w:rPr>
      </w:pPr>
      <w:r>
        <w:rPr>
          <w:rStyle w:val="DefaultParagraphFont"/>
          <w:rFonts w:hAnsi="宋体" w:hint="eastAsia"/>
          <w:color w:val="000000"/>
        </w:rPr>
        <w:t>2、</w:t>
      </w:r>
      <w:bookmarkStart w:id="96" w:name="T0702_二衬缺陷结论"/>
      <w:r>
        <w:rPr>
          <w:rStyle w:val="DefaultParagraphFont"/>
          <w:rFonts w:ascii="宋体" w:hAnsi="宋体" w:hint="eastAsia"/>
          <w:color w:val="000000"/>
        </w:rPr>
        <w:t>检测结果显示，本次检测老营特长隧道右幅进口K1+448.5～K1+600段测线范围内未发现明显缺陷，评定为合格。</w:t>
      </w:r>
      <w:bookmarkEnd w:id="96"/>
    </w:p>
    <w:p>
      <w:pPr>
        <w:pStyle w:val="0"/>
        <w:ind w:firstLine="480" w:firstLineChars="200"/>
        <w:rPr>
          <w:rStyle w:val="DefaultParagraphFont"/>
          <w:rFonts w:ascii="宋体" w:hAnsi="宋体"/>
        </w:rPr>
      </w:pPr>
      <w:r>
        <w:rPr>
          <w:rStyle w:val="DefaultParagraphFont"/>
          <w:rFonts w:hAnsi="宋体" w:hint="eastAsia"/>
          <w:color w:val="000000"/>
        </w:rPr>
        <w:t>3、</w:t>
      </w:r>
      <w:r>
        <w:rPr>
          <w:rStyle w:val="DefaultParagraphFont"/>
          <w:rFonts w:ascii="宋体" w:hAnsi="宋体" w:hint="eastAsia"/>
          <w:color w:val="000000"/>
        </w:rPr>
        <w:t>依据</w:t>
      </w:r>
      <w:r>
        <w:rPr>
          <w:rStyle w:val="DefaultParagraphFont"/>
          <w:rFonts w:ascii="宋体" w:hAnsi="宋体"/>
          <w:color w:val="000000"/>
        </w:rPr>
        <w:t>《公路</w:t>
      </w:r>
      <w:r>
        <w:rPr>
          <w:rStyle w:val="DefaultParagraphFont"/>
          <w:rFonts w:ascii="宋体" w:hAnsi="宋体" w:hint="eastAsia"/>
          <w:color w:val="000000"/>
        </w:rPr>
        <w:t>工程质量检验评定标准</w:t>
      </w:r>
      <w:r>
        <w:rPr>
          <w:rStyle w:val="DefaultParagraphFont"/>
          <w:rFonts w:ascii="宋体" w:hAnsi="宋体"/>
          <w:color w:val="000000"/>
        </w:rPr>
        <w:t>》（JTG F</w:t>
      </w:r>
      <w:r>
        <w:rPr>
          <w:rStyle w:val="DefaultParagraphFont"/>
          <w:rFonts w:ascii="宋体" w:hAnsi="宋体" w:hint="eastAsia"/>
          <w:color w:val="000000"/>
        </w:rPr>
        <w:t>80/1</w:t>
      </w:r>
      <w:r>
        <w:rPr>
          <w:rStyle w:val="DefaultParagraphFont"/>
          <w:rFonts w:ascii="宋体" w:hAnsi="宋体"/>
          <w:color w:val="000000"/>
        </w:rPr>
        <w:t>－200</w:t>
      </w: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表10.13.2第1项要求，</w:t>
      </w:r>
      <w:bookmarkStart w:id="97" w:name="T0703_二衬间距结论"/>
      <w:r>
        <w:rPr>
          <w:rStyle w:val="DefaultParagraphFont"/>
          <w:rFonts w:ascii="宋体" w:hAnsi="宋体"/>
        </w:rPr>
        <w:t>老营特长隧道右幅进口K1+448.5～K1+460段衬砌钢筋主筋间距设计值20cm，实测最大值20.8cm，最小值19cm，平均值19.8cm；K1+460～K1+490段衬砌钢筋主筋间距设计值20cm，实测最大值23cm，最小值18cm，平均值20.1m；K1+490～K1+550段衬砌钢筋主筋间距设计值20cm，实测最大值24cm，最小值19cm，平均值20.4cm；K1+550～K1+600段衬砌钢筋主筋间距设计值20cm，实测最大值24cm，最小值19cm，平均值20.5m，检测结果满足设计和规范要求，评定为合格。</w:t>
      </w:r>
      <w:bookmarkEnd w:id="97"/>
    </w:p>
    <w:p>
      <w:pPr>
        <w:pStyle w:val="0"/>
        <w:jc w:val="both"/>
        <w:rPr>
          <w:rStyle w:val="DefaultParagraphFont"/>
          <w:rFonts w:ascii="宋体" w:hAnsi="宋体" w:hint="eastAsia"/>
        </w:rPr>
        <w:sectPr>
          <w:headerReference w:type="default" r:id="rId13"/>
          <w:footerReference w:type="default" r:id="rId14"/>
          <w:pgSz w:w="11906" w:h="16838"/>
          <w:pgMar w:top="1440" w:right="1134" w:bottom="1440" w:left="1418" w:header="851" w:footer="992" w:gutter="0"/>
          <w:pgNumType w:fmt="decimal" w:start="1" w:chapStyle="0" w:chapSep="hyphen"/>
          <w:cols w:space="708"/>
          <w:docGrid w:type="linesAndChars" w:linePitch="312"/>
        </w:sectPr>
      </w:pPr>
      <w:r>
        <w:rPr>
          <w:rStyle w:val="DefaultParagraphFont"/>
          <w:rFonts w:ascii="宋体" w:hAnsi="宋体" w:hint="eastAsia"/>
          <w:b/>
          <w:sz w:val="28"/>
          <w:szCs w:val="28"/>
        </w:rPr>
        <w:t xml:space="preserve"> </w:t>
      </w:r>
      <w:r>
        <w:rPr>
          <w:rStyle w:val="DefaultParagraphFont"/>
          <w:rFonts w:ascii="宋体" w:hAnsi="宋体"/>
          <w:b/>
          <w:sz w:val="28"/>
          <w:szCs w:val="28"/>
        </w:rPr>
        <w:t xml:space="preserve"> </w:t>
      </w:r>
    </w:p>
    <w:p>
      <w:pPr>
        <w:pStyle w:val="101"/>
        <w:rPr>
          <w:rStyle w:val="DefaultParagraphFont"/>
        </w:rPr>
      </w:pPr>
      <w:bookmarkStart w:id="100" w:name="附件名字1"/>
      <w:bookmarkStart w:id="101" w:name="_Toc256000015"/>
      <w:r>
        <w:rPr>
          <w:rStyle w:val="DefaultParagraphFont"/>
        </w:rPr>
        <w:t>附图1各测线实测厚度剖面图</w:t>
      </w:r>
      <w:bookmarkEnd w:id="101"/>
      <w:bookmarkEnd w:id="100"/>
    </w:p>
    <w:p>
      <w:pPr>
        <w:pStyle w:val="0"/>
        <w:widowControl/>
        <w:spacing w:line="240" w:lineRule="auto"/>
        <w:jc w:val="both"/>
        <w:rPr>
          <w:rStyle w:val="DefaultParagraphFont"/>
          <w:rFonts w:ascii="宋体" w:eastAsia="宋体" w:hAnsi="宋体" w:cs="宋体" w:hint="eastAsia"/>
          <w:kern w:val="0"/>
          <w:lang w:eastAsia="zh-CN"/>
        </w:rPr>
      </w:pPr>
      <w:bookmarkStart w:id="102" w:name="Image1"/>
      <w:r>
        <w:rPr>
          <w:rFonts w:ascii="宋体" w:eastAsia="宋体" w:hAnsi="宋体" w:cs="宋体" w:hint="eastAsia"/>
          <w:kern w:val="0"/>
          <w:lang w:eastAsia="zh-CN"/>
        </w:rPr>
        <w:drawing>
          <wp:inline>
            <wp:extent cx="8863330" cy="4950422"/>
            <wp:docPr id="100008" name=""/>
            <wp:cNvGraphicFramePr/>
            <a:graphic xmlns:a="http://schemas.openxmlformats.org/drawingml/2006/main">
              <a:graphicData uri="http://schemas.openxmlformats.org/drawingml/2006/picture">
                <pic:pic xmlns:pic="http://schemas.openxmlformats.org/drawingml/2006/picture">
                  <pic:nvPicPr>
                    <pic:cNvPr id="864184793" name=""/>
                    <pic:cNvPicPr/>
                  </pic:nvPicPr>
                  <pic:blipFill>
                    <a:blip xmlns:r="http://schemas.openxmlformats.org/officeDocument/2006/relationships" r:embed="rId15"/>
                    <a:stretch>
                      <a:fillRect/>
                    </a:stretch>
                  </pic:blipFill>
                  <pic:spPr>
                    <a:xfrm>
                      <a:off x="0" y="0"/>
                      <a:ext cx="8863330" cy="4950422"/>
                    </a:xfrm>
                    <a:prstGeom prst="rect">
                      <a:avLst/>
                    </a:prstGeom>
                  </pic:spPr>
                </pic:pic>
              </a:graphicData>
            </a:graphic>
          </wp:inline>
        </w:drawing>
      </w:r>
      <w:bookmarkEnd w:id="102"/>
    </w:p>
    <w:sectPr>
      <w:headerReference w:type="default" r:id="rId16"/>
      <w:footerReference w:type="default" r:id="rId17"/>
      <w:pgSz w:w="16838" w:h="11906" w:orient="landscape"/>
      <w:pgMar w:top="1134" w:right="1440" w:bottom="1418" w:left="1440" w:header="851" w:footer="992" w:gutter="0"/>
      <w:pgNumType w:fmt="decimal" w:chapStyle="0" w:chapSep="hyphen"/>
      <w:cols w:space="708"/>
      <w:docGrid w:type="lines"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1" w:usb1="080E0000" w:usb2="00000010" w:usb3="00000000" w:csb0="00040000" w:csb1="00000000"/>
  </w:font>
  <w:font w:name="楷体_GB2312">
    <w:altName w:val="楷体"/>
    <w:panose1 w:val="00000000000000000000"/>
    <w:charset w:val="86"/>
    <w:family w:val="modern"/>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jc w:val="center"/>
      <w:rPr>
        <w:rStyle w:val="DefaultParagraphFont"/>
        <w:rFonts w:hint="eastAsia"/>
        <w:lang w:eastAsia="zh-CN"/>
      </w:rPr>
    </w:pPr>
    <w:r>
      <w:rPr>
        <w:sz w:val="18"/>
      </w:rPr>
      <w:pict>
        <v:shapetype id="_x0000_t202" coordsize="21600,21600" o:spt="202" path="m,l,21600r21600,l21600,xe">
          <v:stroke joinstyle="miter"/>
          <v:path gradientshapeok="t" o:connecttype="rect"/>
        </v:shapetype>
        <v:shape id="文本框 4" o:spid="_x0000_s2049" type="#_x0000_t202" style="width:2in;height:2in;margin-top:0;margin-left:0;mso-position-horizontal:center;mso-position-horizontal-relative:margin;mso-wrap-style:none;position:absolute;v-text-anchor:top;z-index:251659264" filled="f" stroked="f">
          <v:fill o:detectmouseclick="t"/>
          <v:stroke linestyle="single"/>
          <o:lock v:ext="edit" aspectratio="f"/>
          <v:textbox style="layout-flow:horizontal;mso-fit-shape-to-text:t" inset="0,0,0,0">
            <w:txbxContent>
              <w:p>
                <w:pPr>
                  <w:pStyle w:val="0"/>
                  <w:snapToGrid w:val="0"/>
                  <w:rPr>
                    <w:rStyle w:val="DefaultParagraphFont"/>
                    <w:rFonts w:eastAsia="宋体" w:hint="eastAsia"/>
                    <w:sz w:val="18"/>
                    <w:lang w:eastAsia="zh-CN"/>
                  </w:rPr>
                </w:pPr>
                <w:r>
                  <w:rPr>
                    <w:rStyle w:val="DefaultParagraphFont"/>
                    <w:rFonts w:eastAsia="宋体" w:hint="eastAsia"/>
                    <w:sz w:val="18"/>
                    <w:lang w:eastAsia="zh-CN"/>
                  </w:rPr>
                  <w:t xml:space="preserve">第 </w:t>
                </w:r>
                <w:r>
                  <w:rPr>
                    <w:rStyle w:val="DefaultParagraphFont"/>
                    <w:rFonts w:eastAsia="宋体" w:hint="eastAsia"/>
                    <w:sz w:val="18"/>
                    <w:lang w:eastAsia="zh-CN"/>
                  </w:rPr>
                  <w:fldChar w:fldCharType="begin"/>
                </w:r>
                <w:r>
                  <w:rPr>
                    <w:rStyle w:val="DefaultParagraphFont"/>
                    <w:rFonts w:eastAsia="宋体" w:hint="eastAsia"/>
                    <w:sz w:val="18"/>
                    <w:lang w:eastAsia="zh-CN"/>
                  </w:rPr>
                  <w:instrText xml:space="preserve"> PAGE  \* MERGEFORMAT </w:instrText>
                </w:r>
                <w:r>
                  <w:rPr>
                    <w:rStyle w:val="DefaultParagraphFont"/>
                    <w:rFonts w:eastAsia="宋体" w:hint="eastAsia"/>
                    <w:sz w:val="18"/>
                    <w:lang w:eastAsia="zh-CN"/>
                  </w:rPr>
                  <w:fldChar w:fldCharType="separate"/>
                </w:r>
                <w:r>
                  <w:rPr>
                    <w:rStyle w:val="DefaultParagraphFont"/>
                    <w:rFonts w:eastAsia="宋体" w:hint="eastAsia"/>
                    <w:sz w:val="18"/>
                    <w:lang w:eastAsia="zh-CN"/>
                  </w:rPr>
                  <w:t>6</w:t>
                </w:r>
                <w:r>
                  <w:rPr>
                    <w:rStyle w:val="DefaultParagraphFont"/>
                    <w:rFonts w:eastAsia="宋体" w:hint="eastAsia"/>
                    <w:sz w:val="18"/>
                    <w:lang w:eastAsia="zh-CN"/>
                  </w:rPr>
                  <w:fldChar w:fldCharType="end"/>
                </w:r>
                <w:r>
                  <w:rPr>
                    <w:rStyle w:val="DefaultParagraphFont"/>
                    <w:rFonts w:eastAsia="宋体" w:hint="eastAsia"/>
                    <w:sz w:val="18"/>
                    <w:lang w:eastAsia="zh-CN"/>
                  </w:rPr>
                  <w:t xml:space="preserve"> 页 共 </w:t>
                </w:r>
                <w:bookmarkStart w:id="99" w:name="totalPage"/>
                <w:r>
                  <w:rPr>
                    <w:rStyle w:val="DefaultParagraphFont"/>
                    <w:rFonts w:eastAsia="宋体" w:hint="eastAsia"/>
                    <w:sz w:val="18"/>
                    <w:lang w:eastAsia="zh-CN"/>
                  </w:rPr>
                  <w:t>7</w:t>
                </w:r>
                <w:bookmarkEnd w:id="99"/>
                <w:r>
                  <w:rPr>
                    <w:rStyle w:val="DefaultParagraphFont"/>
                    <w:rFonts w:eastAsia="宋体" w:hint="eastAsia"/>
                    <w:sz w:val="18"/>
                    <w:lang w:eastAsia="zh-CN"/>
                  </w:rPr>
                  <w:t xml:space="preserve"> 页</w:t>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rPr>
        <w:rStyle w:val="DefaultParagraphFont"/>
      </w:rPr>
    </w:pPr>
    <w:r>
      <w:pict>
        <v:rect id="文本框40" o:spid="_x0000_s2050" style="width:118.15pt;height:17.5pt;margin-top:4.1pt;margin-left:0;mso-position-horizontal:center;mso-position-horizontal-relative:margin;mso-wrap-style:square;position:absolute;v-text-anchor:top;z-index:251658240" filled="f" stroked="f">
          <v:fill o:detectmouseclick="t"/>
          <v:stroke joinstyle="miter" linestyle="single"/>
          <v:shadow color="gray"/>
          <o:lock v:ext="edit" aspectratio="f"/>
          <v:textbox style="layout-flow:horizontal;mso-fit-shape-to-text:t" inset="0,0,0,0">
            <w:txbxContent>
              <w:p>
                <w:pPr>
                  <w:pStyle w:val="0"/>
                  <w:jc w:val="center"/>
                  <w:rPr>
                    <w:rStyle w:val="DefaultParagraphFont"/>
                    <w:rFonts w:eastAsia="宋体" w:hint="eastAsia"/>
                    <w:sz w:val="18"/>
                    <w:szCs w:val="18"/>
                    <w:lang w:eastAsia="zh-CN"/>
                  </w:rPr>
                </w:pPr>
                <w:r>
                  <w:rPr>
                    <w:rStyle w:val="DefaultParagraphFont"/>
                    <w:rFonts w:eastAsia="宋体" w:hint="eastAsia"/>
                    <w:sz w:val="18"/>
                    <w:szCs w:val="18"/>
                    <w:lang w:eastAsia="zh-CN"/>
                  </w:rPr>
                  <w:t xml:space="preserve">第 </w:t>
                </w:r>
                <w:r>
                  <w:rPr>
                    <w:rStyle w:val="DefaultParagraphFont"/>
                    <w:rFonts w:eastAsia="宋体" w:hint="eastAsia"/>
                    <w:sz w:val="18"/>
                    <w:szCs w:val="18"/>
                    <w:lang w:eastAsia="zh-CN"/>
                  </w:rPr>
                  <w:fldChar w:fldCharType="begin"/>
                </w:r>
                <w:r>
                  <w:rPr>
                    <w:rStyle w:val="DefaultParagraphFont"/>
                    <w:rFonts w:eastAsia="宋体" w:hint="eastAsia"/>
                    <w:sz w:val="18"/>
                    <w:szCs w:val="18"/>
                    <w:lang w:eastAsia="zh-CN"/>
                  </w:rPr>
                  <w:instrText xml:space="preserve"> PAGE  \* MERGEFORMAT </w:instrText>
                </w:r>
                <w:r>
                  <w:rPr>
                    <w:rStyle w:val="DefaultParagraphFont"/>
                    <w:rFonts w:eastAsia="宋体" w:hint="eastAsia"/>
                    <w:sz w:val="18"/>
                    <w:szCs w:val="18"/>
                    <w:lang w:eastAsia="zh-CN"/>
                  </w:rPr>
                  <w:fldChar w:fldCharType="separate"/>
                </w:r>
                <w:r>
                  <w:rPr>
                    <w:rStyle w:val="DefaultParagraphFont"/>
                    <w:rFonts w:eastAsia="宋体" w:hint="eastAsia"/>
                    <w:sz w:val="18"/>
                    <w:szCs w:val="18"/>
                    <w:lang w:eastAsia="zh-CN"/>
                  </w:rPr>
                  <w:t>7</w:t>
                </w:r>
                <w:r>
                  <w:rPr>
                    <w:rStyle w:val="DefaultParagraphFont"/>
                    <w:rFonts w:eastAsia="宋体" w:hint="eastAsia"/>
                    <w:sz w:val="18"/>
                    <w:szCs w:val="18"/>
                    <w:lang w:eastAsia="zh-CN"/>
                  </w:rPr>
                  <w:fldChar w:fldCharType="end"/>
                </w:r>
                <w:r>
                  <w:rPr>
                    <w:rStyle w:val="DefaultParagraphFont"/>
                    <w:rFonts w:eastAsia="宋体" w:hint="eastAsia"/>
                    <w:sz w:val="18"/>
                    <w:szCs w:val="18"/>
                    <w:lang w:eastAsia="zh-CN"/>
                  </w:rPr>
                  <w:t xml:space="preserve"> 页 共 </w:t>
                </w:r>
                <w:bookmarkStart w:id="104" w:name="totalPage1"/>
                <w:r>
                  <w:rPr>
                    <w:rStyle w:val="DefaultParagraphFont"/>
                    <w:rFonts w:eastAsia="宋体" w:hint="eastAsia"/>
                    <w:sz w:val="18"/>
                    <w:szCs w:val="18"/>
                    <w:lang w:eastAsia="zh-CN"/>
                  </w:rPr>
                  <w:t>7</w:t>
                </w:r>
                <w:bookmarkEnd w:id="104"/>
                <w:r>
                  <w:rPr>
                    <w:rStyle w:val="DefaultParagraphFont"/>
                    <w:rFonts w:eastAsia="宋体" w:hint="eastAsia"/>
                    <w:sz w:val="18"/>
                    <w:szCs w:val="18"/>
                    <w:lang w:eastAsia="zh-CN"/>
                  </w:rPr>
                  <w:t xml:space="preserve"> 页</w:t>
                </w:r>
              </w:p>
            </w:txbxContent>
          </v:textbox>
          <w10:wrap anchorx="margin"/>
        </v:rect>
      </w:pict>
    </w:r>
    <w:r>
      <w:rPr>
        <w:rStyle w:val="DefaultParagraphFont"/>
        <w:rFonts w:hint="eastAsia"/>
      </w:rPr>
      <w:t xml:space="preserve"> </w:t>
    </w:r>
    <w:r>
      <w:rPr>
        <w:rStyle w:val="DefaultParagraphFont"/>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tabs>
        <w:tab w:val="left" w:pos="4984"/>
      </w:tabs>
      <w:jc w:val="left"/>
      <w:rPr>
        <w:rStyle w:val="DefaultParagraphFont"/>
        <w:sz w:val="21"/>
        <w:szCs w:val="21"/>
        <w:u w:val="single"/>
      </w:rPr>
    </w:pPr>
    <w:bookmarkStart w:id="98" w:name="headerText"/>
    <w:r>
      <w:rPr>
        <w:rStyle w:val="DefaultParagraphFont"/>
        <w:rFonts w:hint="eastAsia"/>
        <w:sz w:val="21"/>
        <w:szCs w:val="21"/>
        <w:u w:val="single"/>
      </w:rPr>
      <w:t>云南保山至泸水高速公路老营特长隧道二次衬砌检测报告            GJJCZX-BLGS-LYEC-JKY-001</w:t>
    </w:r>
    <w:bookmarkEnd w:id="98"/>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tabs>
        <w:tab w:val="left" w:pos="4984"/>
      </w:tabs>
      <w:jc w:val="center"/>
      <w:rPr>
        <w:rStyle w:val="DefaultParagraphFont"/>
        <w:rFonts w:hint="eastAsia"/>
        <w:sz w:val="21"/>
        <w:szCs w:val="21"/>
        <w:u w:val="single"/>
      </w:rPr>
    </w:pPr>
    <w:bookmarkStart w:id="103" w:name="headerText1"/>
    <w:r>
      <w:rPr>
        <w:rStyle w:val="DefaultParagraphFont"/>
        <w:rFonts w:hint="eastAsia"/>
        <w:sz w:val="21"/>
        <w:szCs w:val="21"/>
        <w:u w:val="single"/>
      </w:rPr>
      <w:t>云南保山至泸水高速公路老营特长隧道二次衬砌检测报告                                                        GJJCZX-BLGS-LYEC-JKY-001</w:t>
    </w:r>
    <w:bookmarkEnd w:id="10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2"/>
    <w:multiLevelType w:val="multilevel"/>
    <w:tmpl w:val="0000000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2F5"/>
    <w:rsid w:val="000005C0"/>
    <w:rsid w:val="0000714D"/>
    <w:rsid w:val="00011256"/>
    <w:rsid w:val="00012522"/>
    <w:rsid w:val="000229CA"/>
    <w:rsid w:val="00026E6D"/>
    <w:rsid w:val="00027FFD"/>
    <w:rsid w:val="00032ED6"/>
    <w:rsid w:val="00033453"/>
    <w:rsid w:val="00033AC2"/>
    <w:rsid w:val="00041B96"/>
    <w:rsid w:val="0004251B"/>
    <w:rsid w:val="000428B7"/>
    <w:rsid w:val="00043D29"/>
    <w:rsid w:val="000476BE"/>
    <w:rsid w:val="00050D87"/>
    <w:rsid w:val="000530B7"/>
    <w:rsid w:val="00054089"/>
    <w:rsid w:val="00057C12"/>
    <w:rsid w:val="00060126"/>
    <w:rsid w:val="00061E8C"/>
    <w:rsid w:val="00062C0B"/>
    <w:rsid w:val="0006495A"/>
    <w:rsid w:val="0006567D"/>
    <w:rsid w:val="000656E0"/>
    <w:rsid w:val="00065FE7"/>
    <w:rsid w:val="00066B07"/>
    <w:rsid w:val="00077ACD"/>
    <w:rsid w:val="00081B99"/>
    <w:rsid w:val="00081FF2"/>
    <w:rsid w:val="000847BF"/>
    <w:rsid w:val="00090F61"/>
    <w:rsid w:val="00090F87"/>
    <w:rsid w:val="00091F59"/>
    <w:rsid w:val="00095F21"/>
    <w:rsid w:val="00097BD2"/>
    <w:rsid w:val="000A2BC2"/>
    <w:rsid w:val="000A556A"/>
    <w:rsid w:val="000B0B12"/>
    <w:rsid w:val="000B1372"/>
    <w:rsid w:val="000B1DA1"/>
    <w:rsid w:val="000B6398"/>
    <w:rsid w:val="000C2749"/>
    <w:rsid w:val="000C5E1D"/>
    <w:rsid w:val="000C6D95"/>
    <w:rsid w:val="000C7593"/>
    <w:rsid w:val="000C796F"/>
    <w:rsid w:val="000C7F36"/>
    <w:rsid w:val="000D492A"/>
    <w:rsid w:val="000E0E9B"/>
    <w:rsid w:val="000E146B"/>
    <w:rsid w:val="000E3D0B"/>
    <w:rsid w:val="000E6395"/>
    <w:rsid w:val="000E69C1"/>
    <w:rsid w:val="000E7288"/>
    <w:rsid w:val="000E7752"/>
    <w:rsid w:val="000F13C2"/>
    <w:rsid w:val="000F449C"/>
    <w:rsid w:val="000F639A"/>
    <w:rsid w:val="00101076"/>
    <w:rsid w:val="00104012"/>
    <w:rsid w:val="00105F97"/>
    <w:rsid w:val="001109DD"/>
    <w:rsid w:val="00110CB2"/>
    <w:rsid w:val="00111A39"/>
    <w:rsid w:val="00112689"/>
    <w:rsid w:val="00113683"/>
    <w:rsid w:val="00115E2E"/>
    <w:rsid w:val="0012230D"/>
    <w:rsid w:val="001343E2"/>
    <w:rsid w:val="00135EC7"/>
    <w:rsid w:val="00141C27"/>
    <w:rsid w:val="00147B73"/>
    <w:rsid w:val="00147B8D"/>
    <w:rsid w:val="00150719"/>
    <w:rsid w:val="001534BD"/>
    <w:rsid w:val="00155EC4"/>
    <w:rsid w:val="00157C71"/>
    <w:rsid w:val="001600F4"/>
    <w:rsid w:val="00162194"/>
    <w:rsid w:val="001633DD"/>
    <w:rsid w:val="00165A51"/>
    <w:rsid w:val="00171A65"/>
    <w:rsid w:val="00173E99"/>
    <w:rsid w:val="00175F1F"/>
    <w:rsid w:val="00190CE0"/>
    <w:rsid w:val="001934DB"/>
    <w:rsid w:val="00196CC6"/>
    <w:rsid w:val="001A7985"/>
    <w:rsid w:val="001B022F"/>
    <w:rsid w:val="001B044B"/>
    <w:rsid w:val="001B10A9"/>
    <w:rsid w:val="001B13E9"/>
    <w:rsid w:val="001B1420"/>
    <w:rsid w:val="001B194F"/>
    <w:rsid w:val="001B27E1"/>
    <w:rsid w:val="001B5EE6"/>
    <w:rsid w:val="001B68CA"/>
    <w:rsid w:val="001C5588"/>
    <w:rsid w:val="001C56BF"/>
    <w:rsid w:val="001D018A"/>
    <w:rsid w:val="001D1776"/>
    <w:rsid w:val="001D24C6"/>
    <w:rsid w:val="001D3B73"/>
    <w:rsid w:val="001D3D32"/>
    <w:rsid w:val="001D4EEA"/>
    <w:rsid w:val="001D50B4"/>
    <w:rsid w:val="001D59C8"/>
    <w:rsid w:val="001D758C"/>
    <w:rsid w:val="001D7C59"/>
    <w:rsid w:val="001E3698"/>
    <w:rsid w:val="001F0DB1"/>
    <w:rsid w:val="001F21FE"/>
    <w:rsid w:val="001F3566"/>
    <w:rsid w:val="001F463C"/>
    <w:rsid w:val="001F6377"/>
    <w:rsid w:val="001F705D"/>
    <w:rsid w:val="001F7BB9"/>
    <w:rsid w:val="00204705"/>
    <w:rsid w:val="002053DC"/>
    <w:rsid w:val="00210607"/>
    <w:rsid w:val="00210933"/>
    <w:rsid w:val="00213C46"/>
    <w:rsid w:val="00216B11"/>
    <w:rsid w:val="00220110"/>
    <w:rsid w:val="00230397"/>
    <w:rsid w:val="0023386E"/>
    <w:rsid w:val="00235804"/>
    <w:rsid w:val="002359D3"/>
    <w:rsid w:val="00235E8A"/>
    <w:rsid w:val="00236224"/>
    <w:rsid w:val="00237CA9"/>
    <w:rsid w:val="00244C60"/>
    <w:rsid w:val="00246711"/>
    <w:rsid w:val="00246C78"/>
    <w:rsid w:val="0025640B"/>
    <w:rsid w:val="00261854"/>
    <w:rsid w:val="00265D6B"/>
    <w:rsid w:val="0026663F"/>
    <w:rsid w:val="00270AE4"/>
    <w:rsid w:val="00270D31"/>
    <w:rsid w:val="00273C2C"/>
    <w:rsid w:val="00281F2A"/>
    <w:rsid w:val="00284C0D"/>
    <w:rsid w:val="00292B62"/>
    <w:rsid w:val="002932D8"/>
    <w:rsid w:val="00296062"/>
    <w:rsid w:val="002966BD"/>
    <w:rsid w:val="00297D3E"/>
    <w:rsid w:val="002A05A2"/>
    <w:rsid w:val="002A0C1A"/>
    <w:rsid w:val="002A1F69"/>
    <w:rsid w:val="002A23E7"/>
    <w:rsid w:val="002A2D47"/>
    <w:rsid w:val="002A2DB1"/>
    <w:rsid w:val="002A3F97"/>
    <w:rsid w:val="002B072D"/>
    <w:rsid w:val="002B09A4"/>
    <w:rsid w:val="002B4AD4"/>
    <w:rsid w:val="002B602E"/>
    <w:rsid w:val="002B7CEA"/>
    <w:rsid w:val="002C275E"/>
    <w:rsid w:val="002D2D21"/>
    <w:rsid w:val="002D3A29"/>
    <w:rsid w:val="002D431C"/>
    <w:rsid w:val="002D448A"/>
    <w:rsid w:val="002D46A1"/>
    <w:rsid w:val="002E1A1A"/>
    <w:rsid w:val="002E1AE9"/>
    <w:rsid w:val="002E1FE9"/>
    <w:rsid w:val="002E23AB"/>
    <w:rsid w:val="002E2951"/>
    <w:rsid w:val="002E2E40"/>
    <w:rsid w:val="002E2F08"/>
    <w:rsid w:val="002E3EF4"/>
    <w:rsid w:val="002E646C"/>
    <w:rsid w:val="002F2780"/>
    <w:rsid w:val="002F52E1"/>
    <w:rsid w:val="002F6EA4"/>
    <w:rsid w:val="003028C4"/>
    <w:rsid w:val="003049D3"/>
    <w:rsid w:val="00304C82"/>
    <w:rsid w:val="00306A2B"/>
    <w:rsid w:val="00311FC8"/>
    <w:rsid w:val="00312466"/>
    <w:rsid w:val="00320C70"/>
    <w:rsid w:val="00323D97"/>
    <w:rsid w:val="00324837"/>
    <w:rsid w:val="00331BD3"/>
    <w:rsid w:val="00332C64"/>
    <w:rsid w:val="0033395E"/>
    <w:rsid w:val="00334240"/>
    <w:rsid w:val="003405B0"/>
    <w:rsid w:val="0034626B"/>
    <w:rsid w:val="00356DB9"/>
    <w:rsid w:val="00357B6F"/>
    <w:rsid w:val="00360153"/>
    <w:rsid w:val="003611E7"/>
    <w:rsid w:val="00372B3E"/>
    <w:rsid w:val="003730D4"/>
    <w:rsid w:val="0037388F"/>
    <w:rsid w:val="00373EDB"/>
    <w:rsid w:val="00380D1C"/>
    <w:rsid w:val="0038523A"/>
    <w:rsid w:val="003854AA"/>
    <w:rsid w:val="00386470"/>
    <w:rsid w:val="003879F3"/>
    <w:rsid w:val="003A01DD"/>
    <w:rsid w:val="003A0641"/>
    <w:rsid w:val="003A23F6"/>
    <w:rsid w:val="003A6DEC"/>
    <w:rsid w:val="003B268C"/>
    <w:rsid w:val="003B3F3F"/>
    <w:rsid w:val="003C0487"/>
    <w:rsid w:val="003C1076"/>
    <w:rsid w:val="003C2A4D"/>
    <w:rsid w:val="003C2AA4"/>
    <w:rsid w:val="003C312F"/>
    <w:rsid w:val="003C437B"/>
    <w:rsid w:val="003D0533"/>
    <w:rsid w:val="003D2971"/>
    <w:rsid w:val="003D2C42"/>
    <w:rsid w:val="003D45D4"/>
    <w:rsid w:val="003D5E71"/>
    <w:rsid w:val="003E428B"/>
    <w:rsid w:val="003E4A77"/>
    <w:rsid w:val="003F0AD7"/>
    <w:rsid w:val="003F48A3"/>
    <w:rsid w:val="003F5C62"/>
    <w:rsid w:val="003F5C6D"/>
    <w:rsid w:val="004000C0"/>
    <w:rsid w:val="00400F94"/>
    <w:rsid w:val="004013A4"/>
    <w:rsid w:val="0041284F"/>
    <w:rsid w:val="004137E3"/>
    <w:rsid w:val="004142D2"/>
    <w:rsid w:val="00414A46"/>
    <w:rsid w:val="0042138C"/>
    <w:rsid w:val="0042208B"/>
    <w:rsid w:val="00422389"/>
    <w:rsid w:val="00427AE9"/>
    <w:rsid w:val="00427EF9"/>
    <w:rsid w:val="00430694"/>
    <w:rsid w:val="00431A24"/>
    <w:rsid w:val="00433778"/>
    <w:rsid w:val="004343A7"/>
    <w:rsid w:val="00435255"/>
    <w:rsid w:val="0043574E"/>
    <w:rsid w:val="00437023"/>
    <w:rsid w:val="00441829"/>
    <w:rsid w:val="0044493F"/>
    <w:rsid w:val="00447548"/>
    <w:rsid w:val="00447DBA"/>
    <w:rsid w:val="004501D7"/>
    <w:rsid w:val="00450FDA"/>
    <w:rsid w:val="00452276"/>
    <w:rsid w:val="00452601"/>
    <w:rsid w:val="004548DE"/>
    <w:rsid w:val="00454C24"/>
    <w:rsid w:val="004572CE"/>
    <w:rsid w:val="00462AA2"/>
    <w:rsid w:val="00463A8B"/>
    <w:rsid w:val="00466E73"/>
    <w:rsid w:val="00467AF1"/>
    <w:rsid w:val="004724E5"/>
    <w:rsid w:val="00472C9C"/>
    <w:rsid w:val="0047315E"/>
    <w:rsid w:val="0047742A"/>
    <w:rsid w:val="0047785B"/>
    <w:rsid w:val="004865B1"/>
    <w:rsid w:val="00487AB9"/>
    <w:rsid w:val="004929FB"/>
    <w:rsid w:val="00492A57"/>
    <w:rsid w:val="00492B60"/>
    <w:rsid w:val="00493A89"/>
    <w:rsid w:val="00494925"/>
    <w:rsid w:val="004975CF"/>
    <w:rsid w:val="004A1DCA"/>
    <w:rsid w:val="004B0DB9"/>
    <w:rsid w:val="004B1261"/>
    <w:rsid w:val="004B1ED0"/>
    <w:rsid w:val="004B217D"/>
    <w:rsid w:val="004B618A"/>
    <w:rsid w:val="004B64E4"/>
    <w:rsid w:val="004B6BD0"/>
    <w:rsid w:val="004C25A0"/>
    <w:rsid w:val="004C4A37"/>
    <w:rsid w:val="004D1F98"/>
    <w:rsid w:val="004D683E"/>
    <w:rsid w:val="004E33CD"/>
    <w:rsid w:val="004E6212"/>
    <w:rsid w:val="004F29EB"/>
    <w:rsid w:val="004F7369"/>
    <w:rsid w:val="004F7B8B"/>
    <w:rsid w:val="00501111"/>
    <w:rsid w:val="00501234"/>
    <w:rsid w:val="00506EA6"/>
    <w:rsid w:val="005079E9"/>
    <w:rsid w:val="00514CFC"/>
    <w:rsid w:val="00523C6D"/>
    <w:rsid w:val="005250EF"/>
    <w:rsid w:val="00525683"/>
    <w:rsid w:val="00526556"/>
    <w:rsid w:val="00527FC3"/>
    <w:rsid w:val="00531AD9"/>
    <w:rsid w:val="00537159"/>
    <w:rsid w:val="0054169D"/>
    <w:rsid w:val="00545564"/>
    <w:rsid w:val="00545625"/>
    <w:rsid w:val="0055322A"/>
    <w:rsid w:val="00553FFC"/>
    <w:rsid w:val="00555076"/>
    <w:rsid w:val="005571D9"/>
    <w:rsid w:val="00557C63"/>
    <w:rsid w:val="00557EE9"/>
    <w:rsid w:val="005600AA"/>
    <w:rsid w:val="00564078"/>
    <w:rsid w:val="00564EC9"/>
    <w:rsid w:val="00565D39"/>
    <w:rsid w:val="005665C3"/>
    <w:rsid w:val="00572A84"/>
    <w:rsid w:val="0057504C"/>
    <w:rsid w:val="00580233"/>
    <w:rsid w:val="005843A0"/>
    <w:rsid w:val="0058461E"/>
    <w:rsid w:val="00584764"/>
    <w:rsid w:val="00584C86"/>
    <w:rsid w:val="00585948"/>
    <w:rsid w:val="0059215E"/>
    <w:rsid w:val="00592676"/>
    <w:rsid w:val="005A311A"/>
    <w:rsid w:val="005A705D"/>
    <w:rsid w:val="005B0DBE"/>
    <w:rsid w:val="005B125C"/>
    <w:rsid w:val="005B16FA"/>
    <w:rsid w:val="005B447F"/>
    <w:rsid w:val="005B7232"/>
    <w:rsid w:val="005B75AF"/>
    <w:rsid w:val="005C13BF"/>
    <w:rsid w:val="005D15A7"/>
    <w:rsid w:val="005D5AB0"/>
    <w:rsid w:val="005E3B06"/>
    <w:rsid w:val="005E669B"/>
    <w:rsid w:val="005E7B81"/>
    <w:rsid w:val="005F2BD1"/>
    <w:rsid w:val="005F2CC1"/>
    <w:rsid w:val="005F3CB3"/>
    <w:rsid w:val="005F581D"/>
    <w:rsid w:val="005F621E"/>
    <w:rsid w:val="005F73BC"/>
    <w:rsid w:val="0060269E"/>
    <w:rsid w:val="00603216"/>
    <w:rsid w:val="00603873"/>
    <w:rsid w:val="00611B3C"/>
    <w:rsid w:val="00612505"/>
    <w:rsid w:val="006136A1"/>
    <w:rsid w:val="006170B3"/>
    <w:rsid w:val="00620ADD"/>
    <w:rsid w:val="00621F33"/>
    <w:rsid w:val="00622AB9"/>
    <w:rsid w:val="00626BD9"/>
    <w:rsid w:val="0063036E"/>
    <w:rsid w:val="00631DC3"/>
    <w:rsid w:val="00634451"/>
    <w:rsid w:val="00637F28"/>
    <w:rsid w:val="00642684"/>
    <w:rsid w:val="00642C2B"/>
    <w:rsid w:val="00643A7B"/>
    <w:rsid w:val="006451B0"/>
    <w:rsid w:val="006471DE"/>
    <w:rsid w:val="0064774B"/>
    <w:rsid w:val="006500DB"/>
    <w:rsid w:val="00650CB6"/>
    <w:rsid w:val="0065629F"/>
    <w:rsid w:val="00661B73"/>
    <w:rsid w:val="0066376F"/>
    <w:rsid w:val="0066486B"/>
    <w:rsid w:val="00667C5D"/>
    <w:rsid w:val="00672DF7"/>
    <w:rsid w:val="00675847"/>
    <w:rsid w:val="006807BC"/>
    <w:rsid w:val="00685E9A"/>
    <w:rsid w:val="0069194F"/>
    <w:rsid w:val="00692700"/>
    <w:rsid w:val="006965A1"/>
    <w:rsid w:val="006A2AE6"/>
    <w:rsid w:val="006A5D9A"/>
    <w:rsid w:val="006B12DE"/>
    <w:rsid w:val="006B3C51"/>
    <w:rsid w:val="006B5A4F"/>
    <w:rsid w:val="006B7AF7"/>
    <w:rsid w:val="006C1B3A"/>
    <w:rsid w:val="006C5D1C"/>
    <w:rsid w:val="006C70D9"/>
    <w:rsid w:val="006C7B65"/>
    <w:rsid w:val="006D0AA8"/>
    <w:rsid w:val="006D3B02"/>
    <w:rsid w:val="006D67EB"/>
    <w:rsid w:val="006D6F39"/>
    <w:rsid w:val="006E216D"/>
    <w:rsid w:val="006E4B47"/>
    <w:rsid w:val="006E4C49"/>
    <w:rsid w:val="006E527D"/>
    <w:rsid w:val="006E66C8"/>
    <w:rsid w:val="006F3B54"/>
    <w:rsid w:val="00702E58"/>
    <w:rsid w:val="00704F63"/>
    <w:rsid w:val="00707F80"/>
    <w:rsid w:val="0071186E"/>
    <w:rsid w:val="00724DF7"/>
    <w:rsid w:val="00732279"/>
    <w:rsid w:val="007336A0"/>
    <w:rsid w:val="00734634"/>
    <w:rsid w:val="0073544F"/>
    <w:rsid w:val="0073742D"/>
    <w:rsid w:val="00743C71"/>
    <w:rsid w:val="0074405D"/>
    <w:rsid w:val="00745659"/>
    <w:rsid w:val="00746393"/>
    <w:rsid w:val="0075044E"/>
    <w:rsid w:val="00750D07"/>
    <w:rsid w:val="007528B3"/>
    <w:rsid w:val="00753265"/>
    <w:rsid w:val="00755BB0"/>
    <w:rsid w:val="007574C4"/>
    <w:rsid w:val="0076107A"/>
    <w:rsid w:val="0076324C"/>
    <w:rsid w:val="0076337A"/>
    <w:rsid w:val="00763FCD"/>
    <w:rsid w:val="00766EF4"/>
    <w:rsid w:val="00771267"/>
    <w:rsid w:val="00772625"/>
    <w:rsid w:val="007743EC"/>
    <w:rsid w:val="00776882"/>
    <w:rsid w:val="00776891"/>
    <w:rsid w:val="0078137D"/>
    <w:rsid w:val="007838AC"/>
    <w:rsid w:val="00783EA9"/>
    <w:rsid w:val="007858CD"/>
    <w:rsid w:val="00785945"/>
    <w:rsid w:val="00786F96"/>
    <w:rsid w:val="007874C3"/>
    <w:rsid w:val="00790BE5"/>
    <w:rsid w:val="00791D66"/>
    <w:rsid w:val="0079561C"/>
    <w:rsid w:val="007A0932"/>
    <w:rsid w:val="007B10C3"/>
    <w:rsid w:val="007B1480"/>
    <w:rsid w:val="007B1E91"/>
    <w:rsid w:val="007B7E32"/>
    <w:rsid w:val="007C16A6"/>
    <w:rsid w:val="007C1EFE"/>
    <w:rsid w:val="007C2A43"/>
    <w:rsid w:val="007C3909"/>
    <w:rsid w:val="007C436E"/>
    <w:rsid w:val="007C6480"/>
    <w:rsid w:val="007C7CE1"/>
    <w:rsid w:val="007D19AC"/>
    <w:rsid w:val="007D19C0"/>
    <w:rsid w:val="007D2AA1"/>
    <w:rsid w:val="007D5894"/>
    <w:rsid w:val="007E01C0"/>
    <w:rsid w:val="007F3878"/>
    <w:rsid w:val="007F5880"/>
    <w:rsid w:val="007F6F9A"/>
    <w:rsid w:val="007F769F"/>
    <w:rsid w:val="008057A6"/>
    <w:rsid w:val="00806E1C"/>
    <w:rsid w:val="00807A99"/>
    <w:rsid w:val="00814CF4"/>
    <w:rsid w:val="00814DB7"/>
    <w:rsid w:val="008216BA"/>
    <w:rsid w:val="00821834"/>
    <w:rsid w:val="008248D7"/>
    <w:rsid w:val="00826C19"/>
    <w:rsid w:val="008316FA"/>
    <w:rsid w:val="00834D2E"/>
    <w:rsid w:val="008367F1"/>
    <w:rsid w:val="00844728"/>
    <w:rsid w:val="0085170A"/>
    <w:rsid w:val="008576EA"/>
    <w:rsid w:val="008607CB"/>
    <w:rsid w:val="00861F7B"/>
    <w:rsid w:val="00862950"/>
    <w:rsid w:val="008673CE"/>
    <w:rsid w:val="008714A6"/>
    <w:rsid w:val="00873618"/>
    <w:rsid w:val="00873CA2"/>
    <w:rsid w:val="00880C15"/>
    <w:rsid w:val="00884612"/>
    <w:rsid w:val="008846DD"/>
    <w:rsid w:val="00887FD6"/>
    <w:rsid w:val="00891D8F"/>
    <w:rsid w:val="008943FB"/>
    <w:rsid w:val="008945F5"/>
    <w:rsid w:val="00894F37"/>
    <w:rsid w:val="008954EF"/>
    <w:rsid w:val="008959AA"/>
    <w:rsid w:val="008966DA"/>
    <w:rsid w:val="008969F6"/>
    <w:rsid w:val="008A0418"/>
    <w:rsid w:val="008A1B75"/>
    <w:rsid w:val="008A4DAE"/>
    <w:rsid w:val="008B3744"/>
    <w:rsid w:val="008B44CD"/>
    <w:rsid w:val="008C1021"/>
    <w:rsid w:val="008C4F9C"/>
    <w:rsid w:val="008C78D5"/>
    <w:rsid w:val="008D3248"/>
    <w:rsid w:val="008E33B6"/>
    <w:rsid w:val="008E5A35"/>
    <w:rsid w:val="008E5D1F"/>
    <w:rsid w:val="008E65BD"/>
    <w:rsid w:val="008F0A5A"/>
    <w:rsid w:val="008F4649"/>
    <w:rsid w:val="008F5FA0"/>
    <w:rsid w:val="009043F4"/>
    <w:rsid w:val="0090601B"/>
    <w:rsid w:val="00906133"/>
    <w:rsid w:val="00913BF5"/>
    <w:rsid w:val="00923270"/>
    <w:rsid w:val="009242B0"/>
    <w:rsid w:val="00924A6F"/>
    <w:rsid w:val="00927167"/>
    <w:rsid w:val="00927EBC"/>
    <w:rsid w:val="00932853"/>
    <w:rsid w:val="009336DD"/>
    <w:rsid w:val="00935B9C"/>
    <w:rsid w:val="009362CA"/>
    <w:rsid w:val="009460D6"/>
    <w:rsid w:val="0095128F"/>
    <w:rsid w:val="00952C39"/>
    <w:rsid w:val="0095442E"/>
    <w:rsid w:val="00956A58"/>
    <w:rsid w:val="0095740B"/>
    <w:rsid w:val="00962830"/>
    <w:rsid w:val="0096374C"/>
    <w:rsid w:val="00963A8F"/>
    <w:rsid w:val="0097297C"/>
    <w:rsid w:val="009753A1"/>
    <w:rsid w:val="009753AC"/>
    <w:rsid w:val="0097552F"/>
    <w:rsid w:val="00975ED2"/>
    <w:rsid w:val="00975FC5"/>
    <w:rsid w:val="009761B9"/>
    <w:rsid w:val="009832F2"/>
    <w:rsid w:val="00984BE9"/>
    <w:rsid w:val="0098788A"/>
    <w:rsid w:val="00990F2D"/>
    <w:rsid w:val="00993F2A"/>
    <w:rsid w:val="0099745D"/>
    <w:rsid w:val="009A421E"/>
    <w:rsid w:val="009A5B53"/>
    <w:rsid w:val="009A6F0F"/>
    <w:rsid w:val="009A76E4"/>
    <w:rsid w:val="009B27F7"/>
    <w:rsid w:val="009B2804"/>
    <w:rsid w:val="009B4101"/>
    <w:rsid w:val="009C0DC0"/>
    <w:rsid w:val="009C13AE"/>
    <w:rsid w:val="009C2A48"/>
    <w:rsid w:val="009C6BAD"/>
    <w:rsid w:val="009D0C1E"/>
    <w:rsid w:val="009D6E57"/>
    <w:rsid w:val="009E1BA2"/>
    <w:rsid w:val="009F037C"/>
    <w:rsid w:val="009F36F2"/>
    <w:rsid w:val="009F74D9"/>
    <w:rsid w:val="00A027C9"/>
    <w:rsid w:val="00A028EE"/>
    <w:rsid w:val="00A03568"/>
    <w:rsid w:val="00A04937"/>
    <w:rsid w:val="00A10949"/>
    <w:rsid w:val="00A127A6"/>
    <w:rsid w:val="00A15333"/>
    <w:rsid w:val="00A15F8C"/>
    <w:rsid w:val="00A16D87"/>
    <w:rsid w:val="00A236FA"/>
    <w:rsid w:val="00A242E1"/>
    <w:rsid w:val="00A27D4C"/>
    <w:rsid w:val="00A30B7D"/>
    <w:rsid w:val="00A311F8"/>
    <w:rsid w:val="00A33DCA"/>
    <w:rsid w:val="00A359A7"/>
    <w:rsid w:val="00A37CB0"/>
    <w:rsid w:val="00A4103C"/>
    <w:rsid w:val="00A42908"/>
    <w:rsid w:val="00A508F9"/>
    <w:rsid w:val="00A5134B"/>
    <w:rsid w:val="00A514B8"/>
    <w:rsid w:val="00A54BD4"/>
    <w:rsid w:val="00A55065"/>
    <w:rsid w:val="00A56F1F"/>
    <w:rsid w:val="00A577F7"/>
    <w:rsid w:val="00A646FE"/>
    <w:rsid w:val="00A718D5"/>
    <w:rsid w:val="00A742C1"/>
    <w:rsid w:val="00A75A4C"/>
    <w:rsid w:val="00A76D2D"/>
    <w:rsid w:val="00A803CB"/>
    <w:rsid w:val="00A82D68"/>
    <w:rsid w:val="00A8307D"/>
    <w:rsid w:val="00A839ED"/>
    <w:rsid w:val="00A914AA"/>
    <w:rsid w:val="00A927F7"/>
    <w:rsid w:val="00A941C5"/>
    <w:rsid w:val="00A96EBE"/>
    <w:rsid w:val="00A9786C"/>
    <w:rsid w:val="00AA0179"/>
    <w:rsid w:val="00AA0901"/>
    <w:rsid w:val="00AA20FF"/>
    <w:rsid w:val="00AA2597"/>
    <w:rsid w:val="00AA3DC1"/>
    <w:rsid w:val="00AA4847"/>
    <w:rsid w:val="00AA4FC5"/>
    <w:rsid w:val="00AA63D4"/>
    <w:rsid w:val="00AB408C"/>
    <w:rsid w:val="00AB606E"/>
    <w:rsid w:val="00AB7784"/>
    <w:rsid w:val="00AC1655"/>
    <w:rsid w:val="00AC511D"/>
    <w:rsid w:val="00AC74DD"/>
    <w:rsid w:val="00AD0284"/>
    <w:rsid w:val="00AD1048"/>
    <w:rsid w:val="00AD15BD"/>
    <w:rsid w:val="00AD5588"/>
    <w:rsid w:val="00AD5657"/>
    <w:rsid w:val="00AD57F3"/>
    <w:rsid w:val="00AD6D68"/>
    <w:rsid w:val="00AD70D4"/>
    <w:rsid w:val="00AE0D36"/>
    <w:rsid w:val="00AE6EF9"/>
    <w:rsid w:val="00AF054B"/>
    <w:rsid w:val="00AF0D63"/>
    <w:rsid w:val="00AF256A"/>
    <w:rsid w:val="00AF3CAC"/>
    <w:rsid w:val="00AF48D3"/>
    <w:rsid w:val="00AF6662"/>
    <w:rsid w:val="00B00781"/>
    <w:rsid w:val="00B036A0"/>
    <w:rsid w:val="00B1068B"/>
    <w:rsid w:val="00B13A35"/>
    <w:rsid w:val="00B20DDF"/>
    <w:rsid w:val="00B20E48"/>
    <w:rsid w:val="00B23BF6"/>
    <w:rsid w:val="00B265FD"/>
    <w:rsid w:val="00B27E33"/>
    <w:rsid w:val="00B320FF"/>
    <w:rsid w:val="00B3374C"/>
    <w:rsid w:val="00B33F05"/>
    <w:rsid w:val="00B4231D"/>
    <w:rsid w:val="00B4766C"/>
    <w:rsid w:val="00B47D0F"/>
    <w:rsid w:val="00B54D44"/>
    <w:rsid w:val="00B57A28"/>
    <w:rsid w:val="00B60172"/>
    <w:rsid w:val="00B613C3"/>
    <w:rsid w:val="00B65280"/>
    <w:rsid w:val="00B7074E"/>
    <w:rsid w:val="00B76028"/>
    <w:rsid w:val="00B82ABD"/>
    <w:rsid w:val="00B84C33"/>
    <w:rsid w:val="00B85590"/>
    <w:rsid w:val="00B87654"/>
    <w:rsid w:val="00B90EF2"/>
    <w:rsid w:val="00B9477D"/>
    <w:rsid w:val="00B96B68"/>
    <w:rsid w:val="00B97420"/>
    <w:rsid w:val="00B97548"/>
    <w:rsid w:val="00BA0870"/>
    <w:rsid w:val="00BA193A"/>
    <w:rsid w:val="00BA66D6"/>
    <w:rsid w:val="00BB15A1"/>
    <w:rsid w:val="00BB2555"/>
    <w:rsid w:val="00BB2D8A"/>
    <w:rsid w:val="00BB6A82"/>
    <w:rsid w:val="00BB72FA"/>
    <w:rsid w:val="00BC369C"/>
    <w:rsid w:val="00BD273E"/>
    <w:rsid w:val="00BD2D9A"/>
    <w:rsid w:val="00BD7516"/>
    <w:rsid w:val="00BE0517"/>
    <w:rsid w:val="00BE59B0"/>
    <w:rsid w:val="00BE5C93"/>
    <w:rsid w:val="00BE65F2"/>
    <w:rsid w:val="00BE6FF8"/>
    <w:rsid w:val="00BE793B"/>
    <w:rsid w:val="00BF299F"/>
    <w:rsid w:val="00C009CE"/>
    <w:rsid w:val="00C041D3"/>
    <w:rsid w:val="00C04C4A"/>
    <w:rsid w:val="00C075B8"/>
    <w:rsid w:val="00C10298"/>
    <w:rsid w:val="00C123A1"/>
    <w:rsid w:val="00C141F8"/>
    <w:rsid w:val="00C16689"/>
    <w:rsid w:val="00C16B25"/>
    <w:rsid w:val="00C218D1"/>
    <w:rsid w:val="00C244D7"/>
    <w:rsid w:val="00C26B9B"/>
    <w:rsid w:val="00C27F70"/>
    <w:rsid w:val="00C302DD"/>
    <w:rsid w:val="00C31A96"/>
    <w:rsid w:val="00C33FD6"/>
    <w:rsid w:val="00C4135C"/>
    <w:rsid w:val="00C42C58"/>
    <w:rsid w:val="00C435BD"/>
    <w:rsid w:val="00C50152"/>
    <w:rsid w:val="00C50F8C"/>
    <w:rsid w:val="00C52444"/>
    <w:rsid w:val="00C535C8"/>
    <w:rsid w:val="00C53FE0"/>
    <w:rsid w:val="00C561EB"/>
    <w:rsid w:val="00C628DB"/>
    <w:rsid w:val="00C64CF6"/>
    <w:rsid w:val="00C71C0F"/>
    <w:rsid w:val="00C727D1"/>
    <w:rsid w:val="00C74392"/>
    <w:rsid w:val="00C75A77"/>
    <w:rsid w:val="00C75A9F"/>
    <w:rsid w:val="00C7624B"/>
    <w:rsid w:val="00C77A23"/>
    <w:rsid w:val="00C828B1"/>
    <w:rsid w:val="00C84D11"/>
    <w:rsid w:val="00C87065"/>
    <w:rsid w:val="00C87A9B"/>
    <w:rsid w:val="00C90409"/>
    <w:rsid w:val="00C91EC9"/>
    <w:rsid w:val="00C91F1A"/>
    <w:rsid w:val="00C929CB"/>
    <w:rsid w:val="00C95C7F"/>
    <w:rsid w:val="00C95DD8"/>
    <w:rsid w:val="00CA1460"/>
    <w:rsid w:val="00CA4413"/>
    <w:rsid w:val="00CA5FEE"/>
    <w:rsid w:val="00CC4BE5"/>
    <w:rsid w:val="00CC7B3E"/>
    <w:rsid w:val="00CD26C1"/>
    <w:rsid w:val="00CD2C7B"/>
    <w:rsid w:val="00CD2F67"/>
    <w:rsid w:val="00CD55BC"/>
    <w:rsid w:val="00CE3841"/>
    <w:rsid w:val="00CE5F21"/>
    <w:rsid w:val="00CE68D8"/>
    <w:rsid w:val="00CE7A68"/>
    <w:rsid w:val="00CF189D"/>
    <w:rsid w:val="00CF2799"/>
    <w:rsid w:val="00CF59B6"/>
    <w:rsid w:val="00CF7597"/>
    <w:rsid w:val="00D018C7"/>
    <w:rsid w:val="00D03FD8"/>
    <w:rsid w:val="00D129DC"/>
    <w:rsid w:val="00D13C01"/>
    <w:rsid w:val="00D145B3"/>
    <w:rsid w:val="00D15547"/>
    <w:rsid w:val="00D15CD5"/>
    <w:rsid w:val="00D16479"/>
    <w:rsid w:val="00D20287"/>
    <w:rsid w:val="00D21C1D"/>
    <w:rsid w:val="00D22A94"/>
    <w:rsid w:val="00D24437"/>
    <w:rsid w:val="00D24742"/>
    <w:rsid w:val="00D31616"/>
    <w:rsid w:val="00D3354F"/>
    <w:rsid w:val="00D357B2"/>
    <w:rsid w:val="00D41434"/>
    <w:rsid w:val="00D42362"/>
    <w:rsid w:val="00D52D47"/>
    <w:rsid w:val="00D551F3"/>
    <w:rsid w:val="00D563C3"/>
    <w:rsid w:val="00D62225"/>
    <w:rsid w:val="00D64028"/>
    <w:rsid w:val="00D66B91"/>
    <w:rsid w:val="00D67192"/>
    <w:rsid w:val="00D701C8"/>
    <w:rsid w:val="00D71949"/>
    <w:rsid w:val="00D75BD8"/>
    <w:rsid w:val="00D779D3"/>
    <w:rsid w:val="00D81119"/>
    <w:rsid w:val="00D84D64"/>
    <w:rsid w:val="00D9182D"/>
    <w:rsid w:val="00D9421D"/>
    <w:rsid w:val="00D94258"/>
    <w:rsid w:val="00D962E9"/>
    <w:rsid w:val="00D97EA6"/>
    <w:rsid w:val="00DA2F1F"/>
    <w:rsid w:val="00DA7FB0"/>
    <w:rsid w:val="00DB0473"/>
    <w:rsid w:val="00DB0BA5"/>
    <w:rsid w:val="00DB1483"/>
    <w:rsid w:val="00DC36C5"/>
    <w:rsid w:val="00DC5696"/>
    <w:rsid w:val="00DC6649"/>
    <w:rsid w:val="00DD10E0"/>
    <w:rsid w:val="00DD2647"/>
    <w:rsid w:val="00DD3D2C"/>
    <w:rsid w:val="00DE245B"/>
    <w:rsid w:val="00DE3AEA"/>
    <w:rsid w:val="00DE40B4"/>
    <w:rsid w:val="00DE70BC"/>
    <w:rsid w:val="00DF077C"/>
    <w:rsid w:val="00DF10B6"/>
    <w:rsid w:val="00DF2C37"/>
    <w:rsid w:val="00DF53B3"/>
    <w:rsid w:val="00DF6533"/>
    <w:rsid w:val="00DF7161"/>
    <w:rsid w:val="00E10CF5"/>
    <w:rsid w:val="00E11A64"/>
    <w:rsid w:val="00E120D0"/>
    <w:rsid w:val="00E140BA"/>
    <w:rsid w:val="00E148CA"/>
    <w:rsid w:val="00E17689"/>
    <w:rsid w:val="00E22247"/>
    <w:rsid w:val="00E2345B"/>
    <w:rsid w:val="00E24C3C"/>
    <w:rsid w:val="00E24DD7"/>
    <w:rsid w:val="00E259E8"/>
    <w:rsid w:val="00E26E24"/>
    <w:rsid w:val="00E27206"/>
    <w:rsid w:val="00E30959"/>
    <w:rsid w:val="00E32240"/>
    <w:rsid w:val="00E35FB1"/>
    <w:rsid w:val="00E421E7"/>
    <w:rsid w:val="00E51C8C"/>
    <w:rsid w:val="00E5487E"/>
    <w:rsid w:val="00E561D8"/>
    <w:rsid w:val="00E60214"/>
    <w:rsid w:val="00E60A3B"/>
    <w:rsid w:val="00E60CA9"/>
    <w:rsid w:val="00E62CC5"/>
    <w:rsid w:val="00E64EF6"/>
    <w:rsid w:val="00E66C11"/>
    <w:rsid w:val="00E7003A"/>
    <w:rsid w:val="00E70511"/>
    <w:rsid w:val="00E81641"/>
    <w:rsid w:val="00E83350"/>
    <w:rsid w:val="00E845D2"/>
    <w:rsid w:val="00E84A8D"/>
    <w:rsid w:val="00E86424"/>
    <w:rsid w:val="00E868F9"/>
    <w:rsid w:val="00E92245"/>
    <w:rsid w:val="00E9496A"/>
    <w:rsid w:val="00E96A71"/>
    <w:rsid w:val="00EA0C4C"/>
    <w:rsid w:val="00EA0F26"/>
    <w:rsid w:val="00EA77C7"/>
    <w:rsid w:val="00EB2116"/>
    <w:rsid w:val="00EB4AAA"/>
    <w:rsid w:val="00EB73E8"/>
    <w:rsid w:val="00EC1D39"/>
    <w:rsid w:val="00EC305D"/>
    <w:rsid w:val="00EC3422"/>
    <w:rsid w:val="00ED3E6D"/>
    <w:rsid w:val="00ED47BE"/>
    <w:rsid w:val="00ED4B2C"/>
    <w:rsid w:val="00ED4DF9"/>
    <w:rsid w:val="00ED6CB8"/>
    <w:rsid w:val="00EE2083"/>
    <w:rsid w:val="00EF1982"/>
    <w:rsid w:val="00EF3D7A"/>
    <w:rsid w:val="00EF532D"/>
    <w:rsid w:val="00EF7119"/>
    <w:rsid w:val="00EF7A99"/>
    <w:rsid w:val="00F0179A"/>
    <w:rsid w:val="00F1009A"/>
    <w:rsid w:val="00F103E9"/>
    <w:rsid w:val="00F1358B"/>
    <w:rsid w:val="00F1605F"/>
    <w:rsid w:val="00F2013F"/>
    <w:rsid w:val="00F21885"/>
    <w:rsid w:val="00F24794"/>
    <w:rsid w:val="00F24946"/>
    <w:rsid w:val="00F2597A"/>
    <w:rsid w:val="00F264E7"/>
    <w:rsid w:val="00F30042"/>
    <w:rsid w:val="00F338F7"/>
    <w:rsid w:val="00F33E5A"/>
    <w:rsid w:val="00F3528F"/>
    <w:rsid w:val="00F369D0"/>
    <w:rsid w:val="00F36B7A"/>
    <w:rsid w:val="00F379AE"/>
    <w:rsid w:val="00F42850"/>
    <w:rsid w:val="00F42F0C"/>
    <w:rsid w:val="00F46017"/>
    <w:rsid w:val="00F4686A"/>
    <w:rsid w:val="00F50CC9"/>
    <w:rsid w:val="00F65D22"/>
    <w:rsid w:val="00F6637F"/>
    <w:rsid w:val="00F67397"/>
    <w:rsid w:val="00F6780C"/>
    <w:rsid w:val="00F72EC4"/>
    <w:rsid w:val="00F73C5E"/>
    <w:rsid w:val="00F75E1D"/>
    <w:rsid w:val="00F76EB3"/>
    <w:rsid w:val="00F87A6C"/>
    <w:rsid w:val="00F91799"/>
    <w:rsid w:val="00F95BD9"/>
    <w:rsid w:val="00F96EF9"/>
    <w:rsid w:val="00FA0FFA"/>
    <w:rsid w:val="00FB18F3"/>
    <w:rsid w:val="00FB1B7B"/>
    <w:rsid w:val="00FB4968"/>
    <w:rsid w:val="00FB6772"/>
    <w:rsid w:val="00FB7486"/>
    <w:rsid w:val="00FC404A"/>
    <w:rsid w:val="00FD1C65"/>
    <w:rsid w:val="00FD2C2E"/>
    <w:rsid w:val="00FD36A6"/>
    <w:rsid w:val="00FD45E7"/>
    <w:rsid w:val="00FD45F8"/>
    <w:rsid w:val="00FD624F"/>
    <w:rsid w:val="00FD7AE3"/>
    <w:rsid w:val="00FE1AE3"/>
    <w:rsid w:val="00FE2249"/>
    <w:rsid w:val="00FE2448"/>
    <w:rsid w:val="00FE2E8D"/>
    <w:rsid w:val="00FE6761"/>
    <w:rsid w:val="00FE7435"/>
    <w:rsid w:val="00FE7437"/>
    <w:rsid w:val="00FE7B4B"/>
    <w:rsid w:val="00FF0E20"/>
    <w:rsid w:val="00FF1D16"/>
    <w:rsid w:val="00FF4126"/>
    <w:rsid w:val="00FF4AA9"/>
    <w:rsid w:val="00FF4B01"/>
    <w:rsid w:val="00FF6221"/>
    <w:rsid w:val="03A63C29"/>
    <w:rsid w:val="05E553B2"/>
    <w:rsid w:val="18C736BA"/>
    <w:rsid w:val="6AE531C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kern w:val="2"/>
      <w:sz w:val="24"/>
      <w:szCs w:val="24"/>
      <w:lang w:val="en-US" w:eastAsia="zh-CN" w:bidi="ar-SA"/>
    </w:rPr>
  </w:style>
  <w:style w:type="paragraph" w:styleId="Heading1">
    <w:name w:val="heading 1"/>
    <w:basedOn w:val="Normal"/>
    <w:next w:val="Normal"/>
    <w:qFormat/>
    <w:pPr>
      <w:keepNext/>
      <w:keepLines/>
      <w:spacing w:before="120" w:beforeLines="0" w:line="480" w:lineRule="auto"/>
      <w:outlineLvl w:val="0"/>
    </w:pPr>
    <w:rPr>
      <w:rFonts w:ascii="Times New Roman" w:eastAsia="黑体" w:hAnsi="Times New Roman"/>
      <w:b/>
      <w:bCs/>
      <w:kern w:val="44"/>
      <w:sz w:val="30"/>
      <w:szCs w:val="44"/>
    </w:rPr>
  </w:style>
  <w:style w:type="paragraph" w:styleId="Heading2">
    <w:name w:val="heading 2"/>
    <w:basedOn w:val="Normal"/>
    <w:next w:val="Normal"/>
    <w:link w:val="2Char"/>
    <w:qFormat/>
    <w:pPr>
      <w:keepNext/>
      <w:keepLines/>
      <w:spacing w:before="120" w:beforeLines="0" w:after="120" w:afterLines="0" w:line="415" w:lineRule="auto"/>
      <w:outlineLvl w:val="1"/>
    </w:pPr>
    <w:rPr>
      <w:rFonts w:eastAsia="黑体"/>
      <w:b/>
      <w:bCs/>
      <w:sz w:val="28"/>
      <w:szCs w:val="32"/>
    </w:rPr>
  </w:style>
  <w:style w:type="paragraph" w:styleId="Heading3">
    <w:name w:val="heading 3"/>
    <w:basedOn w:val="Normal"/>
    <w:next w:val="Normal"/>
    <w:link w:val="3Char"/>
    <w:qFormat/>
    <w:pPr>
      <w:keepNext/>
      <w:keepLines/>
      <w:spacing w:before="260" w:beforeLines="0" w:after="260" w:afterLines="0" w:line="416" w:lineRule="auto"/>
      <w:outlineLvl w:val="2"/>
    </w:pPr>
    <w:rPr>
      <w:b/>
      <w:bCs/>
      <w:sz w:val="32"/>
      <w:szCs w:val="32"/>
    </w:rPr>
  </w:style>
  <w:style w:type="paragraph" w:styleId="Heading6">
    <w:name w:val="heading 6"/>
    <w:basedOn w:val="Normal"/>
    <w:next w:val="Normal"/>
    <w:link w:val="6Char"/>
    <w:qFormat/>
    <w:pPr>
      <w:keepNext/>
      <w:keepLines/>
      <w:spacing w:before="240" w:beforeLines="0" w:after="64" w:afterLines="0" w:line="320" w:lineRule="auto"/>
      <w:outlineLvl w:val="5"/>
    </w:pPr>
    <w:rPr>
      <w:rFonts w:ascii="Cambria" w:hAnsi="Cambria"/>
      <w:b/>
      <w:bCs/>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character" w:styleId="Hyperlink">
    <w:name w:val="Hyperlink"/>
    <w:uiPriority w:val="99"/>
    <w:rPr>
      <w:color w:val="0000FF"/>
      <w:u w:val="single"/>
    </w:rPr>
  </w:style>
  <w:style w:type="character" w:styleId="FollowedHyperlink">
    <w:name w:val="FollowedHyperlink"/>
    <w:uiPriority w:val="99"/>
    <w:unhideWhenUsed/>
    <w:rPr>
      <w:color w:val="800080"/>
      <w:u w:val="single"/>
    </w:rPr>
  </w:style>
  <w:style w:type="character" w:styleId="CommentReference">
    <w:name w:val="annotation reference"/>
    <w:rPr>
      <w:sz w:val="21"/>
      <w:szCs w:val="21"/>
    </w:rPr>
  </w:style>
  <w:style w:type="character" w:styleId="PageNumber">
    <w:name w:val="page number"/>
    <w:basedOn w:val="DefaultParagraphFont"/>
  </w:style>
  <w:style w:type="character" w:customStyle="1" w:styleId="Char">
    <w:name w:val="批注框文本 Char"/>
    <w:link w:val="BalloonText"/>
    <w:rPr>
      <w:kern w:val="2"/>
      <w:sz w:val="18"/>
      <w:szCs w:val="18"/>
    </w:rPr>
  </w:style>
  <w:style w:type="character" w:customStyle="1" w:styleId="2Char">
    <w:name w:val="标题 2 Char"/>
    <w:link w:val="Heading2"/>
    <w:rPr>
      <w:rFonts w:eastAsia="黑体" w:cs="Times New Roman"/>
      <w:b/>
      <w:bCs/>
      <w:kern w:val="2"/>
      <w:sz w:val="28"/>
      <w:szCs w:val="32"/>
    </w:rPr>
  </w:style>
  <w:style w:type="character" w:customStyle="1" w:styleId="Char0">
    <w:name w:val="批注文字 Char"/>
    <w:link w:val="CommentText"/>
    <w:rPr>
      <w:kern w:val="2"/>
      <w:sz w:val="21"/>
      <w:szCs w:val="24"/>
    </w:rPr>
  </w:style>
  <w:style w:type="character" w:customStyle="1" w:styleId="Char1">
    <w:name w:val="页眉 Char"/>
    <w:link w:val="Header"/>
    <w:rPr>
      <w:kern w:val="2"/>
      <w:sz w:val="18"/>
      <w:szCs w:val="18"/>
    </w:rPr>
  </w:style>
  <w:style w:type="character" w:customStyle="1" w:styleId="Char2">
    <w:name w:val="页脚 Char"/>
    <w:link w:val="Footer"/>
    <w:uiPriority w:val="99"/>
    <w:rPr>
      <w:kern w:val="2"/>
      <w:sz w:val="18"/>
      <w:szCs w:val="18"/>
    </w:rPr>
  </w:style>
  <w:style w:type="character" w:customStyle="1" w:styleId="6Char">
    <w:name w:val="标题 6 Char"/>
    <w:link w:val="Heading6"/>
    <w:rPr>
      <w:rFonts w:ascii="Cambria" w:eastAsia="宋体" w:hAnsi="Cambria" w:cs="Times New Roman"/>
      <w:b/>
      <w:bCs/>
      <w:kern w:val="2"/>
      <w:sz w:val="24"/>
      <w:szCs w:val="24"/>
    </w:rPr>
  </w:style>
  <w:style w:type="character" w:customStyle="1" w:styleId="3Char">
    <w:name w:val="标题 3 Char"/>
    <w:link w:val="Heading3"/>
    <w:rPr>
      <w:b/>
      <w:bCs/>
      <w:kern w:val="2"/>
      <w:sz w:val="32"/>
      <w:szCs w:val="32"/>
    </w:rPr>
  </w:style>
  <w:style w:type="character" w:customStyle="1" w:styleId="Char3">
    <w:name w:val="正文文本 Char"/>
    <w:link w:val="BodyText"/>
    <w:rPr>
      <w:kern w:val="2"/>
      <w:sz w:val="24"/>
      <w:szCs w:val="24"/>
    </w:rPr>
  </w:style>
  <w:style w:type="character" w:customStyle="1" w:styleId="Char4">
    <w:name w:val="宏文本 Char"/>
    <w:link w:val="Macro"/>
    <w:rPr>
      <w:rFonts w:ascii="Courier New" w:hAnsi="Courier New"/>
      <w:lang w:bidi="he-IL"/>
    </w:rPr>
  </w:style>
  <w:style w:type="character" w:customStyle="1" w:styleId="Char5">
    <w:name w:val="批注主题 Char"/>
    <w:link w:val="CommentSubject"/>
    <w:rPr>
      <w:b/>
      <w:bCs/>
      <w:kern w:val="2"/>
      <w:sz w:val="21"/>
      <w:szCs w:val="24"/>
    </w:rPr>
  </w:style>
  <w:style w:type="character" w:customStyle="1" w:styleId="a">
    <w:name w:val="页脚 字符"/>
    <w:uiPriority w:val="99"/>
  </w:style>
  <w:style w:type="paragraph" w:styleId="Macro">
    <w:name w:val="macro"/>
    <w:basedOn w:val="Normal"/>
    <w:link w:val="Char4"/>
    <w:pPr>
      <w:widowControl/>
      <w:ind w:left="1080"/>
      <w:jc w:val="left"/>
    </w:pPr>
    <w:rPr>
      <w:rFonts w:ascii="Courier New" w:hAnsi="Courier New"/>
      <w:kern w:val="0"/>
      <w:sz w:val="20"/>
      <w:szCs w:val="20"/>
      <w:lang w:bidi="he-IL"/>
    </w:rPr>
  </w:style>
  <w:style w:type="paragraph" w:styleId="BodyTextIndent">
    <w:name w:val="Body Text Indent"/>
    <w:basedOn w:val="Normal"/>
    <w:pPr>
      <w:ind w:firstLine="560" w:firstLineChars="200"/>
    </w:pPr>
    <w:rPr>
      <w:sz w:val="28"/>
    </w:rPr>
  </w:style>
  <w:style w:type="paragraph" w:styleId="CommentSubject">
    <w:name w:val="annotation subject"/>
    <w:basedOn w:val="CommentText"/>
    <w:next w:val="CommentText"/>
    <w:link w:val="Char5"/>
    <w:rPr>
      <w:b/>
      <w:bCs/>
    </w:rPr>
  </w:style>
  <w:style w:type="paragraph" w:styleId="TOC7">
    <w:name w:val="toc 7"/>
    <w:basedOn w:val="Normal"/>
    <w:next w:val="Normal"/>
    <w:pPr>
      <w:ind w:left="1440"/>
      <w:jc w:val="left"/>
    </w:pPr>
    <w:rPr>
      <w:rFonts w:ascii="等线" w:eastAsia="等线"/>
      <w:sz w:val="18"/>
      <w:szCs w:val="18"/>
    </w:rPr>
  </w:style>
  <w:style w:type="paragraph" w:styleId="DocumentMap">
    <w:name w:val="Document Map"/>
    <w:basedOn w:val="Normal"/>
    <w:pPr>
      <w:shd w:val="clear" w:color="auto" w:fill="000080"/>
    </w:pPr>
  </w:style>
  <w:style w:type="paragraph" w:styleId="CommentText">
    <w:name w:val="annotation text"/>
    <w:basedOn w:val="Normal"/>
    <w:link w:val="Char0"/>
    <w:pPr>
      <w:jc w:val="left"/>
    </w:pPr>
    <w:rPr>
      <w:sz w:val="21"/>
    </w:rPr>
  </w:style>
  <w:style w:type="paragraph" w:styleId="BodyText">
    <w:name w:val="Body Text"/>
    <w:basedOn w:val="Normal"/>
    <w:link w:val="Char3"/>
    <w:pPr>
      <w:spacing w:after="120" w:afterLines="0"/>
    </w:pPr>
  </w:style>
  <w:style w:type="paragraph" w:styleId="NormalIndent">
    <w:name w:val="Normal Indent"/>
    <w:basedOn w:val="Normal"/>
    <w:pPr>
      <w:spacing w:line="460" w:lineRule="exact"/>
      <w:ind w:firstLine="480" w:firstLineChars="200"/>
    </w:pPr>
  </w:style>
  <w:style w:type="paragraph" w:styleId="TOC5">
    <w:name w:val="toc 5"/>
    <w:basedOn w:val="Normal"/>
    <w:next w:val="Normal"/>
    <w:pPr>
      <w:ind w:left="960"/>
      <w:jc w:val="left"/>
    </w:pPr>
    <w:rPr>
      <w:rFonts w:ascii="等线" w:eastAsia="等线"/>
      <w:sz w:val="18"/>
      <w:szCs w:val="18"/>
    </w:rPr>
  </w:style>
  <w:style w:type="paragraph" w:styleId="TOC4">
    <w:name w:val="toc 4"/>
    <w:basedOn w:val="Normal"/>
    <w:next w:val="Normal"/>
    <w:pPr>
      <w:ind w:left="720"/>
      <w:jc w:val="left"/>
    </w:pPr>
    <w:rPr>
      <w:rFonts w:ascii="等线" w:eastAsia="等线"/>
      <w:sz w:val="18"/>
      <w:szCs w:val="18"/>
    </w:rPr>
  </w:style>
  <w:style w:type="paragraph" w:styleId="BalloonText">
    <w:name w:val="Balloon Text"/>
    <w:basedOn w:val="Normal"/>
    <w:link w:val="Char"/>
    <w:rPr>
      <w:sz w:val="18"/>
      <w:szCs w:val="18"/>
    </w:rPr>
  </w:style>
  <w:style w:type="paragraph" w:styleId="Index1">
    <w:name w:val="index 1"/>
    <w:basedOn w:val="Normal"/>
    <w:next w:val="Normal"/>
    <w:pPr>
      <w:spacing w:line="240" w:lineRule="auto"/>
    </w:pPr>
    <w:rPr>
      <w:sz w:val="21"/>
    </w:rPr>
  </w:style>
  <w:style w:type="paragraph" w:styleId="TOC3">
    <w:name w:val="toc 3"/>
    <w:basedOn w:val="Normal"/>
    <w:next w:val="Normal"/>
    <w:pPr>
      <w:ind w:left="480"/>
      <w:jc w:val="left"/>
    </w:pPr>
    <w:rPr>
      <w:rFonts w:ascii="等线" w:eastAsia="等线"/>
      <w:i/>
      <w:iCs/>
      <w:sz w:val="20"/>
      <w:szCs w:val="20"/>
    </w:rPr>
  </w:style>
  <w:style w:type="paragraph" w:styleId="TOC2">
    <w:name w:val="toc 2"/>
    <w:basedOn w:val="Normal"/>
    <w:next w:val="Normal"/>
    <w:uiPriority w:val="39"/>
    <w:pPr>
      <w:ind w:left="240"/>
      <w:jc w:val="left"/>
    </w:pPr>
    <w:rPr>
      <w:rFonts w:ascii="等线" w:eastAsia="等线"/>
      <w:smallCaps/>
      <w:sz w:val="20"/>
      <w:szCs w:val="20"/>
    </w:rPr>
  </w:style>
  <w:style w:type="paragraph" w:styleId="PlainText">
    <w:name w:val="Plain Text"/>
    <w:basedOn w:val="Normal"/>
    <w:rPr>
      <w:rFonts w:ascii="宋体" w:hAnsi="Courier New"/>
      <w:szCs w:val="20"/>
    </w:rPr>
  </w:style>
  <w:style w:type="paragraph" w:styleId="NormalWeb">
    <w:name w:val="Normal (Web)"/>
    <w:basedOn w:val="Normal"/>
    <w:uiPriority w:val="99"/>
    <w:unhideWhenUsed/>
    <w:pPr>
      <w:widowControl/>
      <w:spacing w:before="100" w:beforeAutospacing="1" w:after="100" w:afterAutospacing="1" w:line="240" w:lineRule="auto"/>
      <w:jc w:val="left"/>
    </w:pPr>
    <w:rPr>
      <w:rFonts w:ascii="宋体" w:hAnsi="宋体" w:cs="宋体"/>
      <w:kern w:val="0"/>
    </w:rPr>
  </w:style>
  <w:style w:type="paragraph" w:styleId="TOC8">
    <w:name w:val="toc 8"/>
    <w:basedOn w:val="Normal"/>
    <w:next w:val="Normal"/>
    <w:pPr>
      <w:ind w:left="1680"/>
      <w:jc w:val="left"/>
    </w:pPr>
    <w:rPr>
      <w:rFonts w:ascii="等线" w:eastAsia="等线"/>
      <w:sz w:val="18"/>
      <w:szCs w:val="18"/>
    </w:rPr>
  </w:style>
  <w:style w:type="paragraph" w:styleId="TOC9">
    <w:name w:val="toc 9"/>
    <w:basedOn w:val="Normal"/>
    <w:next w:val="Normal"/>
    <w:pPr>
      <w:ind w:left="1920"/>
      <w:jc w:val="left"/>
    </w:pPr>
    <w:rPr>
      <w:rFonts w:ascii="等线" w:eastAsia="等线"/>
      <w:sz w:val="18"/>
      <w:szCs w:val="18"/>
    </w:rPr>
  </w:style>
  <w:style w:type="paragraph" w:styleId="Footer">
    <w:name w:val="footer"/>
    <w:basedOn w:val="Normal"/>
    <w:link w:val="Char2"/>
    <w:uiPriority w:val="99"/>
    <w:pPr>
      <w:tabs>
        <w:tab w:val="center" w:pos="4153"/>
        <w:tab w:val="right" w:pos="8306"/>
      </w:tabs>
      <w:snapToGrid w:val="0"/>
      <w:jc w:val="left"/>
    </w:pPr>
    <w:rPr>
      <w:sz w:val="18"/>
      <w:szCs w:val="18"/>
    </w:rPr>
  </w:style>
  <w:style w:type="paragraph" w:styleId="BodyTextIndent2">
    <w:name w:val="Body Text Indent 2"/>
    <w:basedOn w:val="Normal"/>
    <w:pPr>
      <w:ind w:firstLine="420"/>
    </w:pPr>
    <w:rPr>
      <w:sz w:val="28"/>
    </w:rPr>
  </w:style>
  <w:style w:type="paragraph" w:styleId="Date">
    <w:name w:val="Date"/>
    <w:basedOn w:val="Normal"/>
    <w:next w:val="Normal"/>
    <w:pPr>
      <w:ind w:left="100" w:leftChars="2500"/>
    </w:pPr>
  </w:style>
  <w:style w:type="paragraph" w:styleId="TOC1">
    <w:name w:val="toc 1"/>
    <w:basedOn w:val="Normal"/>
    <w:next w:val="Normal"/>
    <w:uiPriority w:val="39"/>
    <w:pPr>
      <w:spacing w:before="120" w:after="120"/>
      <w:jc w:val="left"/>
    </w:pPr>
    <w:rPr>
      <w:rFonts w:ascii="等线" w:eastAsia="等线"/>
      <w:b/>
      <w:bCs/>
      <w:caps/>
      <w:sz w:val="20"/>
      <w:szCs w:val="20"/>
    </w:rPr>
  </w:style>
  <w:style w:type="paragraph" w:styleId="Header">
    <w:name w:val="header"/>
    <w:basedOn w:val="Normal"/>
    <w:link w:val="Char1"/>
    <w:pPr>
      <w:pBdr>
        <w:bottom w:val="single" w:sz="6" w:space="1" w:color="auto"/>
      </w:pBdr>
      <w:tabs>
        <w:tab w:val="center" w:pos="4153"/>
        <w:tab w:val="right" w:pos="8306"/>
      </w:tabs>
      <w:snapToGrid w:val="0"/>
      <w:jc w:val="center"/>
    </w:pPr>
    <w:rPr>
      <w:sz w:val="18"/>
      <w:szCs w:val="18"/>
    </w:rPr>
  </w:style>
  <w:style w:type="paragraph" w:styleId="TOC6">
    <w:name w:val="toc 6"/>
    <w:basedOn w:val="Normal"/>
    <w:next w:val="Normal"/>
    <w:pPr>
      <w:ind w:left="1200"/>
      <w:jc w:val="left"/>
    </w:pPr>
    <w:rPr>
      <w:rFonts w:ascii="等线" w:eastAsia="等线"/>
      <w:sz w:val="18"/>
      <w:szCs w:val="18"/>
    </w:rPr>
  </w:style>
  <w:style w:type="paragraph" w:customStyle="1" w:styleId="a0">
    <w:name w:val="表格"/>
    <w:basedOn w:val="Normal"/>
    <w:pPr>
      <w:adjustRightInd w:val="0"/>
      <w:snapToGrid w:val="0"/>
      <w:spacing w:line="240" w:lineRule="auto"/>
      <w:jc w:val="center"/>
    </w:pPr>
    <w:rPr>
      <w:rFonts w:ascii="仿宋" w:eastAsia="仿宋" w:hAnsi="仿宋"/>
      <w:sz w:val="21"/>
      <w:szCs w:val="21"/>
    </w:rPr>
  </w:style>
  <w:style w:type="paragraph" w:customStyle="1" w:styleId="msonormal">
    <w:name w:val="msonormal"/>
    <w:basedOn w:val="Normal"/>
    <w:pPr>
      <w:widowControl/>
      <w:spacing w:before="100" w:beforeAutospacing="1" w:after="100" w:afterAutospacing="1" w:line="240" w:lineRule="auto"/>
      <w:jc w:val="left"/>
    </w:pPr>
    <w:rPr>
      <w:rFonts w:ascii="宋体" w:hAnsi="宋体" w:cs="宋体"/>
      <w:kern w:val="0"/>
    </w:rPr>
  </w:style>
  <w:style w:type="paragraph" w:customStyle="1" w:styleId="xl71">
    <w:name w:val="xl7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styleId="TOCHeading">
    <w:name w:val="TOC Heading"/>
    <w:basedOn w:val="Heading1"/>
    <w:next w:val="Normal"/>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font5">
    <w:name w:val="font5"/>
    <w:basedOn w:val="Normal"/>
    <w:pPr>
      <w:widowControl/>
      <w:spacing w:before="100" w:beforeAutospacing="1" w:after="100" w:afterAutospacing="1" w:line="240" w:lineRule="auto"/>
      <w:jc w:val="left"/>
    </w:pPr>
    <w:rPr>
      <w:rFonts w:ascii="宋体" w:hAnsi="宋体" w:cs="宋体"/>
      <w:kern w:val="0"/>
      <w:sz w:val="18"/>
      <w:szCs w:val="18"/>
    </w:rPr>
  </w:style>
  <w:style w:type="paragraph" w:customStyle="1" w:styleId="xl66">
    <w:name w:val="xl66"/>
    <w:basedOn w:val="Normal"/>
    <w:pPr>
      <w:widowControl/>
      <w:spacing w:before="100" w:beforeAutospacing="1" w:after="100" w:afterAutospacing="1" w:line="240" w:lineRule="auto"/>
      <w:jc w:val="center"/>
    </w:pPr>
    <w:rPr>
      <w:rFonts w:ascii="宋体" w:hAnsi="宋体" w:cs="宋体"/>
      <w:kern w:val="0"/>
    </w:rPr>
  </w:style>
  <w:style w:type="paragraph" w:customStyle="1" w:styleId="2">
    <w:name w:val="封2注意事项"/>
    <w:pPr>
      <w:numPr>
        <w:ilvl w:val="0"/>
        <w:numId w:val="1"/>
      </w:numPr>
      <w:spacing w:line="480" w:lineRule="auto"/>
    </w:pPr>
    <w:rPr>
      <w:rFonts w:hAnsi="宋体" w:cs="宋体"/>
      <w:kern w:val="2"/>
      <w:sz w:val="28"/>
      <w:lang w:val="en-US" w:eastAsia="zh-CN" w:bidi="ar-SA"/>
    </w:rPr>
  </w:style>
  <w:style w:type="paragraph" w:customStyle="1" w:styleId="Char6">
    <w:name w:val=" Char"/>
    <w:basedOn w:val="Normal"/>
    <w:pPr>
      <w:spacing w:line="240" w:lineRule="auto"/>
    </w:pPr>
  </w:style>
  <w:style w:type="paragraph" w:customStyle="1" w:styleId="xl76">
    <w:name w:val="xl76"/>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1">
    <w:name w:val="xl81"/>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68">
    <w:name w:val="xl68"/>
    <w:basedOn w:val="Normal"/>
    <w:pPr>
      <w:widowControl/>
      <w:spacing w:before="100" w:beforeAutospacing="1" w:after="100" w:afterAutospacing="1" w:line="240" w:lineRule="auto"/>
      <w:jc w:val="center"/>
    </w:pPr>
    <w:rPr>
      <w:rFonts w:ascii="宋体" w:hAnsi="宋体" w:cs="宋体"/>
      <w:kern w:val="0"/>
    </w:rPr>
  </w:style>
  <w:style w:type="paragraph" w:customStyle="1" w:styleId="xl79">
    <w:name w:val="xl79"/>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0">
    <w:name w:val="xl80"/>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3">
    <w:name w:val="xl73"/>
    <w:basedOn w:val="Normal"/>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1">
    <w:name w:val="封面内容1"/>
    <w:basedOn w:val="Normal"/>
    <w:pPr>
      <w:spacing w:line="480" w:lineRule="auto"/>
      <w:ind w:firstLine="1799" w:firstLineChars="560"/>
    </w:pPr>
    <w:rPr>
      <w:rFonts w:eastAsia="仿宋_GB2312"/>
      <w:b/>
      <w:bCs/>
      <w:sz w:val="32"/>
    </w:rPr>
  </w:style>
  <w:style w:type="paragraph" w:customStyle="1" w:styleId="xl78">
    <w:name w:val="xl78"/>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4">
    <w:name w:val="xl84"/>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5">
    <w:name w:val="xl85"/>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0">
    <w:name w:val="xl7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75">
    <w:name w:val="xl75"/>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0">
    <w:name w:val="封面标题1"/>
    <w:next w:val="Normal"/>
    <w:pPr>
      <w:spacing w:line="360" w:lineRule="auto"/>
      <w:jc w:val="center"/>
    </w:pPr>
    <w:rPr>
      <w:rFonts w:hAnsi="宋体"/>
      <w:b/>
      <w:bCs/>
      <w:spacing w:val="30"/>
      <w:kern w:val="2"/>
      <w:sz w:val="44"/>
      <w:szCs w:val="44"/>
      <w:lang w:val="en-US" w:eastAsia="zh-CN" w:bidi="ar-SA"/>
    </w:rPr>
  </w:style>
  <w:style w:type="paragraph" w:customStyle="1" w:styleId="xl72">
    <w:name w:val="xl7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styleId="ListParagraph">
    <w:name w:val="List Paragraph"/>
    <w:basedOn w:val="Normal"/>
    <w:qFormat/>
    <w:pPr>
      <w:ind w:firstLine="420" w:firstLineChars="200"/>
    </w:pPr>
  </w:style>
  <w:style w:type="paragraph" w:customStyle="1" w:styleId="xl69">
    <w:name w:val="xl69"/>
    <w:basedOn w:val="Normal"/>
    <w:pPr>
      <w:widowControl/>
      <w:spacing w:before="100" w:beforeAutospacing="1" w:after="100" w:afterAutospacing="1" w:line="240" w:lineRule="auto"/>
      <w:jc w:val="center"/>
    </w:pPr>
    <w:rPr>
      <w:rFonts w:ascii="宋体" w:hAnsi="宋体" w:cs="宋体"/>
      <w:kern w:val="0"/>
    </w:rPr>
  </w:style>
  <w:style w:type="paragraph" w:customStyle="1" w:styleId="xl67">
    <w:name w:val="xl6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xl65">
    <w:name w:val="xl6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
    <w:name w:val="_Style 1"/>
    <w:basedOn w:val="Normal"/>
    <w:qFormat/>
    <w:pPr>
      <w:ind w:firstLine="420" w:firstLineChars="200"/>
    </w:pPr>
  </w:style>
  <w:style w:type="paragraph" w:customStyle="1" w:styleId="xl77">
    <w:name w:val="xl77"/>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a1">
    <w:name w:val="封三责任表"/>
    <w:pPr>
      <w:spacing w:line="360" w:lineRule="auto"/>
      <w:ind w:firstLine="1400" w:firstLineChars="500"/>
    </w:pPr>
    <w:rPr>
      <w:rFonts w:cs="宋体"/>
      <w:kern w:val="2"/>
      <w:sz w:val="28"/>
      <w:lang w:val="en-US" w:eastAsia="zh-CN" w:bidi="ar-SA"/>
    </w:rPr>
  </w:style>
  <w:style w:type="paragraph" w:customStyle="1" w:styleId="xl82">
    <w:name w:val="xl82"/>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3">
    <w:name w:val="xl83"/>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4">
    <w:name w:val="xl74"/>
    <w:basedOn w:val="Normal"/>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font6">
    <w:name w:val="font6"/>
    <w:basedOn w:val="Normal"/>
    <w:pPr>
      <w:widowControl/>
      <w:spacing w:before="100" w:beforeAutospacing="1" w:after="100" w:afterAutospacing="1" w:line="240" w:lineRule="auto"/>
      <w:jc w:val="left"/>
    </w:pPr>
    <w:rPr>
      <w:rFonts w:ascii="宋体" w:hAnsi="宋体" w:cs="宋体"/>
      <w:b/>
      <w:bCs/>
      <w:kern w:val="0"/>
    </w:rPr>
  </w:style>
  <w:style w:type="paragraph" w:customStyle="1" w:styleId="0">
    <w:name w:val="正文_0"/>
    <w:qFormat/>
    <w:pPr>
      <w:widowControl w:val="0"/>
      <w:spacing w:line="360" w:lineRule="auto"/>
      <w:jc w:val="both"/>
    </w:pPr>
    <w:rPr>
      <w:kern w:val="2"/>
      <w:sz w:val="24"/>
      <w:szCs w:val="24"/>
      <w:lang w:val="en-US" w:eastAsia="zh-CN" w:bidi="ar-SA"/>
    </w:rPr>
  </w:style>
  <w:style w:type="character" w:customStyle="1" w:styleId="00">
    <w:name w:val="超链接_0"/>
    <w:uiPriority w:val="99"/>
    <w:rPr>
      <w:color w:val="0000FF"/>
      <w:u w:val="single"/>
    </w:rPr>
  </w:style>
  <w:style w:type="paragraph" w:customStyle="1" w:styleId="100">
    <w:name w:val="目录 1_0"/>
    <w:basedOn w:val="0"/>
    <w:next w:val="0"/>
    <w:uiPriority w:val="39"/>
    <w:qFormat/>
    <w:pPr>
      <w:spacing w:before="120" w:after="120"/>
      <w:jc w:val="left"/>
    </w:pPr>
    <w:rPr>
      <w:rFonts w:ascii="等线" w:eastAsia="等线"/>
      <w:b/>
      <w:bCs/>
      <w:caps/>
      <w:sz w:val="20"/>
      <w:szCs w:val="20"/>
    </w:rPr>
  </w:style>
  <w:style w:type="paragraph" w:customStyle="1" w:styleId="20">
    <w:name w:val="目录 2_0"/>
    <w:basedOn w:val="0"/>
    <w:next w:val="0"/>
    <w:uiPriority w:val="39"/>
    <w:qFormat/>
    <w:pPr>
      <w:ind w:left="240"/>
      <w:jc w:val="left"/>
    </w:pPr>
    <w:rPr>
      <w:rFonts w:ascii="等线" w:eastAsia="等线"/>
      <w:smallCaps/>
      <w:sz w:val="20"/>
      <w:szCs w:val="20"/>
    </w:rPr>
  </w:style>
  <w:style w:type="paragraph" w:customStyle="1" w:styleId="01">
    <w:name w:val="页脚_0"/>
    <w:basedOn w:val="0"/>
    <w:link w:val="Char00"/>
    <w:uiPriority w:val="99"/>
    <w:pPr>
      <w:tabs>
        <w:tab w:val="center" w:pos="4153"/>
        <w:tab w:val="right" w:pos="8306"/>
      </w:tabs>
      <w:snapToGrid w:val="0"/>
      <w:jc w:val="left"/>
    </w:pPr>
    <w:rPr>
      <w:sz w:val="18"/>
      <w:szCs w:val="18"/>
    </w:rPr>
  </w:style>
  <w:style w:type="character" w:customStyle="1" w:styleId="Char00">
    <w:name w:val="页脚 Char_0"/>
    <w:link w:val="01"/>
    <w:rPr>
      <w:kern w:val="2"/>
      <w:sz w:val="18"/>
      <w:szCs w:val="18"/>
    </w:rPr>
  </w:style>
  <w:style w:type="paragraph" w:customStyle="1" w:styleId="101">
    <w:name w:val="标题 1_0"/>
    <w:basedOn w:val="0"/>
    <w:next w:val="0"/>
    <w:qFormat/>
    <w:pPr>
      <w:keepNext/>
      <w:keepLines/>
      <w:spacing w:before="120" w:beforeLines="0" w:line="480" w:lineRule="auto"/>
      <w:outlineLvl w:val="0"/>
    </w:pPr>
    <w:rPr>
      <w:rFonts w:ascii="Times New Roman" w:eastAsia="黑体" w:hAnsi="Times New Roman"/>
      <w:b/>
      <w:bCs/>
      <w:kern w:val="44"/>
      <w:sz w:val="30"/>
      <w:szCs w:val="44"/>
    </w:rPr>
  </w:style>
  <w:style w:type="paragraph" w:customStyle="1" w:styleId="02">
    <w:name w:val="表格_0"/>
    <w:basedOn w:val="0"/>
    <w:pPr>
      <w:adjustRightInd w:val="0"/>
      <w:snapToGrid w:val="0"/>
      <w:spacing w:line="240" w:lineRule="auto"/>
      <w:jc w:val="center"/>
    </w:pPr>
    <w:rPr>
      <w:rFonts w:ascii="仿宋" w:eastAsia="仿宋" w:hAnsi="仿宋"/>
      <w:sz w:val="21"/>
      <w:szCs w:val="21"/>
    </w:rPr>
  </w:style>
  <w:style w:type="paragraph" w:customStyle="1" w:styleId="200">
    <w:name w:val="标题 2_0"/>
    <w:basedOn w:val="0"/>
    <w:next w:val="0"/>
    <w:link w:val="2Char0"/>
    <w:uiPriority w:val="9"/>
    <w:qFormat/>
    <w:pPr>
      <w:keepNext/>
      <w:keepLines/>
      <w:spacing w:before="120" w:beforeLines="0" w:after="120" w:afterLines="0" w:line="415" w:lineRule="auto"/>
      <w:outlineLvl w:val="1"/>
    </w:pPr>
    <w:rPr>
      <w:rFonts w:eastAsia="黑体"/>
      <w:b/>
      <w:bCs/>
      <w:sz w:val="28"/>
      <w:szCs w:val="32"/>
    </w:rPr>
  </w:style>
  <w:style w:type="character" w:customStyle="1" w:styleId="2Char0">
    <w:name w:val="标题 2 Char_0"/>
    <w:link w:val="200"/>
    <w:uiPriority w:val="9"/>
    <w:rPr>
      <w:rFonts w:eastAsia="黑体" w:cs="Times New Roman"/>
      <w:b/>
      <w:bCs/>
      <w:kern w:val="2"/>
      <w:sz w:val="28"/>
      <w:szCs w:val="32"/>
    </w:rPr>
  </w:style>
  <w:style w:type="paragraph" w:customStyle="1" w:styleId="000">
    <w:name w:val="正文_0_0"/>
    <w:qFormat/>
    <w:pPr>
      <w:widowControl w:val="0"/>
      <w:spacing w:line="360" w:lineRule="auto"/>
      <w:jc w:val="both"/>
    </w:pPr>
    <w:rPr>
      <w:kern w:val="2"/>
      <w:sz w:val="24"/>
      <w:szCs w:val="24"/>
      <w:lang w:val="en-US" w:eastAsia="zh-CN" w:bidi="ar-SA"/>
    </w:rPr>
  </w:style>
  <w:style w:type="paragraph" w:customStyle="1" w:styleId="201">
    <w:name w:val="正文文本缩进 2_0"/>
    <w:basedOn w:val="0"/>
    <w:pPr>
      <w:ind w:firstLine="420"/>
    </w:pPr>
    <w:rPr>
      <w:sz w:val="28"/>
    </w:rPr>
  </w:style>
  <w:style w:type="paragraph" w:customStyle="1" w:styleId="11">
    <w:name w:val="正文_1"/>
    <w:qFormat/>
    <w:pPr>
      <w:widowControl w:val="0"/>
      <w:spacing w:line="360" w:lineRule="auto"/>
      <w:jc w:val="both"/>
    </w:pPr>
    <w:rPr>
      <w:kern w:val="2"/>
      <w:sz w:val="24"/>
      <w:szCs w:val="24"/>
      <w:lang w:val="en-US" w:eastAsia="zh-CN" w:bidi="ar-SA"/>
    </w:rPr>
  </w:style>
  <w:style w:type="paragraph" w:customStyle="1" w:styleId="21">
    <w:name w:val="正文_2"/>
    <w:qFormat/>
    <w:pPr>
      <w:widowControl w:val="0"/>
      <w:spacing w:line="360" w:lineRule="auto"/>
      <w:jc w:val="both"/>
    </w:pPr>
    <w:rPr>
      <w:kern w:val="2"/>
      <w:sz w:val="24"/>
      <w:szCs w:val="24"/>
      <w:lang w:val="en-US" w:eastAsia="zh-CN" w:bidi="ar-SA"/>
    </w:rPr>
  </w:style>
  <w:style w:type="paragraph" w:customStyle="1" w:styleId="3">
    <w:name w:val="正文_3"/>
    <w:qFormat/>
    <w:pPr>
      <w:widowControl w:val="0"/>
      <w:spacing w:line="360" w:lineRule="auto"/>
      <w:jc w:val="both"/>
    </w:pPr>
    <w:rPr>
      <w:kern w:val="2"/>
      <w:sz w:val="24"/>
      <w:szCs w:val="24"/>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1.bin" /><Relationship Id="rId12" Type="http://schemas.openxmlformats.org/officeDocument/2006/relationships/image" Target="media/image4.png"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image" Target="media/image5.png" /><Relationship Id="rId16" Type="http://schemas.openxmlformats.org/officeDocument/2006/relationships/header" Target="header4.xml" /><Relationship Id="rId17" Type="http://schemas.openxmlformats.org/officeDocument/2006/relationships/footer" Target="footer4.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Normal</Template>
  <TotalTime>0</TotalTime>
  <Pages>13</Pages>
  <Words>850</Words>
  <Characters>4845</Characters>
  <Application>Microsoft Office Word</Application>
  <DocSecurity>0</DocSecurity>
  <Lines>40</Lines>
  <Paragraphs>11</Paragraphs>
  <ScaleCrop>false</ScaleCrop>
  <Company>NJ-GEO</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中交路桥技术有限公司</dc:title>
  <dc:creator>薛陶</dc:creator>
  <cp:lastModifiedBy>Administrator</cp:lastModifiedBy>
  <cp:revision>824</cp:revision>
  <cp:lastPrinted>2016-09-05T07:36:00Z</cp:lastPrinted>
  <dcterms:created xsi:type="dcterms:W3CDTF">2014-05-07T07:22:00Z</dcterms:created>
  <dcterms:modified xsi:type="dcterms:W3CDTF">2019-01-08T10:46:37Z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