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40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D2137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12121"/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aps/>
          <w:color w:val="90A4AE"/>
          <w:sz w:val="22"/>
          <w:szCs w:val="22"/>
        </w:rPr>
        <w:t xml:space="preserve">ZAALIMA DEVELOPMENT PVT. LTD.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90A4AE"/>
          <w:sz w:val="20"/>
          <w:szCs w:val="20"/>
        </w:rPr>
        <w:t xml:space="preserve">Data Science &amp; Machine Learning Internship  ·  Project 1</w:t>
      </w:r>
    </w:p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0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00BCD4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12121"/>
                <w:sz w:val="2"/>
                <w:szCs w:val="2"/>
              </w:rPr>
              <w:t xml:space="preserve"/>
            </w:r>
          </w:p>
        </w:tc>
      </w:tr>
    </w:tbl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0D2137"/>
          <w:sz w:val="56"/>
          <w:szCs w:val="56"/>
        </w:rPr>
        <w:t xml:space="preserve">AI-Powered Contract Intelligence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565C0"/>
          <w:sz w:val="44"/>
          <w:szCs w:val="44"/>
        </w:rPr>
        <w:t xml:space="preserve">&amp; Risk Scoring (NLP)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Natural Language Processing  ·  Transformer Fine-Tuning  ·  Risk Analytics</w:t>
      </w:r>
    </w:p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CEFF1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12121"/>
                <w:sz w:val="2"/>
                <w:szCs w:val="2"/>
              </w:rPr>
              <w:t xml:space="preserve"/>
            </w:r>
          </w:p>
        </w:tc>
      </w:tr>
    </w:tbl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aps/>
          <w:color w:val="0D2137"/>
          <w:sz w:val="26"/>
          <w:szCs w:val="26"/>
        </w:rPr>
        <w:t xml:space="preserve">MID-REVIEW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46E7A"/>
          <w:sz w:val="22"/>
          <w:szCs w:val="22"/>
        </w:rPr>
        <w:t xml:space="preserve">Week 1 &amp; Week 2  ·  Review Period: 27 August – 03 September 2026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50"/>
        <w:gridCol w:w="2750"/>
        <w:gridCol w:w="2750"/>
        <w:gridCol w:w="2750"/>
      </w:tblGrid>
      <w:tr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510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Contracts Analysed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57"/>
                <w:sz w:val="52"/>
                <w:szCs w:val="52"/>
              </w:rPr>
              <w:t xml:space="preserve">20,910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Training Rows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52"/>
                <w:szCs w:val="52"/>
              </w:rPr>
              <w:t xml:space="preserve">0.773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Best F1 Score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52"/>
                <w:szCs w:val="52"/>
              </w:rPr>
              <w:t xml:space="preserve">+16%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vs Classical Baseline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90A4AE"/>
          <w:sz w:val="18"/>
          <w:szCs w:val="18"/>
        </w:rPr>
        <w:t xml:space="preserve">Prepared by: Zaalima Development Pvt. Ltd.  ·  August 2026</w:t>
      </w:r>
    </w:p>
    <w:p>
      <w:r>
        <w:br w:type="pag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01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Executive Summary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Objective: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Build an end-to-end AI system to ingest legal contracts, extract key entities, classify clause types, and generate quantitative risk scores — reducing manual legal review time and cost.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Dataset: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CUAD (Contract Understanding Atticus Dataset) — 510 commercial contracts, 41 annotated clause categories, 13,000+ expert labels.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Status: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Week 1 &amp; Week 2 complete. Fine-tuned RoBERTa transformer achieves F1 = 0.773, a 16% relative improvement over the classical TF-IDF baseline.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report documents the Week 1 and Week 2 deliverables of Project 1 for the Zaalima Development Data Science &amp; Machine Learning Internship. The system has progressed from raw data ingestion through to a fine-tuned transformer model that meaningfully outperforms the classical baseline on five key contract clause categories.</w:t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Week 3 deliverables — a FastAPI inference service, FAISS vector search, and a blended risk-scoring engine — are underway and on track for the final review period (4–12 September 2026).</w:t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02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Problem Statement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Legal contract review is a time-intensive, error-prone process that typically demands expensive specialist expertise. Critical risk indicators — such as absent liability caps, unfavourable termination clauses, or restrictive non-compete provisions — are routinely buried within dense, multi-page documents, making manual review both slow and inconsistent.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400"/>
        <w:gridCol w:w="2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Core Challenges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Classification: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Automatically determine which of 41 clause types are present in any given contract.</w:t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Entity Extraction: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Identify parties, effective dates, jurisdictions, and monetary values using NER.</w:t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Risk Quantification: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Produce a 0–100 risk score and human-readable verdict to prioritise contracts for legal review.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/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4"/>
                <w:szCs w:val="24"/>
              </w:rPr>
              <w:t xml:space="preserve">Business Value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12121"/>
                <w:sz w:val="22"/>
                <w:szCs w:val="22"/>
              </w:rPr>
              <w:t xml:space="preserve"/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Speed: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Reduce initial contract review from hours to seconds.</w:t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Consistency: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Apply the same ruleset to every document without analyst fatigue.</w:t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Auditability: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Generate structured, explainable output for legal and compliance teams.</w:t>
            </w:r>
          </w:p>
          <w:p>
            <w:pPr>
              <w:spacing w:after="100" w:before="0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0BCD4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Scalability: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Process hundreds of contracts simultaneously via REST API.</w:t>
            </w:r>
          </w:p>
        </w:tc>
      </w:tr>
    </w:tbl>
    <w:p>
      <w:r>
        <w:br w:type="pag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03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Dataset — CUAD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Contract Understanding Atticus Dataset (CUAD) is a benchmark corpus of 510 commercial legal contracts, annotated by legal domain experts across 41 clause categories in a SQuAD-style extractive QA format. It is the primary dataset for this project.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50"/>
        <w:gridCol w:w="2750"/>
        <w:gridCol w:w="2750"/>
        <w:gridCol w:w="2750"/>
      </w:tblGrid>
      <w:tr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E3F2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52"/>
                <w:szCs w:val="52"/>
              </w:rPr>
              <w:t xml:space="preserve">510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Commercial Contracts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57"/>
                <w:sz w:val="52"/>
                <w:szCs w:val="52"/>
              </w:rPr>
              <w:t xml:space="preserve">41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Clause Categories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52"/>
                <w:szCs w:val="52"/>
              </w:rPr>
              <w:t xml:space="preserve">13,000+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Expert Labels</w:t>
            </w:r>
          </w:p>
        </w:tc>
        <w:tc>
          <w:tcPr>
            <w:tcW w:type="dxa" w:w="2750"/>
            <w:tcBorders>
              <w:top w:val="none"/>
              <w:left w:val="none"/>
              <w:bottom w:val="none"/>
              <w:right w:val="none"/>
            </w:tcBorders>
            <w:shd w:fill="F4EC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52"/>
                <w:szCs w:val="52"/>
              </w:rPr>
              <w:t xml:space="preserve">20,910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546E7A"/>
                <w:sz w:val="18"/>
                <w:szCs w:val="18"/>
              </w:rPr>
              <w:t xml:space="preserve">Flattened Rows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Five Categories Used for Modelling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"/>
        <w:gridCol w:w="3200"/>
        <w:gridCol w:w="3800"/>
        <w:gridCol w:w="360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Clause Category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if Absent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if Present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Termination For Convenience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 — party lacks exit flexibility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Anti-Assignment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 — unwanted contract transfers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Governing Law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Medium — jurisdiction uncertainty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Cap On Liability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Critical — unlimited exposure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Non-Compete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 — operational constraint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Train / Validation Split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Split strategy: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Contract-level split — no individual contract appears in both train and validation sets, preventing data leakage.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Training set: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17,794 rows across 408 contracts.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Validation set: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3,116 rows across 102 contracts.</w:t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04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Week 1 — Data Parsing &amp; Baseline Modelling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2800"/>
        <w:gridCol w:w="70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Day(s)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1–2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src/load_data.py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Flattened CUAD's nested SQuAD-style JSON into data/processed/cuad_flat.jsonl — 20,910 contract/category rows across 510 contracts.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Day 3–5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src/ocr_pipeline.py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Hybrid PDF pipeline: pdfplumber for native-text extraction (primary); Tesseract OCR fallback per-page for scanned/image-only PDFs. Tested on both document types.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6–7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src/baseline_ner.py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spaCy en_core_web_sm baseline NER for ORG, DATE, MONEY, GPE, PERSON entities. Functional baseline; domain fine-tuning planned for Week 3.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Key Technical Decisions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Data format: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SQuAD-style JSON flattening preserves clause-level granularity needed for downstream binary classification per category.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OCR strategy: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pdfplumber preferred over PyPDF2 for higher-fidelity native text extraction; Tesseract handles scanned pages that pdfplumber cannot parse.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NER baseline: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en_core_web_sm selected for speed as a proof-of-concept; legal-domain fine-tuning is deferred to a later sprint to focus on clause classification first.</w:t>
      </w:r>
    </w:p>
    <w:p>
      <w:r>
        <w:br w:type="pag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05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Week 2 — Advanced NLP &amp; Transformer Fine-Tuning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00"/>
        <w:gridCol w:w="2800"/>
        <w:gridCol w:w="68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Day(s)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1 (prep)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src/prepare_training_data.py</w:t>
            </w:r>
          </w:p>
        </w:tc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Contract-level train/val split with no data leakage: 17,794 train / 3,116 val examples across 510 contracts.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Day 1–4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notebooks/train_transformer_kaggle.ipynb</w:t>
            </w:r>
          </w:p>
        </w:tc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Fine-tuned roberta-base on 5 clause categories. Multi-label binary classification. Run on Kaggle GPU (P100), 3 epochs, ~15–20 min training.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5–7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src/train_classical_baseline.py</w:t>
            </w:r>
          </w:p>
        </w:tc>
        <w:tc>
          <w:tcPr>
            <w:tcW w:type="dxa" w:w="6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TF-IDF (unigram + bigram) + Logistic Regression per-category baseline. Avg F1: 0.668. Results saved to data/processed/classical_baseline_results.json.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Model Performance Results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200"/>
        <w:gridCol w:w="1600"/>
        <w:gridCol w:w="1700"/>
        <w:gridCol w:w="1700"/>
        <w:gridCol w:w="18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 Score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TF-IDF + Logistic Regression (Classical Baseline)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0.716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0.653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0.686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0.668</w:t>
            </w:r>
          </w:p>
        </w:tc>
      </w:tr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Fine-Tuned RoBERTa  (roberta-base · 3 epochs)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0.755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0.823</w:t>
            </w:r>
          </w:p>
        </w:tc>
        <w:tc>
          <w:tcPr>
            <w:tcW w:type="dxa" w:w="1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0.728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0.773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Performance Analysis</w:t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Precision gain (+0.17):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transformer's most significant improvement. In a legal/compliance context, precision is the critical metric — a model that cries wolf too often (low precision) gets ignored by practitioners, regardless of recall. 0.823 precision means 82% of flagged clauses are genuine.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F1 improvement (+0.105 / +16% relative):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Meaningful even against a strong, well-regularised classical baseline using balanced class weights and bigram TF-IDF features.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Why the transformer wins: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RoBERTa's bidirectional pretraining enables contextual understanding that TF-IDF cannot replicate. It distinguishes "the Agreement shall not be assigned" from "the Agreement may be assigned" despite near-identical surface vocabulary — a critical legal distinction that bag-of-words models miss entirely.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Trade-off: </w:t>
            </w: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The transformer required a GPU and ~15–20 minutes of fine-tuning. The classical baseline runs in seconds on CPU (F1: 0.668) and is retained as a lightweight secondary signal in the Week 3 risk-scoring module.</w:t>
            </w:r>
          </w:p>
        </w:tc>
      </w:tr>
    </w:tbl>
    <w:p>
      <w:r>
        <w:br w:type="pag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06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Upcoming Plan — Week 3 &amp; Week 4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Week 3 — Vector Search &amp; FastAPI Service  (1–7 September 2026)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2800"/>
        <w:gridCol w:w="700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Day(s)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1–2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src/clause_classifier.py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Load fine-tuned RoBERTa locally; batched multi-label inference with configurable probability threshold.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Day 3–4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src/vector_store.py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FAISS-backed semantic search using sentence-transformers (all-MiniLM-L6-v2); overlapping word-level chunk_contract() utility.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5–6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src/risk_scorer.py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Risk scoring: transformer probs (75%) blended with classical baseline F1 (25%). Outputs 0–100 score with LOW/MEDIUM/HIGH/CRITICAL verdict.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Day 7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src/api.py</w:t>
            </w:r>
          </w:p>
        </w:tc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FastAPI app: /analyze, /classify, /search, /index, /health endpoints with Pydantic validation and auto-generated Swagger UI.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Week 4 — Integration &amp; Productionisation  (8–12 September 2026)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Containerisation: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Docker image for the FastAPI service; docker-compose for local end-to-end testing.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End-to-end pipeline: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PDF upload → OCR → chunk → classify → risk score → structured JSON response.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Demo interface: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Streamlit or Gradio UI for the final project presentation.</w:t>
      </w:r>
    </w:p>
    <w:p>
      <w:pPr>
        <w:spacing w:after="100" w:before="0"/>
        <w:ind w:left="360" w:hanging="360"/>
      </w:pPr>
      <w:r>
        <w:rPr>
          <w:rFonts w:ascii="Calibri" w:cs="Calibri" w:eastAsia="Calibri" w:hAnsi="Calibri"/>
          <w:b/>
          <w:bCs/>
          <w:color w:val="00BCD4"/>
          <w:sz w:val="20"/>
          <w:szCs w:val="20"/>
        </w:rPr>
        <w:t xml:space="preserve">▸ 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Testing &amp; docs: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pytest suite covering API endpoints, risk scoring logic, and edge cases; final README update.</w:t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07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Project Structure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1000"/>
      </w:tblGrid>
      <w:tr>
        <w:tc>
          <w:tcPr>
            <w:tcW w:type="dxa" w:w="11000"/>
            <w:tcBorders>
              <w:top w:val="none"/>
              <w:left w:val="single" w:color="00BCD4" w:sz="24"/>
              <w:bottom w:val="none"/>
              <w:right w:val="none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contract-intelligence/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cuad/                        # Cloned CUAD dataset (gitignored)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└── processed/                   # cuad_flat.jsonl · train/val splits ·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├──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└── week2_model_comparison.md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└── roberta_clause_classifier/   # Fine-tuned weights (Kaggle download)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├── notebooks/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└── train_transformer_kaggle.ipynb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load_data.py                 # Week 1 · Day 1–2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ocr_pipeline.py              # Week 1 · Day 3–5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baseline_ner.py              # Week 1 · Day 6–7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prepare_training_data.py     # Week 2 · Prep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train_classical_baseline.py  # Week 2 · Day 5–7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clause_classifier.py         # Week 3 ←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vector_store.py              # Week 3 ←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├── risk_scorer.py               # Week 3 ←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│   └── api.py                       # Week 3 ←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08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Technology Stack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82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Libraries &amp; Tools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NLP / ML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transformers (HuggingFace) · spaCy · scikit-learn · PyTorch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pandas · numpy · jsonlines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OCR / PDF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pdfplumber · pytesseract · Pillow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faiss-cpu · sentence-transformers (all-MiniLM-L6-v2)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API Layer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FastAPI · uvicorn · pydantic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Training Infra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Kaggle Notebooks (GPU P100) · HuggingFace Trainer API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Dataset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CUAD — Contract Understanding Atticus Dataset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Git · GitHub (unqrazique-code/zaalima-contract-intelligence)</w:t>
            </w:r>
          </w:p>
        </w:tc>
      </w:tr>
    </w:tbl>
    <w:p>
      <w:r>
        <w:br w:type="pag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09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Challenges &amp; Solutions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1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1200"/>
        <w:gridCol w:w="66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0D21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 Implemented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Complex nested JSON format (SQuAD-style CUAD)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Custom flattening script (load_data.py) producing clean per-row JSONL with 20,910 classification examples.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19"/>
                <w:szCs w:val="19"/>
              </w:rPr>
              <w:t xml:space="preserve">OCR quality on dense legal PDF text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Hybrid pipeline: pdfplumber first for native text, Tesseract as page-level fallback for scanned documents.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 local GPU for transformer fine-tuning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Kaggle Notebooks (P100 GPU) used for training; model weights downloaded post-training for local inference.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Severe class imbalance in legal datasets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Balanced class weights applied in both TF-IDF and RoBERTa models; contract-level splits to prevent leakage.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Long contract texts exceeding token limits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Overlapping word-level chunking (chunk_contract()) with configurable size and stride for Week 3 inference.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pBdr>
          <w:left w:val="single" w:color="00BCD4" w:sz="24" w:space="8"/>
        </w:pBdr>
        <w:spacing w:after="160" w:before="400"/>
      </w:pPr>
      <w:r>
        <w:rPr>
          <w:rFonts w:ascii="Calibri" w:cs="Calibri" w:eastAsia="Calibri" w:hAnsi="Calibri"/>
          <w:b/>
          <w:bCs/>
          <w:color w:val="90A4AE"/>
          <w:sz w:val="32"/>
          <w:szCs w:val="32"/>
        </w:rPr>
        <w:t xml:space="preserve">10  </w:t>
      </w:r>
      <w:r>
        <w:rPr>
          <w:rFonts w:ascii="Calibri" w:cs="Calibri" w:eastAsia="Calibri" w:hAnsi="Calibri"/>
          <w:b/>
          <w:bCs/>
          <w:color w:val="0D2137"/>
          <w:sz w:val="32"/>
          <w:szCs w:val="32"/>
        </w:rPr>
        <w:t xml:space="preserve">Conclusion</w:t>
      </w:r>
    </w:p>
    <w:p>
      <w:pPr>
        <w:pBdr>
          <w:bottom w:val="single" w:color="ECEFF1" w:sz="6" w:space="4"/>
        </w:pBdr>
        <w:spacing w:after="80" w:before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Weeks 1 and 2 have established a robust technical foundation for the Zaalima Contract Intelligence system. The complete data pipeline is operational — from raw CUAD ingestion and OCR processing through to transformer fine-tuning and classical baseline evaluation.</w:t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fine-tuned RoBERTa model delivers a meaningful precision gain (+0.17) over the classical baseline, which is the metric that matters most in legal document analysis. The classical model is retained as a computationally lightweight secondary signal for the risk-scoring engine.</w:t>
      </w:r>
    </w:p>
    <w:p>
      <w:pPr>
        <w:spacing w:after="140" w:before="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Week 3 deliverables are already underway and on track for the final review period (4–12 September 2026). The project is well-positioned to deliver a complete, demonstrable, production-ready contract intelligence pipeline by the submission deadline.</w:t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" w:hRule="exact"/>
        </w:trP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CEFF1" w:val="clea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12121"/>
                <w:sz w:val="2"/>
                <w:szCs w:val="2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90A4AE"/>
          <w:sz w:val="17"/>
          <w:szCs w:val="17"/>
        </w:rPr>
        <w:t xml:space="preserve">Zaalima Development Pvt. Ltd.  ·  Data Science &amp; ML Internship  ·  Project 1  ·  August 2026</w:t>
      </w:r>
    </w:p>
    <w:sectPr>
      <w:headerReference w:type="default" r:id="rId7"/>
      <w:footerReference w:type="default" r:id="rId8"/>
      <w:pgSz w:w="12240" w:h="15840" w:orient="portrait"/>
      <w:pgMar w:top="720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EFF1" w:sz="6" w:space="4"/>
      </w:pBdr>
      <w:spacing w:after="0" w:before="80"/>
      <w:jc w:val="center"/>
    </w:pPr>
    <w:r>
      <w:rPr>
        <w:rFonts w:ascii="Calibri" w:cs="Calibri" w:eastAsia="Calibri" w:hAnsi="Calibri"/>
        <w:color w:val="90A4AE"/>
        <w:sz w:val="17"/>
        <w:szCs w:val="17"/>
      </w:rPr>
      <w:t xml:space="preserve">Page </w:t>
    </w:r>
    <w:r>
      <w:rPr>
        <w:rFonts w:ascii="Calibri" w:cs="Calibri" w:eastAsia="Calibri" w:hAnsi="Calibri"/>
        <w:color w:val="90A4A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7"/>
        <w:szCs w:val="17"/>
      </w:rPr>
      <w:t xml:space="preserve">  of  </w:t>
    </w:r>
    <w:r>
      <w:rPr>
        <w:rFonts w:ascii="Calibri" w:cs="Calibri" w:eastAsia="Calibri" w:hAnsi="Calibri"/>
        <w:color w:val="90A4A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0A4AE"/>
        <w:sz w:val="17"/>
        <w:szCs w:val="17"/>
      </w:rPr>
      <w:t xml:space="preserve">     ·     Data Science &amp; ML Internship — Project 1     ·  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8" w:space="6"/>
      </w:pBdr>
      <w:spacing w:after="80" w:before="0"/>
    </w:pPr>
    <w:r>
      <w:rPr>
        <w:rFonts w:ascii="Calibri" w:cs="Calibri" w:eastAsia="Calibri" w:hAnsi="Calibri"/>
        <w:b/>
        <w:bCs/>
        <w:color w:val="0D2137"/>
        <w:sz w:val="17"/>
        <w:szCs w:val="17"/>
      </w:rPr>
      <w:t xml:space="preserve">ZAALIMA DEVELOPMENT PVT. LTD.</w:t>
    </w:r>
    <w:r>
      <w:rPr>
        <w:rFonts w:ascii="Calibri" w:cs="Calibri" w:eastAsia="Calibri" w:hAnsi="Calibri"/>
        <w:color w:val="90A4AE"/>
        <w:sz w:val="17"/>
        <w:szCs w:val="17"/>
      </w:rPr>
      <w:t xml:space="preserve">   |   AI-Powered Contract Intelligence &amp; Risk Scoring   |   Mid-Review Report — Week 1 &amp;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2026-08-28T11:07:27.102Z</dcterms:created>
  <dcterms:modified xsi:type="dcterms:W3CDTF">2026-08-28T11:07:27.116Z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