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10FD" w14:textId="77777777" w:rsid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Yes. The attached UI format is good, but the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latest Kuth scenario needs a few logic corrections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before implementation.</w:t>
      </w:r>
    </w:p>
    <w:p w14:paraId="6A342D2F" w14:textId="1E461580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1422DD2" wp14:editId="43EF143B">
            <wp:extent cx="6515427" cy="3666876"/>
            <wp:effectExtent l="0" t="0" r="0" b="0"/>
            <wp:docPr id="184458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989" cy="3680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066F8F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The visual still shows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Ciprofloxacin, FICI/checkerboard, antibiotic restoration, and “</w:t>
      </w:r>
      <w:proofErr w:type="spellStart"/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Costunolide</w:t>
      </w:r>
      <w:proofErr w:type="spellEnd"/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Ciprofloxacin.”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For the latest Prof-defined Kuth MVP, these should be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future comparator fields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, not current default. The current MVP should focus on:</w:t>
      </w:r>
    </w:p>
    <w:p w14:paraId="37F29CE3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Kuth /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Saussurea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Costunolide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Dehydrocostus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lactone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Pseudomonas aeruginosa: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MvfR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Staphylococcus aureus: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AgrA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Sortase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SrtA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quorum-sensing / anti-virulence / biofilm validation hypothesis</w:t>
      </w:r>
    </w:p>
    <w:p w14:paraId="7179856E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UI flow: what the user will input</w:t>
      </w:r>
    </w:p>
    <w:p w14:paraId="5E00CC6A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Left panel: Demo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066"/>
        <w:gridCol w:w="3436"/>
      </w:tblGrid>
      <w:tr w:rsidR="00C60619" w:rsidRPr="00C60619" w14:paraId="1CCB9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ED74C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UI field</w:t>
            </w:r>
          </w:p>
        </w:tc>
        <w:tc>
          <w:tcPr>
            <w:tcW w:w="0" w:type="auto"/>
            <w:vAlign w:val="center"/>
            <w:hideMark/>
          </w:tcPr>
          <w:p w14:paraId="518661D0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user selects</w:t>
            </w:r>
          </w:p>
        </w:tc>
        <w:tc>
          <w:tcPr>
            <w:tcW w:w="0" w:type="auto"/>
            <w:vAlign w:val="center"/>
            <w:hideMark/>
          </w:tcPr>
          <w:p w14:paraId="2B63554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dataset</w:t>
            </w:r>
          </w:p>
        </w:tc>
      </w:tr>
      <w:tr w:rsidR="00C60619" w:rsidRPr="00C60619" w14:paraId="7AAFE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F73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901F2B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Kuth / Secondary Kuth</w:t>
            </w:r>
          </w:p>
        </w:tc>
        <w:tc>
          <w:tcPr>
            <w:tcW w:w="0" w:type="auto"/>
            <w:vAlign w:val="center"/>
            <w:hideMark/>
          </w:tcPr>
          <w:p w14:paraId="2AC8F6C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configs/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scenarios.yaml</w:t>
            </w:r>
            <w:proofErr w:type="spellEnd"/>
          </w:p>
        </w:tc>
      </w:tr>
      <w:tr w:rsidR="00C60619" w:rsidRPr="00C60619" w14:paraId="1E539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5B3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AYUSH Candidate</w:t>
            </w:r>
          </w:p>
        </w:tc>
        <w:tc>
          <w:tcPr>
            <w:tcW w:w="0" w:type="auto"/>
            <w:vAlign w:val="center"/>
            <w:hideMark/>
          </w:tcPr>
          <w:p w14:paraId="2080A18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Kuth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Saussurea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2842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candidate_registry.csv</w:t>
            </w:r>
          </w:p>
        </w:tc>
      </w:tr>
      <w:tr w:rsidR="00C60619" w:rsidRPr="00C60619" w14:paraId="4031E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39D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 Compound</w:t>
            </w:r>
          </w:p>
        </w:tc>
        <w:tc>
          <w:tcPr>
            <w:tcW w:w="0" w:type="auto"/>
            <w:vAlign w:val="center"/>
            <w:hideMark/>
          </w:tcPr>
          <w:p w14:paraId="14F49B9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Costunolide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Dehydrocostus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lactone</w:t>
            </w:r>
          </w:p>
        </w:tc>
        <w:tc>
          <w:tcPr>
            <w:tcW w:w="0" w:type="auto"/>
            <w:vAlign w:val="center"/>
            <w:hideMark/>
          </w:tcPr>
          <w:p w14:paraId="0700AE7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ligand_library.csv</w:t>
            </w:r>
          </w:p>
        </w:tc>
      </w:tr>
      <w:tr w:rsidR="00C60619" w:rsidRPr="00C60619" w14:paraId="6D2A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C8E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Pathogen</w:t>
            </w:r>
          </w:p>
        </w:tc>
        <w:tc>
          <w:tcPr>
            <w:tcW w:w="0" w:type="auto"/>
            <w:vAlign w:val="center"/>
            <w:hideMark/>
          </w:tcPr>
          <w:p w14:paraId="41AEFD9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Pseudomonas aeruginosa or Staphylococcus aureus</w:t>
            </w:r>
          </w:p>
        </w:tc>
        <w:tc>
          <w:tcPr>
            <w:tcW w:w="0" w:type="auto"/>
            <w:vAlign w:val="center"/>
            <w:hideMark/>
          </w:tcPr>
          <w:p w14:paraId="7144883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pathogen_target_registry.csv</w:t>
            </w:r>
          </w:p>
        </w:tc>
      </w:tr>
      <w:tr w:rsidR="00C60619" w:rsidRPr="00C60619" w14:paraId="374D5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12E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1E4157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CH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:lang w:val="de-CH"/>
                <w14:ligatures w14:val="none"/>
              </w:rPr>
              <w:t>LasR, PqsR/MvfR, AgrA, SrtA</w:t>
            </w:r>
          </w:p>
        </w:tc>
        <w:tc>
          <w:tcPr>
            <w:tcW w:w="0" w:type="auto"/>
            <w:vAlign w:val="center"/>
            <w:hideMark/>
          </w:tcPr>
          <w:p w14:paraId="2619653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pathogen_target_registry.csv</w:t>
            </w:r>
          </w:p>
        </w:tc>
      </w:tr>
      <w:tr w:rsidR="00C60619" w:rsidRPr="00C60619" w14:paraId="0D04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D59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Context</w:t>
            </w:r>
          </w:p>
        </w:tc>
        <w:tc>
          <w:tcPr>
            <w:tcW w:w="0" w:type="auto"/>
            <w:vAlign w:val="center"/>
            <w:hideMark/>
          </w:tcPr>
          <w:p w14:paraId="1528324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Quorum sensing, virulence, biofilm maturation/initiation</w:t>
            </w:r>
          </w:p>
        </w:tc>
        <w:tc>
          <w:tcPr>
            <w:tcW w:w="0" w:type="auto"/>
            <w:vAlign w:val="center"/>
            <w:hideMark/>
          </w:tcPr>
          <w:p w14:paraId="421DD1B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study_context.csv</w:t>
            </w:r>
          </w:p>
        </w:tc>
      </w:tr>
      <w:tr w:rsidR="00C60619" w:rsidRPr="00C60619" w14:paraId="5C8BB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3B9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Comparator Control</w:t>
            </w:r>
          </w:p>
        </w:tc>
        <w:tc>
          <w:tcPr>
            <w:tcW w:w="0" w:type="auto"/>
            <w:vAlign w:val="center"/>
            <w:hideMark/>
          </w:tcPr>
          <w:p w14:paraId="4BC623B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/ TBD</w:t>
            </w:r>
          </w:p>
        </w:tc>
        <w:tc>
          <w:tcPr>
            <w:tcW w:w="0" w:type="auto"/>
            <w:vAlign w:val="center"/>
            <w:hideMark/>
          </w:tcPr>
          <w:p w14:paraId="0B55257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 field, not mandatory</w:t>
            </w:r>
          </w:p>
        </w:tc>
      </w:tr>
    </w:tbl>
    <w:p w14:paraId="7830B1A6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For the current MVP, the antibiotic/comparator field should show:</w:t>
      </w:r>
    </w:p>
    <w:p w14:paraId="7F1C2AE2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Comparator Control: Not selected / optional future comparator</w:t>
      </w:r>
    </w:p>
    <w:p w14:paraId="76A60A6C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not Ciprofloxacin by default.</w:t>
      </w:r>
    </w:p>
    <w:p w14:paraId="5AEAC7D8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Required user/input datasets</w:t>
      </w:r>
    </w:p>
    <w:p w14:paraId="7C0197FC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Use these files as the real input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833"/>
        <w:gridCol w:w="5091"/>
      </w:tblGrid>
      <w:tr w:rsidR="00C60619" w:rsidRPr="00C60619" w14:paraId="74BA5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09BAD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7D122E0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D33BBD8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60619" w:rsidRPr="00C60619" w14:paraId="1523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4BC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configs/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scenarios.yaml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7C44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3811923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Primary, Secondary, and Archived scenarios</w:t>
            </w:r>
          </w:p>
        </w:tc>
      </w:tr>
      <w:tr w:rsidR="00C60619" w:rsidRPr="00C60619" w14:paraId="22EC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4EE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candidate_registry.csv</w:t>
            </w:r>
          </w:p>
        </w:tc>
        <w:tc>
          <w:tcPr>
            <w:tcW w:w="0" w:type="auto"/>
            <w:vAlign w:val="center"/>
            <w:hideMark/>
          </w:tcPr>
          <w:p w14:paraId="5BEAFEC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613E025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AYUSH source and formulation metadata</w:t>
            </w:r>
          </w:p>
        </w:tc>
      </w:tr>
      <w:tr w:rsidR="00C60619" w:rsidRPr="00C60619" w14:paraId="4CF37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805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ligand_library.csv</w:t>
            </w:r>
          </w:p>
        </w:tc>
        <w:tc>
          <w:tcPr>
            <w:tcW w:w="0" w:type="auto"/>
            <w:vAlign w:val="center"/>
            <w:hideMark/>
          </w:tcPr>
          <w:p w14:paraId="518CB6E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E520E1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compound identifiers, SMILES, source IDs</w:t>
            </w:r>
          </w:p>
        </w:tc>
      </w:tr>
      <w:tr w:rsidR="00C60619" w:rsidRPr="00C60619" w14:paraId="1641C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A89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pathogen_target_registry.csv</w:t>
            </w:r>
          </w:p>
        </w:tc>
        <w:tc>
          <w:tcPr>
            <w:tcW w:w="0" w:type="auto"/>
            <w:vAlign w:val="center"/>
            <w:hideMark/>
          </w:tcPr>
          <w:p w14:paraId="6269DE0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277BAB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Pathogen, target labels, gene/protein IDs, structure status</w:t>
            </w:r>
          </w:p>
        </w:tc>
      </w:tr>
      <w:tr w:rsidR="00C60619" w:rsidRPr="00C60619" w14:paraId="54A02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C03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study_context.csv</w:t>
            </w:r>
          </w:p>
        </w:tc>
        <w:tc>
          <w:tcPr>
            <w:tcW w:w="0" w:type="auto"/>
            <w:vAlign w:val="center"/>
            <w:hideMark/>
          </w:tcPr>
          <w:p w14:paraId="5B2F26D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3AF142E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Biological function and demo context</w:t>
            </w:r>
          </w:p>
        </w:tc>
      </w:tr>
      <w:tr w:rsidR="00C60619" w:rsidRPr="00C60619" w14:paraId="72F6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110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run_selection.csv</w:t>
            </w:r>
          </w:p>
        </w:tc>
        <w:tc>
          <w:tcPr>
            <w:tcW w:w="0" w:type="auto"/>
            <w:vAlign w:val="center"/>
            <w:hideMark/>
          </w:tcPr>
          <w:p w14:paraId="5F810254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3432BD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Manually selected compound-target rows to run</w:t>
            </w:r>
          </w:p>
        </w:tc>
      </w:tr>
      <w:tr w:rsidR="00C60619" w:rsidRPr="00C60619" w14:paraId="675B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434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source_traceability.csv</w:t>
            </w:r>
          </w:p>
        </w:tc>
        <w:tc>
          <w:tcPr>
            <w:tcW w:w="0" w:type="auto"/>
            <w:vAlign w:val="center"/>
            <w:hideMark/>
          </w:tcPr>
          <w:p w14:paraId="7E912B3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2235070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Source/provenance for every fetched or curated value</w:t>
            </w:r>
          </w:p>
        </w:tc>
      </w:tr>
      <w:tr w:rsidR="00C60619" w:rsidRPr="00C60619" w14:paraId="1BDAC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DCE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docking_</w:t>
            </w:r>
            <w:proofErr w:type="gram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boxes.yaml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386F4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0212873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Pocket/search-box settings for Vina</w:t>
            </w:r>
          </w:p>
        </w:tc>
      </w:tr>
      <w:tr w:rsidR="00C60619" w:rsidRPr="00C60619" w14:paraId="4118F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FD9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assay_results.csv</w:t>
            </w:r>
          </w:p>
        </w:tc>
        <w:tc>
          <w:tcPr>
            <w:tcW w:w="0" w:type="auto"/>
            <w:vAlign w:val="center"/>
            <w:hideMark/>
          </w:tcPr>
          <w:p w14:paraId="3E8273E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2DA57F7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Optional; empty unless real wet-lab data exists</w:t>
            </w:r>
          </w:p>
        </w:tc>
      </w:tr>
    </w:tbl>
    <w:p w14:paraId="764B6EB9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Most important new file: </w:t>
      </w:r>
      <w:r w:rsidRPr="00C606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run_selection.csv</w:t>
      </w:r>
    </w:p>
    <w:p w14:paraId="46E3B494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Because you said combinations will be manually curated, do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auto-generate all combinations. Use this file:</w:t>
      </w:r>
    </w:p>
    <w:p w14:paraId="289377E5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run_id,scenario_id,compound_id,pathogen_id,target_id,comparator_control_id,study_context_id,run_enabled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T1,primary_kuth_pseudomonas,costunolide,pseudomonas_aeruginosa,lasr,,pseudomonas_qs_biofilm,true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T2,primary_kuth_pseudomonas,dehydrocostus_lactone,pseudomonas_aeruginosa,pqsr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_mvfr,,pseudomonas_qs_biofilm,true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T3,secondary_kuth_staphylococcus,costunolide,staphylococcus_aureus,agra,,staph_qs_adhesion,true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T4,secondary_kuth_staphylococcus,dehydrocostus_lactone,staphylococcus_aureus,srta,,staph_qs_adhesion,true</w:t>
      </w:r>
    </w:p>
    <w:p w14:paraId="3C6B55C6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Composition input required</w:t>
      </w:r>
    </w:p>
    <w:p w14:paraId="7CC64EA3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595"/>
      </w:tblGrid>
      <w:tr w:rsidR="00C60619" w:rsidRPr="00C60619" w14:paraId="10B94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3CEE1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E47DC2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60619" w:rsidRPr="00C60619" w14:paraId="1EF26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93B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62C79D8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primary_kuth_pseudomonas</w:t>
            </w:r>
            <w:proofErr w:type="spellEnd"/>
          </w:p>
        </w:tc>
      </w:tr>
      <w:tr w:rsidR="00C60619" w:rsidRPr="00C60619" w14:paraId="28C34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E55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AYUSH source</w:t>
            </w:r>
          </w:p>
        </w:tc>
        <w:tc>
          <w:tcPr>
            <w:tcW w:w="0" w:type="auto"/>
            <w:vAlign w:val="center"/>
            <w:hideMark/>
          </w:tcPr>
          <w:p w14:paraId="3E2B936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Kuth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Saussurea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costus</w:t>
            </w:r>
            <w:proofErr w:type="spellEnd"/>
          </w:p>
        </w:tc>
      </w:tr>
      <w:tr w:rsidR="00C60619" w:rsidRPr="00C60619" w14:paraId="7FE2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7CA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compounds</w:t>
            </w:r>
          </w:p>
        </w:tc>
        <w:tc>
          <w:tcPr>
            <w:tcW w:w="0" w:type="auto"/>
            <w:vAlign w:val="center"/>
            <w:hideMark/>
          </w:tcPr>
          <w:p w14:paraId="7FA534A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Costunolide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Dehydrocostus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lactone</w:t>
            </w:r>
          </w:p>
        </w:tc>
      </w:tr>
      <w:tr w:rsidR="00C60619" w:rsidRPr="00C60619" w14:paraId="0FB5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8DB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Pathogen</w:t>
            </w:r>
          </w:p>
        </w:tc>
        <w:tc>
          <w:tcPr>
            <w:tcW w:w="0" w:type="auto"/>
            <w:vAlign w:val="center"/>
            <w:hideMark/>
          </w:tcPr>
          <w:p w14:paraId="1C65FD5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Pseudomonas aeruginosa</w:t>
            </w:r>
          </w:p>
        </w:tc>
      </w:tr>
      <w:tr w:rsidR="00C60619" w:rsidRPr="00C60619" w14:paraId="75724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CA5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239DBD4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PqsR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MvfR</w:t>
            </w:r>
            <w:proofErr w:type="spellEnd"/>
          </w:p>
        </w:tc>
      </w:tr>
      <w:tr w:rsidR="00C60619" w:rsidRPr="00C60619" w14:paraId="788C1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A48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1F9B0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Quorum sensing, virulence, biofilm maturation</w:t>
            </w:r>
          </w:p>
        </w:tc>
      </w:tr>
      <w:tr w:rsidR="00C60619" w:rsidRPr="00C60619" w14:paraId="2031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DEF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Comparator</w:t>
            </w:r>
          </w:p>
        </w:tc>
        <w:tc>
          <w:tcPr>
            <w:tcW w:w="0" w:type="auto"/>
            <w:vAlign w:val="center"/>
            <w:hideMark/>
          </w:tcPr>
          <w:p w14:paraId="2171A76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/ TBD</w:t>
            </w:r>
          </w:p>
        </w:tc>
      </w:tr>
    </w:tbl>
    <w:p w14:paraId="13B361BE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382"/>
      </w:tblGrid>
      <w:tr w:rsidR="00C60619" w:rsidRPr="00C60619" w14:paraId="069F2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969B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19C4C8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60619" w:rsidRPr="00C60619" w14:paraId="67AF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3BB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808764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secondary_kuth_staphylococcus</w:t>
            </w:r>
            <w:proofErr w:type="spellEnd"/>
          </w:p>
        </w:tc>
      </w:tr>
      <w:tr w:rsidR="00C60619" w:rsidRPr="00C60619" w14:paraId="0D40C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963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AYUSH source</w:t>
            </w:r>
          </w:p>
        </w:tc>
        <w:tc>
          <w:tcPr>
            <w:tcW w:w="0" w:type="auto"/>
            <w:vAlign w:val="center"/>
            <w:hideMark/>
          </w:tcPr>
          <w:p w14:paraId="60E35BA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Kuth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Saussurea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costus</w:t>
            </w:r>
            <w:proofErr w:type="spellEnd"/>
          </w:p>
        </w:tc>
      </w:tr>
      <w:tr w:rsidR="00C60619" w:rsidRPr="00C60619" w14:paraId="071C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3D9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compounds</w:t>
            </w:r>
          </w:p>
        </w:tc>
        <w:tc>
          <w:tcPr>
            <w:tcW w:w="0" w:type="auto"/>
            <w:vAlign w:val="center"/>
            <w:hideMark/>
          </w:tcPr>
          <w:p w14:paraId="5C6E1B5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Costunolide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Dehydrocostus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lactone</w:t>
            </w:r>
          </w:p>
        </w:tc>
      </w:tr>
      <w:tr w:rsidR="00C60619" w:rsidRPr="00C60619" w14:paraId="0B53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110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Pathogen</w:t>
            </w:r>
          </w:p>
        </w:tc>
        <w:tc>
          <w:tcPr>
            <w:tcW w:w="0" w:type="auto"/>
            <w:vAlign w:val="center"/>
            <w:hideMark/>
          </w:tcPr>
          <w:p w14:paraId="22FAD1E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Staphylococcus aureus</w:t>
            </w:r>
          </w:p>
        </w:tc>
      </w:tr>
      <w:tr w:rsidR="00C60619" w:rsidRPr="00C60619" w14:paraId="603C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9A6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7B755B4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Sortase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SrtA</w:t>
            </w:r>
            <w:proofErr w:type="spellEnd"/>
          </w:p>
        </w:tc>
      </w:tr>
      <w:tr w:rsidR="00C60619" w:rsidRPr="00C60619" w14:paraId="4146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729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B2C65B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Quorum sensing, adhesion, biofilm initiation</w:t>
            </w:r>
          </w:p>
        </w:tc>
      </w:tr>
      <w:tr w:rsidR="00C60619" w:rsidRPr="00C60619" w14:paraId="0C4C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69F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Comparator</w:t>
            </w:r>
          </w:p>
        </w:tc>
        <w:tc>
          <w:tcPr>
            <w:tcW w:w="0" w:type="auto"/>
            <w:vAlign w:val="center"/>
            <w:hideMark/>
          </w:tcPr>
          <w:p w14:paraId="2127BB64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/ TBD</w:t>
            </w:r>
          </w:p>
        </w:tc>
      </w:tr>
    </w:tbl>
    <w:p w14:paraId="73C56760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Archived prior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781"/>
      </w:tblGrid>
      <w:tr w:rsidR="00C60619" w:rsidRPr="00C60619" w14:paraId="170F0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BB7D2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67ED7E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60619" w:rsidRPr="00C60619" w14:paraId="3339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897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7EB9A69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archived_trikatu_prior</w:t>
            </w:r>
            <w:proofErr w:type="spellEnd"/>
          </w:p>
        </w:tc>
      </w:tr>
      <w:tr w:rsidR="00C60619" w:rsidRPr="00C60619" w14:paraId="6176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27C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AYUSH source</w:t>
            </w:r>
          </w:p>
        </w:tc>
        <w:tc>
          <w:tcPr>
            <w:tcW w:w="0" w:type="auto"/>
            <w:vAlign w:val="center"/>
            <w:hideMark/>
          </w:tcPr>
          <w:p w14:paraId="21D41D5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Trikatu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Pippali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Maricha</w:t>
            </w:r>
          </w:p>
        </w:tc>
      </w:tr>
      <w:tr w:rsidR="00C60619" w:rsidRPr="00C60619" w14:paraId="61C9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242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compound</w:t>
            </w:r>
          </w:p>
        </w:tc>
        <w:tc>
          <w:tcPr>
            <w:tcW w:w="0" w:type="auto"/>
            <w:vAlign w:val="center"/>
            <w:hideMark/>
          </w:tcPr>
          <w:p w14:paraId="7ABA8D4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Piperine</w:t>
            </w:r>
          </w:p>
        </w:tc>
      </w:tr>
      <w:tr w:rsidR="00C60619" w:rsidRPr="00C60619" w14:paraId="3F14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FAD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3EBFB4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NorA</w:t>
            </w:r>
            <w:proofErr w:type="spellEnd"/>
          </w:p>
        </w:tc>
      </w:tr>
      <w:tr w:rsidR="00C60619" w:rsidRPr="00C60619" w14:paraId="4522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D974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Comparator</w:t>
            </w:r>
          </w:p>
        </w:tc>
        <w:tc>
          <w:tcPr>
            <w:tcW w:w="0" w:type="auto"/>
            <w:vAlign w:val="center"/>
            <w:hideMark/>
          </w:tcPr>
          <w:p w14:paraId="63C2D99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Ciprofloxacin archived only</w:t>
            </w:r>
          </w:p>
        </w:tc>
      </w:tr>
      <w:tr w:rsidR="00C60619" w:rsidRPr="00C60619" w14:paraId="10FC7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83B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D622A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current MVP default</w:t>
            </w:r>
          </w:p>
        </w:tc>
      </w:tr>
    </w:tbl>
    <w:p w14:paraId="3FD1DD84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Preprocessing required</w:t>
      </w:r>
    </w:p>
    <w:p w14:paraId="712BEE9C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Ligand preprocessing</w:t>
      </w:r>
    </w:p>
    <w:p w14:paraId="3D6DD8D3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A23DDC3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Costunolide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SMILES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Dehydrocostus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lactone SMILES</w:t>
      </w:r>
    </w:p>
    <w:p w14:paraId="0CFF43C8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37D7FD23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Fetch from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ChEMBL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/PubChem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validate ID and SMILES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RDKit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generates 3D conformer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Open Babel converts to PDBQT</w:t>
      </w:r>
    </w:p>
    <w:p w14:paraId="74170B5E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331C0551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data/prepared/ligands/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costunolide.sdf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data/prepared/ligands/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costunolide.pdbqt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data/prepared/ligands/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dehydrocostus_lactone.sdf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data/prepared/ligands/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dehydrocostus_lactone.pdbqt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ligand_prep_report.json</w:t>
      </w:r>
      <w:proofErr w:type="spellEnd"/>
    </w:p>
    <w:p w14:paraId="5504CB1E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preprocessing</w:t>
      </w:r>
    </w:p>
    <w:p w14:paraId="33F11DCF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441154DB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MvfR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AgrA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Sortase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SrtA</w:t>
      </w:r>
      <w:proofErr w:type="spellEnd"/>
    </w:p>
    <w:p w14:paraId="67F13A69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2C5ABAB8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Fetch/curate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UniProt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NCBI protein metadata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search RCSB PDB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fallback to AlphaFold DB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optional ESMFold2 fallback if structure unavailable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clean receptor structure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convert receptor to PDBQT for Vina</w:t>
      </w:r>
    </w:p>
    <w:p w14:paraId="2FB9DFE3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08CEE667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data/prepared/targets/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/clean_receptor.pdb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data/prepared/targets/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receptor.pdbqt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data/prepared/targets/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pqsr_mvfr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/clean_receptor.pdb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data/prepared/targets/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agra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/clean_receptor.pdb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data/prepared/targets/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srta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/clean_receptor.pdb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structure_resolution_report.json</w:t>
      </w:r>
      <w:proofErr w:type="spellEnd"/>
    </w:p>
    <w:p w14:paraId="0469B638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Model/tool call sequence</w:t>
      </w:r>
    </w:p>
    <w:p w14:paraId="668029AE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each manually selected row in 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run_selection.csv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CBDFE9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Scenario loader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Ligand fetcher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Target/structure resolver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4.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RDKit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ligand preparation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Open Babel format conversion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6.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Vina docking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7.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 AI docking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Interaction parser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9. Mechanism graph builder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10. Validation-priority scorer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11. Gemini Evidence Passport generator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12. UI renders dashboard from output JSON</w:t>
      </w:r>
    </w:p>
    <w:p w14:paraId="7159D677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logic</w:t>
      </w:r>
    </w:p>
    <w:p w14:paraId="1E8597DB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Vina and </w:t>
      </w:r>
      <w:proofErr w:type="spellStart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>DiffDock</w:t>
      </w:r>
      <w:proofErr w:type="spellEnd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-L are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sequentially dependent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1F7385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They both take the same prepared </w:t>
      </w:r>
      <w:proofErr w:type="gramStart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>inputs</w:t>
      </w:r>
      <w:proofErr w:type="gramEnd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9F6950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ligand structure + protein structure</w:t>
      </w:r>
    </w:p>
    <w:p w14:paraId="21982484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and independently produce:</w:t>
      </w:r>
    </w:p>
    <w:p w14:paraId="64BD9891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Vina = classical docking energy estimate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 = AI-predicted pose confidence</w:t>
      </w:r>
    </w:p>
    <w:p w14:paraId="5892F0DB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the UI should show live</w:t>
      </w:r>
    </w:p>
    <w:p w14:paraId="182ED6E8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For a stable demo, the heavy docking </w:t>
      </w:r>
      <w:proofErr w:type="gramStart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should be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precomputed before the live presentation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. The UI then lets the user select scenario/compound/target and instantly displays the matching results.</w:t>
      </w:r>
    </w:p>
    <w:p w14:paraId="57F7317C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Runtime UI </w:t>
      </w:r>
      <w:proofErr w:type="gramStart"/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  <w:proofErr w:type="gramEnd"/>
    </w:p>
    <w:p w14:paraId="41324C85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selects scenario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user selects compound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user selects pathogen/target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UI loads matching precomputed Vina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 outputs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scorer refreshes validation priority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Gemini-generated Evidence Passport is displayed</w:t>
      </w:r>
    </w:p>
    <w:p w14:paraId="41AE686D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The UI can show “live” interaction, but docking itself should not run on click unless you explicitly build live GPU-job triggering later.</w:t>
      </w:r>
    </w:p>
    <w:p w14:paraId="5AE8FCD5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How to show docking scores</w:t>
      </w:r>
    </w:p>
    <w:p w14:paraId="37384C0C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Middle panel: Docking cards</w:t>
      </w:r>
    </w:p>
    <w:p w14:paraId="05CA4BF1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Replace the current three cards with scenario-specific cards.</w:t>
      </w:r>
    </w:p>
    <w:p w14:paraId="3CD01F63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348"/>
      </w:tblGrid>
      <w:tr w:rsidR="00C60619" w:rsidRPr="00C60619" w14:paraId="40A43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0F3B5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17A218F5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Display</w:t>
            </w:r>
          </w:p>
        </w:tc>
      </w:tr>
      <w:tr w:rsidR="00C60619" w:rsidRPr="00C60619" w14:paraId="206B2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AC0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65834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Costunolide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LasR</w:t>
            </w:r>
            <w:proofErr w:type="spellEnd"/>
          </w:p>
        </w:tc>
      </w:tr>
      <w:tr w:rsidR="00C60619" w:rsidRPr="00C60619" w14:paraId="68165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001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842F4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Dehydrocostus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lactone →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PqsR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MvfR</w:t>
            </w:r>
            <w:proofErr w:type="spellEnd"/>
          </w:p>
        </w:tc>
      </w:tr>
      <w:tr w:rsidR="00C60619" w:rsidRPr="00C60619" w14:paraId="0DB9E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A05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E6EDA4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Comparative AI/Classical docking summary</w:t>
            </w:r>
          </w:p>
        </w:tc>
      </w:tr>
    </w:tbl>
    <w:p w14:paraId="2F965569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For each card show:</w:t>
      </w:r>
    </w:p>
    <w:p w14:paraId="35575D82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Vina estimate: -8.7 kcal/mol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 confidence: 0.81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Structure status: resolved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status: success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Interpretation: docking plausibility only</w:t>
      </w:r>
    </w:p>
    <w:p w14:paraId="73AB1F30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 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333"/>
        <w:gridCol w:w="2581"/>
      </w:tblGrid>
      <w:tr w:rsidR="00C60619" w:rsidRPr="00C60619" w14:paraId="1C73B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861E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630E9A8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80ACD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 not say</w:t>
            </w:r>
          </w:p>
        </w:tc>
      </w:tr>
      <w:tr w:rsidR="00C60619" w:rsidRPr="00C60619" w14:paraId="79763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828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Vina kcal/mol</w:t>
            </w:r>
          </w:p>
        </w:tc>
        <w:tc>
          <w:tcPr>
            <w:tcW w:w="0" w:type="auto"/>
            <w:vAlign w:val="center"/>
            <w:hideMark/>
          </w:tcPr>
          <w:p w14:paraId="67A3E19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Classical docking energy estimate</w:t>
            </w:r>
          </w:p>
        </w:tc>
        <w:tc>
          <w:tcPr>
            <w:tcW w:w="0" w:type="auto"/>
            <w:vAlign w:val="center"/>
            <w:hideMark/>
          </w:tcPr>
          <w:p w14:paraId="1512488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binding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proven”</w:t>
            </w:r>
          </w:p>
        </w:tc>
      </w:tr>
      <w:tr w:rsidR="00C60619" w:rsidRPr="00C60619" w14:paraId="4B89D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C30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DiffDock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 confidence</w:t>
            </w:r>
          </w:p>
        </w:tc>
        <w:tc>
          <w:tcPr>
            <w:tcW w:w="0" w:type="auto"/>
            <w:vAlign w:val="center"/>
            <w:hideMark/>
          </w:tcPr>
          <w:p w14:paraId="20D3DFD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pose confidence</w:t>
            </w:r>
          </w:p>
        </w:tc>
        <w:tc>
          <w:tcPr>
            <w:tcW w:w="0" w:type="auto"/>
            <w:vAlign w:val="center"/>
            <w:hideMark/>
          </w:tcPr>
          <w:p w14:paraId="7B3F6EC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biological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effect proven”</w:t>
            </w:r>
          </w:p>
        </w:tc>
      </w:tr>
      <w:tr w:rsidR="00C60619" w:rsidRPr="00C60619" w14:paraId="12DFD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9BD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Priority Score</w:t>
            </w:r>
          </w:p>
        </w:tc>
        <w:tc>
          <w:tcPr>
            <w:tcW w:w="0" w:type="auto"/>
            <w:vAlign w:val="center"/>
            <w:hideMark/>
          </w:tcPr>
          <w:p w14:paraId="14AA375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pair to test next</w:t>
            </w:r>
          </w:p>
        </w:tc>
        <w:tc>
          <w:tcPr>
            <w:tcW w:w="0" w:type="auto"/>
            <w:vAlign w:val="center"/>
            <w:hideMark/>
          </w:tcPr>
          <w:p w14:paraId="6118E39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efficacy”</w:t>
            </w:r>
          </w:p>
        </w:tc>
      </w:tr>
      <w:tr w:rsidR="00C60619" w:rsidRPr="00C60619" w14:paraId="7EA5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FCB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Mechanism graph</w:t>
            </w:r>
          </w:p>
        </w:tc>
        <w:tc>
          <w:tcPr>
            <w:tcW w:w="0" w:type="auto"/>
            <w:vAlign w:val="center"/>
            <w:hideMark/>
          </w:tcPr>
          <w:p w14:paraId="3DD5B96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 explanation</w:t>
            </w:r>
          </w:p>
        </w:tc>
        <w:tc>
          <w:tcPr>
            <w:tcW w:w="0" w:type="auto"/>
            <w:vAlign w:val="center"/>
            <w:hideMark/>
          </w:tcPr>
          <w:p w14:paraId="4B36569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confirmed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mechanism”</w:t>
            </w:r>
          </w:p>
        </w:tc>
      </w:tr>
    </w:tbl>
    <w:p w14:paraId="3C919889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to calculate and show overall outcome</w:t>
      </w:r>
    </w:p>
    <w:p w14:paraId="389587A0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The right panel should show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Priority Score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, not efficacy.</w:t>
      </w:r>
    </w:p>
    <w:p w14:paraId="5B80E661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Recommended score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1722"/>
      </w:tblGrid>
      <w:tr w:rsidR="00C60619" w:rsidRPr="00C60619" w14:paraId="6DFA9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30E9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23EAFC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weight</w:t>
            </w:r>
          </w:p>
        </w:tc>
      </w:tr>
      <w:tr w:rsidR="00C60619" w:rsidRPr="00C60619" w14:paraId="13F0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00E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readiness</w:t>
            </w:r>
          </w:p>
        </w:tc>
        <w:tc>
          <w:tcPr>
            <w:tcW w:w="0" w:type="auto"/>
            <w:vAlign w:val="center"/>
            <w:hideMark/>
          </w:tcPr>
          <w:p w14:paraId="79D5A38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C60619" w:rsidRPr="00C60619" w14:paraId="7519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63F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Docking consistency: Vina +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DiffDock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14:paraId="15A1A3E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C60619" w:rsidRPr="00C60619" w14:paraId="2DE0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C4F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DiffDock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 pose confidence</w:t>
            </w:r>
          </w:p>
        </w:tc>
        <w:tc>
          <w:tcPr>
            <w:tcW w:w="0" w:type="auto"/>
            <w:vAlign w:val="center"/>
            <w:hideMark/>
          </w:tcPr>
          <w:p w14:paraId="1A90538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C60619" w:rsidRPr="00C60619" w14:paraId="3E750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022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Mechanism relevance</w:t>
            </w:r>
          </w:p>
        </w:tc>
        <w:tc>
          <w:tcPr>
            <w:tcW w:w="0" w:type="auto"/>
            <w:vAlign w:val="center"/>
            <w:hideMark/>
          </w:tcPr>
          <w:p w14:paraId="00A7BFC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C60619" w:rsidRPr="00C60619" w14:paraId="2ADC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463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traceability</w:t>
            </w:r>
          </w:p>
        </w:tc>
        <w:tc>
          <w:tcPr>
            <w:tcW w:w="0" w:type="auto"/>
            <w:vAlign w:val="center"/>
            <w:hideMark/>
          </w:tcPr>
          <w:p w14:paraId="2AC035C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C60619" w:rsidRPr="00C60619" w14:paraId="2996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E58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Uncertainty penalty</w:t>
            </w:r>
          </w:p>
        </w:tc>
        <w:tc>
          <w:tcPr>
            <w:tcW w:w="0" w:type="auto"/>
            <w:vAlign w:val="center"/>
            <w:hideMark/>
          </w:tcPr>
          <w:p w14:paraId="7633502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-10%</w:t>
            </w:r>
          </w:p>
        </w:tc>
      </w:tr>
    </w:tbl>
    <w:p w14:paraId="0FFAF06B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8E5F4AA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validation_priority_score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84.2,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"decision": "Prioritize for wet-lab validation",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evidence_strength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"Moderate-high preclinical plausibility",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"interpretation": "Validation-priority signal only; not clinical efficacy."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8E7F5A7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Decision bands: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795"/>
      </w:tblGrid>
      <w:tr w:rsidR="00C60619" w:rsidRPr="00C60619" w14:paraId="757F7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7BD9F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AC227D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UI decision</w:t>
            </w:r>
          </w:p>
        </w:tc>
      </w:tr>
      <w:tr w:rsidR="00C60619" w:rsidRPr="00C60619" w14:paraId="220A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2204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0E8BBE2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 for wet-lab validation</w:t>
            </w:r>
          </w:p>
        </w:tc>
      </w:tr>
      <w:tr w:rsidR="00C60619" w:rsidRPr="00C60619" w14:paraId="5C062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8DD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60–79</w:t>
            </w:r>
          </w:p>
        </w:tc>
        <w:tc>
          <w:tcPr>
            <w:tcW w:w="0" w:type="auto"/>
            <w:vAlign w:val="center"/>
            <w:hideMark/>
          </w:tcPr>
          <w:p w14:paraId="75E48D1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Promising but needs stronger evidence</w:t>
            </w:r>
          </w:p>
        </w:tc>
      </w:tr>
      <w:tr w:rsidR="00C60619" w:rsidRPr="00C60619" w14:paraId="0C2A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4C6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14:paraId="7BE1453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Exploratory / low confidence</w:t>
            </w:r>
          </w:p>
        </w:tc>
      </w:tr>
      <w:tr w:rsidR="00C60619" w:rsidRPr="00C60619" w14:paraId="5189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25B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&lt;40</w:t>
            </w:r>
          </w:p>
        </w:tc>
        <w:tc>
          <w:tcPr>
            <w:tcW w:w="0" w:type="auto"/>
            <w:vAlign w:val="center"/>
            <w:hideMark/>
          </w:tcPr>
          <w:p w14:paraId="02F3798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prioritize yet</w:t>
            </w:r>
          </w:p>
        </w:tc>
      </w:tr>
    </w:tbl>
    <w:p w14:paraId="14C9C677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What should change in the attached UI</w:t>
      </w:r>
    </w:p>
    <w:p w14:paraId="1BCF7FED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Keep</w:t>
      </w:r>
    </w:p>
    <w:p w14:paraId="026B5F86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AYUSH Bio-AI Evidence Demo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Bio-AI Mechanism Layer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Global Evidence Passport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 Priority Score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 Ranked Output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Evidence Traceability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Research-use-only disclaimer</w:t>
      </w:r>
    </w:p>
    <w:p w14:paraId="6C3C4289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5095"/>
      </w:tblGrid>
      <w:tr w:rsidR="00C60619" w:rsidRPr="00C60619" w14:paraId="68346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17E14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visual text</w:t>
            </w:r>
          </w:p>
        </w:tc>
        <w:tc>
          <w:tcPr>
            <w:tcW w:w="0" w:type="auto"/>
            <w:vAlign w:val="center"/>
            <w:hideMark/>
          </w:tcPr>
          <w:p w14:paraId="25DE9CDC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 with</w:t>
            </w:r>
          </w:p>
        </w:tc>
      </w:tr>
      <w:tr w:rsidR="00C60619" w:rsidRPr="00C60619" w14:paraId="4F1ED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FF5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Trikatu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Piperine</w:t>
            </w:r>
          </w:p>
        </w:tc>
        <w:tc>
          <w:tcPr>
            <w:tcW w:w="0" w:type="auto"/>
            <w:vAlign w:val="center"/>
            <w:hideMark/>
          </w:tcPr>
          <w:p w14:paraId="0423090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Kuth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Saussurea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costus</w:t>
            </w:r>
            <w:proofErr w:type="spellEnd"/>
          </w:p>
        </w:tc>
      </w:tr>
      <w:tr w:rsidR="00C60619" w:rsidRPr="00C60619" w14:paraId="3CF6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3DC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MRSA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EFD4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Pseudomonas aeruginosa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PqsR-MvfR</w:t>
            </w:r>
            <w:proofErr w:type="spellEnd"/>
          </w:p>
        </w:tc>
      </w:tr>
      <w:tr w:rsidR="00C60619" w:rsidRPr="00C60619" w14:paraId="6800D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8E5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Ciprofloxacin mandatory</w:t>
            </w:r>
          </w:p>
        </w:tc>
        <w:tc>
          <w:tcPr>
            <w:tcW w:w="0" w:type="auto"/>
            <w:vAlign w:val="center"/>
            <w:hideMark/>
          </w:tcPr>
          <w:p w14:paraId="42378BF4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comparator / TBD</w:t>
            </w:r>
          </w:p>
        </w:tc>
      </w:tr>
      <w:tr w:rsidR="00C60619" w:rsidRPr="00C60619" w14:paraId="7DEB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3C6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Piperine + Ciprofloxacin</w:t>
            </w:r>
          </w:p>
        </w:tc>
        <w:tc>
          <w:tcPr>
            <w:tcW w:w="0" w:type="auto"/>
            <w:vAlign w:val="center"/>
            <w:hideMark/>
          </w:tcPr>
          <w:p w14:paraId="17BB0CE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Costunolide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Dehydrocostus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lactone target pair</w:t>
            </w:r>
          </w:p>
        </w:tc>
      </w:tr>
      <w:tr w:rsidR="00C60619" w:rsidRPr="00C60619" w14:paraId="4E1A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A96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Antibiotic restoration hypothesis</w:t>
            </w:r>
          </w:p>
        </w:tc>
        <w:tc>
          <w:tcPr>
            <w:tcW w:w="0" w:type="auto"/>
            <w:vAlign w:val="center"/>
            <w:hideMark/>
          </w:tcPr>
          <w:p w14:paraId="6729EA9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Quorum-sensing / anti-virulence hypothesis</w:t>
            </w:r>
          </w:p>
        </w:tc>
      </w:tr>
      <w:tr w:rsidR="00C60619" w:rsidRPr="00C60619" w14:paraId="20870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771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FICI checkerboard mandatory</w:t>
            </w:r>
          </w:p>
        </w:tc>
        <w:tc>
          <w:tcPr>
            <w:tcW w:w="0" w:type="auto"/>
            <w:vAlign w:val="center"/>
            <w:hideMark/>
          </w:tcPr>
          <w:p w14:paraId="3F14EAF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future comparator assay</w:t>
            </w:r>
          </w:p>
        </w:tc>
      </w:tr>
      <w:tr w:rsidR="00C60619" w:rsidRPr="00C60619" w14:paraId="7D92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2F1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Efflux assay mandatory</w:t>
            </w:r>
          </w:p>
        </w:tc>
        <w:tc>
          <w:tcPr>
            <w:tcW w:w="0" w:type="auto"/>
            <w:vAlign w:val="center"/>
            <w:hideMark/>
          </w:tcPr>
          <w:p w14:paraId="4CE4B8C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Scenario-specific validation assay</w:t>
            </w:r>
          </w:p>
        </w:tc>
      </w:tr>
      <w:tr w:rsidR="00C60619" w:rsidRPr="00C60619" w14:paraId="7313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CA3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qPCR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icaA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5442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qPCR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PqsR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SrtA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depending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scenario</w:t>
            </w:r>
          </w:p>
        </w:tc>
      </w:tr>
    </w:tbl>
    <w:p w14:paraId="499B1903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Correct “Next Validation” section</w:t>
      </w:r>
    </w:p>
    <w:p w14:paraId="5E1B5C88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For Pseudomonas / </w:t>
      </w:r>
      <w:proofErr w:type="spellStart"/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LasR</w:t>
      </w:r>
      <w:proofErr w:type="spellEnd"/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proofErr w:type="spellStart"/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PqsR</w:t>
      </w:r>
      <w:proofErr w:type="spellEnd"/>
    </w:p>
    <w:p w14:paraId="5AB9C271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Quorum-sensing reporter assay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Pyocyanin assay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Elastase/protease virulence assay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Biofilm maturation/inhibition assay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Motility assay if relevant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MIC/MBC only if antibacterial activity is evaluated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Cytotoxicity testing</w:t>
      </w:r>
    </w:p>
    <w:p w14:paraId="23655E9E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For Staphylococcus / </w:t>
      </w:r>
      <w:proofErr w:type="spellStart"/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AgrA</w:t>
      </w:r>
      <w:proofErr w:type="spellEnd"/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proofErr w:type="spellStart"/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SrtA</w:t>
      </w:r>
      <w:proofErr w:type="spellEnd"/>
    </w:p>
    <w:p w14:paraId="02EB86A7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quorum-sensing reporter assay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Hemolysin / virulence-factor readout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Adhesion /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sortase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-linked assay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Biofilm initiation/inhibition assay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MIC/MBC only if antibacterial activity is evaluated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Cytotoxicity testing</w:t>
      </w:r>
    </w:p>
    <w:p w14:paraId="20997170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Final end-to-end flow for the UI</w:t>
      </w:r>
    </w:p>
    <w:p w14:paraId="39A19514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input: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Scenario + compound + pathogen + target + study context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layer: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scenario config + candidate registry + ligand library + target registry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run_selection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Preprocessing: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fetch IDs → prepare ligand → resolve protein → prepare receptor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Model/tool layer: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Vina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 independently run on same compound-target pair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Analysis layer: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interaction parser → mechanism graph → validation-priority scorer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Evidence layer: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Gemini creates Global Evidence Passport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output: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docking cards + mechanism graph + validation score + top ranked compound-target pairs + next validation steps</w:t>
      </w:r>
    </w:p>
    <w:p w14:paraId="06E10460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01717DC4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The UI should become a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 validation dashboard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, not a fixed Piperine/Ciprofloxacin dashboard.</w:t>
      </w:r>
    </w:p>
    <w:p w14:paraId="79F28617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Best current default:</w:t>
      </w:r>
    </w:p>
    <w:p w14:paraId="680F21E8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Kuth /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Saussurea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Costunolide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Dehydrocostus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lactone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Pseudomonas aeruginosa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PqsR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MvfR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quorum-sensing / virulence / biofilm maturation hypothesis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Validation Priority Score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Global Evidence Passport</w:t>
      </w:r>
    </w:p>
    <w:p w14:paraId="2794A8E9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And always show:</w:t>
      </w:r>
    </w:p>
    <w:p w14:paraId="0D20AE24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Research-use-only prioritization demo. Not clinical guidance.</w:t>
      </w:r>
    </w:p>
    <w:p w14:paraId="39C55719" w14:textId="77777777" w:rsidR="00C60619" w:rsidRPr="00C60619" w:rsidRDefault="00C60619" w:rsidP="00C60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also add from where we can get or download the real datasets?</w:t>
      </w:r>
    </w:p>
    <w:p w14:paraId="62AB2083" w14:textId="77777777" w:rsidR="00C60619" w:rsidRPr="00C60619" w:rsidRDefault="00C60619" w:rsidP="00C606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Thought for 1m 30s</w:t>
      </w:r>
    </w:p>
    <w:p w14:paraId="5A0B37E6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Yes — add a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“Real Data Sources / Download Sources”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layer to the UI-flow plan. For the Kuth MVP, the datasets should come from public scientific databases where possible, and any missing items should be marked honestly as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missing_real_data</w:t>
      </w:r>
      <w:proofErr w:type="spellEnd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curated_public</w:t>
      </w:r>
      <w:proofErr w:type="spellEnd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6C6B7C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 datasets/download sources to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2574"/>
        <w:gridCol w:w="1456"/>
        <w:gridCol w:w="2185"/>
      </w:tblGrid>
      <w:tr w:rsidR="00C60619" w:rsidRPr="00C60619" w14:paraId="1B71A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47AB2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 dataset file</w:t>
            </w:r>
          </w:p>
        </w:tc>
        <w:tc>
          <w:tcPr>
            <w:tcW w:w="0" w:type="auto"/>
            <w:vAlign w:val="center"/>
            <w:hideMark/>
          </w:tcPr>
          <w:p w14:paraId="6EC3C1DF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contains</w:t>
            </w:r>
          </w:p>
        </w:tc>
        <w:tc>
          <w:tcPr>
            <w:tcW w:w="0" w:type="auto"/>
            <w:vAlign w:val="center"/>
            <w:hideMark/>
          </w:tcPr>
          <w:p w14:paraId="66F18597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 real source</w:t>
            </w:r>
          </w:p>
        </w:tc>
        <w:tc>
          <w:tcPr>
            <w:tcW w:w="0" w:type="auto"/>
            <w:vAlign w:val="center"/>
            <w:hideMark/>
          </w:tcPr>
          <w:p w14:paraId="5A9EDC2D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Fallback / note</w:t>
            </w:r>
          </w:p>
        </w:tc>
      </w:tr>
      <w:tr w:rsidR="00C60619" w:rsidRPr="00C60619" w14:paraId="7C24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E59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candidate_registry.csv</w:t>
            </w:r>
          </w:p>
        </w:tc>
        <w:tc>
          <w:tcPr>
            <w:tcW w:w="0" w:type="auto"/>
            <w:vAlign w:val="center"/>
            <w:hideMark/>
          </w:tcPr>
          <w:p w14:paraId="3BB532B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AYUSH source: Kuth /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Saussurea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costus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scenario label, source tradition, active compound list</w:t>
            </w:r>
          </w:p>
        </w:tc>
        <w:tc>
          <w:tcPr>
            <w:tcW w:w="0" w:type="auto"/>
            <w:vAlign w:val="center"/>
            <w:hideMark/>
          </w:tcPr>
          <w:p w14:paraId="31664E3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Prof-provided </w:t>
            </w: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Ayush.xlsx</w:t>
            </w: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AYUSH literature, manually curated source notes</w:t>
            </w:r>
          </w:p>
        </w:tc>
        <w:tc>
          <w:tcPr>
            <w:tcW w:w="0" w:type="auto"/>
            <w:vAlign w:val="center"/>
            <w:hideMark/>
          </w:tcPr>
          <w:p w14:paraId="3CD2C03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IMPPAT can be used if the compound/herb mapping is available; otherwise mark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curated_public</w:t>
            </w:r>
            <w:proofErr w:type="spellEnd"/>
          </w:p>
        </w:tc>
      </w:tr>
      <w:tr w:rsidR="00C60619" w:rsidRPr="00C60619" w14:paraId="50FE3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6C1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ligand_library.csv</w:t>
            </w:r>
          </w:p>
        </w:tc>
        <w:tc>
          <w:tcPr>
            <w:tcW w:w="0" w:type="auto"/>
            <w:vAlign w:val="center"/>
            <w:hideMark/>
          </w:tcPr>
          <w:p w14:paraId="367E8AE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Costunolide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Dehydrocostus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lactone IDs, SMILES, InChI, molecular weight</w:t>
            </w:r>
          </w:p>
        </w:tc>
        <w:tc>
          <w:tcPr>
            <w:tcW w:w="0" w:type="auto"/>
            <w:vAlign w:val="center"/>
            <w:hideMark/>
          </w:tcPr>
          <w:p w14:paraId="2FA3332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ChEMBL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web services and PubChem/PUG REST</w:t>
            </w:r>
          </w:p>
        </w:tc>
        <w:tc>
          <w:tcPr>
            <w:tcW w:w="0" w:type="auto"/>
            <w:vAlign w:val="center"/>
            <w:hideMark/>
          </w:tcPr>
          <w:p w14:paraId="22EF4A3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ChEMBL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has documented data and cheminformatics web services; PubChem gives chemical structures/properties and downloadable compound data. </w:t>
            </w:r>
          </w:p>
        </w:tc>
      </w:tr>
      <w:tr w:rsidR="00C60619" w:rsidRPr="00C60619" w14:paraId="4AFA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E6C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pathogen_target_registry.csv</w:t>
            </w:r>
          </w:p>
        </w:tc>
        <w:tc>
          <w:tcPr>
            <w:tcW w:w="0" w:type="auto"/>
            <w:vAlign w:val="center"/>
            <w:hideMark/>
          </w:tcPr>
          <w:p w14:paraId="2EE22BE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Target metadata for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PqsR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MvfR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SrtA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gene/protein name, organism, sequence/accession</w:t>
            </w:r>
          </w:p>
        </w:tc>
        <w:tc>
          <w:tcPr>
            <w:tcW w:w="0" w:type="auto"/>
            <w:vAlign w:val="center"/>
            <w:hideMark/>
          </w:tcPr>
          <w:p w14:paraId="35BBFAB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UniProt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NCBI Protein</w:t>
            </w:r>
          </w:p>
        </w:tc>
        <w:tc>
          <w:tcPr>
            <w:tcW w:w="0" w:type="auto"/>
            <w:vAlign w:val="center"/>
            <w:hideMark/>
          </w:tcPr>
          <w:p w14:paraId="078D18B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 not invent accessions; if uncertain, mark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curated_public_pending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missing_real_data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UniProt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a protein sequence/function knowledgebase; NCBI can be used for protein records. </w:t>
            </w:r>
          </w:p>
        </w:tc>
      </w:tr>
      <w:tr w:rsidR="00C60619" w:rsidRPr="00C60619" w14:paraId="6193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463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structure_resolution_</w:t>
            </w:r>
            <w:proofErr w:type="gram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report.json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B9219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PDB/AlphaFold/ESMFold2 structure status for each target</w:t>
            </w:r>
          </w:p>
        </w:tc>
        <w:tc>
          <w:tcPr>
            <w:tcW w:w="0" w:type="auto"/>
            <w:vAlign w:val="center"/>
            <w:hideMark/>
          </w:tcPr>
          <w:p w14:paraId="0949880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RCSB PDB for experimental structures; AlphaFold DB for predicted structures</w:t>
            </w:r>
          </w:p>
        </w:tc>
        <w:tc>
          <w:tcPr>
            <w:tcW w:w="0" w:type="auto"/>
            <w:vAlign w:val="center"/>
            <w:hideMark/>
          </w:tcPr>
          <w:p w14:paraId="64F3370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RCSB provides REST and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GraphQL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APIs for structure metadata, sequences, and experimental details; AlphaFold DB provides downloadable predicted structures. </w:t>
            </w:r>
          </w:p>
        </w:tc>
      </w:tr>
      <w:tr w:rsidR="00C60619" w:rsidRPr="00C60619" w14:paraId="7A1A1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696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amr_context.csv</w:t>
            </w:r>
          </w:p>
        </w:tc>
        <w:tc>
          <w:tcPr>
            <w:tcW w:w="0" w:type="auto"/>
            <w:vAlign w:val="center"/>
            <w:hideMark/>
          </w:tcPr>
          <w:p w14:paraId="57A55F9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AMR / virulence / quorum-sensing context, mechanism labels</w:t>
            </w:r>
          </w:p>
        </w:tc>
        <w:tc>
          <w:tcPr>
            <w:tcW w:w="0" w:type="auto"/>
            <w:vAlign w:val="center"/>
            <w:hideMark/>
          </w:tcPr>
          <w:p w14:paraId="7E516B1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NCBI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AMRFinderPlus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Pathogen Detection, literature/PubMed</w:t>
            </w:r>
          </w:p>
        </w:tc>
        <w:tc>
          <w:tcPr>
            <w:tcW w:w="0" w:type="auto"/>
            <w:vAlign w:val="center"/>
            <w:hideMark/>
          </w:tcPr>
          <w:p w14:paraId="14862A8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NCBI says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AMRFinderPlus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identifies AMR genes, resistance-associated mutations, and selected other gene classes, and its software/databases are open-source/freely available. </w:t>
            </w:r>
          </w:p>
        </w:tc>
      </w:tr>
      <w:tr w:rsidR="00C60619" w:rsidRPr="00C60619" w14:paraId="3CAA4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67D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study_context.csv</w:t>
            </w:r>
          </w:p>
        </w:tc>
        <w:tc>
          <w:tcPr>
            <w:tcW w:w="0" w:type="auto"/>
            <w:vAlign w:val="center"/>
            <w:hideMark/>
          </w:tcPr>
          <w:p w14:paraId="3F9F25A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context: quorum sensing, virulence, biofilm maturation/initiation</w:t>
            </w:r>
          </w:p>
        </w:tc>
        <w:tc>
          <w:tcPr>
            <w:tcW w:w="0" w:type="auto"/>
            <w:vAlign w:val="center"/>
            <w:hideMark/>
          </w:tcPr>
          <w:p w14:paraId="57757E5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Manually curated from Prof table</w:t>
            </w:r>
          </w:p>
        </w:tc>
        <w:tc>
          <w:tcPr>
            <w:tcW w:w="0" w:type="auto"/>
            <w:vAlign w:val="center"/>
            <w:hideMark/>
          </w:tcPr>
          <w:p w14:paraId="517CD2A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This can be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synthetic_demo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because it is demo context, not measured data</w:t>
            </w:r>
          </w:p>
        </w:tc>
      </w:tr>
      <w:tr w:rsidR="00C60619" w:rsidRPr="00C60619" w14:paraId="1607D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413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docking_</w:t>
            </w:r>
            <w:proofErr w:type="gram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boxes.yaml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E7EA5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Binding-pocket/search-box settings for Vina</w:t>
            </w:r>
          </w:p>
        </w:tc>
        <w:tc>
          <w:tcPr>
            <w:tcW w:w="0" w:type="auto"/>
            <w:vAlign w:val="center"/>
            <w:hideMark/>
          </w:tcPr>
          <w:p w14:paraId="241637D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RCSB co-crystal ligand pocket, published pocket coordinates, or curated technical-smoke box</w:t>
            </w:r>
          </w:p>
        </w:tc>
        <w:tc>
          <w:tcPr>
            <w:tcW w:w="0" w:type="auto"/>
            <w:vAlign w:val="center"/>
            <w:hideMark/>
          </w:tcPr>
          <w:p w14:paraId="036A09D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label source: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co_crystal_pocket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literature_curated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predicted_pocket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or </w:t>
            </w:r>
            <w:proofErr w:type="spellStart"/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technical_smoke_only</w:t>
            </w:r>
            <w:proofErr w:type="spellEnd"/>
          </w:p>
        </w:tc>
      </w:tr>
      <w:tr w:rsidR="00C60619" w:rsidRPr="00C60619" w14:paraId="13EA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65DF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assay_results.csv</w:t>
            </w:r>
          </w:p>
        </w:tc>
        <w:tc>
          <w:tcPr>
            <w:tcW w:w="0" w:type="auto"/>
            <w:vAlign w:val="center"/>
            <w:hideMark/>
          </w:tcPr>
          <w:p w14:paraId="77E2E8A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MIC/MBC, reporter assay, biofilm, cytotoxicity, etc.</w:t>
            </w:r>
          </w:p>
        </w:tc>
        <w:tc>
          <w:tcPr>
            <w:tcW w:w="0" w:type="auto"/>
            <w:vAlign w:val="center"/>
            <w:hideMark/>
          </w:tcPr>
          <w:p w14:paraId="570494A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Prof/</w:t>
            </w: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wet-lab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65C6BA6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empty until real lab data exists. Do not invent assay values</w:t>
            </w:r>
          </w:p>
        </w:tc>
      </w:tr>
      <w:tr w:rsidR="00C60619" w:rsidRPr="00C60619" w14:paraId="684C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7E8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source_traceability.csv</w:t>
            </w:r>
          </w:p>
        </w:tc>
        <w:tc>
          <w:tcPr>
            <w:tcW w:w="0" w:type="auto"/>
            <w:vAlign w:val="center"/>
            <w:hideMark/>
          </w:tcPr>
          <w:p w14:paraId="3B7C48B3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URL/accession/database/method for every value</w:t>
            </w:r>
          </w:p>
        </w:tc>
        <w:tc>
          <w:tcPr>
            <w:tcW w:w="0" w:type="auto"/>
            <w:vAlign w:val="center"/>
            <w:hideMark/>
          </w:tcPr>
          <w:p w14:paraId="29FDBE1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 internally from every fetcher</w:t>
            </w:r>
          </w:p>
        </w:tc>
        <w:tc>
          <w:tcPr>
            <w:tcW w:w="0" w:type="auto"/>
            <w:vAlign w:val="center"/>
            <w:hideMark/>
          </w:tcPr>
          <w:p w14:paraId="067241A4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 for no-hallucination control</w:t>
            </w:r>
          </w:p>
        </w:tc>
      </w:tr>
    </w:tbl>
    <w:p w14:paraId="66CA964B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Best source mapping for the new Kuth MVP</w:t>
      </w:r>
    </w:p>
    <w:p w14:paraId="04F4A9C5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Compounds</w:t>
      </w:r>
    </w:p>
    <w:p w14:paraId="39219AF9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Use these two as mandatory ligand lookups:</w:t>
      </w:r>
    </w:p>
    <w:p w14:paraId="594302F8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Costunolide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Dehydrocostus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lactone</w:t>
      </w:r>
    </w:p>
    <w:p w14:paraId="7AD5CCFD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Fetch from:</w:t>
      </w:r>
    </w:p>
    <w:p w14:paraId="77261180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Primary: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ChEMBL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Fallback: PubChem</w:t>
      </w:r>
    </w:p>
    <w:p w14:paraId="0A7A44A1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Required fields:</w:t>
      </w:r>
    </w:p>
    <w:p w14:paraId="0FA781F9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compound_id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compound_name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source_database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source_accession_or_cid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canonical_smiles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isomeric_smiles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inchi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inchikey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molecular_formula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molecular_weight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source_url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evidence_level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real_public</w:t>
      </w:r>
      <w:proofErr w:type="spellEnd"/>
    </w:p>
    <w:p w14:paraId="2831EAC0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Pathogen targets</w:t>
      </w:r>
    </w:p>
    <w:p w14:paraId="1E07918F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For the latest Prof-defined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534"/>
        <w:gridCol w:w="2202"/>
      </w:tblGrid>
      <w:tr w:rsidR="00C60619" w:rsidRPr="00C60619" w14:paraId="527EF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7CB35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FEB62D4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Organism</w:t>
            </w:r>
          </w:p>
        </w:tc>
        <w:tc>
          <w:tcPr>
            <w:tcW w:w="0" w:type="auto"/>
            <w:vAlign w:val="center"/>
            <w:hideMark/>
          </w:tcPr>
          <w:p w14:paraId="643B5028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labels</w:t>
            </w:r>
          </w:p>
        </w:tc>
      </w:tr>
      <w:tr w:rsidR="00C60619" w:rsidRPr="00C60619" w14:paraId="5A089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83D1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1F6DEF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Pseudomonas aeruginosa</w:t>
            </w:r>
          </w:p>
        </w:tc>
        <w:tc>
          <w:tcPr>
            <w:tcW w:w="0" w:type="auto"/>
            <w:vAlign w:val="center"/>
            <w:hideMark/>
          </w:tcPr>
          <w:p w14:paraId="66D37A5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PqsR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MvfR</w:t>
            </w:r>
            <w:proofErr w:type="spellEnd"/>
          </w:p>
        </w:tc>
      </w:tr>
      <w:tr w:rsidR="00C60619" w:rsidRPr="00C60619" w14:paraId="79DFC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5F9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D2ECFA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Staphylococcus aureus</w:t>
            </w:r>
          </w:p>
        </w:tc>
        <w:tc>
          <w:tcPr>
            <w:tcW w:w="0" w:type="auto"/>
            <w:vAlign w:val="center"/>
            <w:hideMark/>
          </w:tcPr>
          <w:p w14:paraId="57E150A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AgrA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Sortase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A/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SrtA</w:t>
            </w:r>
            <w:proofErr w:type="spellEnd"/>
          </w:p>
        </w:tc>
      </w:tr>
    </w:tbl>
    <w:p w14:paraId="19635EBA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Fetch/curate from:</w:t>
      </w:r>
    </w:p>
    <w:p w14:paraId="1435D2AD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Primary: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UniProt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NCBI Protein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Structure: RCSB PDB → AlphaFold DB → optional ESMFold2 fallback</w:t>
      </w:r>
    </w:p>
    <w:p w14:paraId="6FDFE6CD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Required fields:</w:t>
      </w:r>
    </w:p>
    <w:p w14:paraId="7BA629E6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target_id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target_label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gene_symbol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target_aliases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organism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uniprot_accession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ncbi_protein_accession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protein_sequence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preferred_structure_source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structure_source_id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structure_file_path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structure_status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source_traceability_id</w:t>
      </w:r>
      <w:proofErr w:type="spellEnd"/>
    </w:p>
    <w:p w14:paraId="30A25E42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Structure datasets</w:t>
      </w:r>
    </w:p>
    <w:p w14:paraId="6006CDA3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Use this priority order:</w:t>
      </w:r>
    </w:p>
    <w:p w14:paraId="000BC0E2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RCSB PDB experimental structure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AlphaFold DB predicted structure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ESMFold2-generated fallback structure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4.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structure_pending</w:t>
      </w:r>
      <w:proofErr w:type="spellEnd"/>
    </w:p>
    <w:p w14:paraId="5DF34955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Never guess a PDB ID or AlphaFold ID. If no good structure exists, the UI should say:</w:t>
      </w:r>
    </w:p>
    <w:p w14:paraId="59513AAA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 status: Pending / unresolved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Docking status: Skipped for this target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Reason: No verified structure source available</w:t>
      </w:r>
    </w:p>
    <w:p w14:paraId="1C446BBE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AMR / virulence / function context</w:t>
      </w:r>
    </w:p>
    <w:p w14:paraId="07E625A7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For the UI labels:</w:t>
      </w:r>
    </w:p>
    <w:p w14:paraId="233F320A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Pseudomonas aeruginosa → quorum sensing, virulence, biofilm maturation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Staphylococcus aureus → quorum sensing, adhesion, biofilm initiation</w:t>
      </w:r>
    </w:p>
    <w:p w14:paraId="4A6F7037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030CBDE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NCBI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AMRFinderPlus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Pathogen Detection for AMR/virulence context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PubMed / curated literature for quorum-sensing and target-function evidence</w:t>
      </w:r>
    </w:p>
    <w:p w14:paraId="5B09CDFA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CARD can be used as an optional AMR ontology </w:t>
      </w:r>
      <w:proofErr w:type="gramStart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>source, but</w:t>
      </w:r>
      <w:proofErr w:type="gramEnd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note that CARD’s download page includes licensing/disclaimer restrictions for some uses; safer primary source for this MVP is NCBI </w:t>
      </w:r>
      <w:proofErr w:type="spellStart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>AMRFinderPlus</w:t>
      </w:r>
      <w:proofErr w:type="spellEnd"/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plus literature. </w:t>
      </w:r>
    </w:p>
    <w:p w14:paraId="222FD0DB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Updated “Data Sources” section for the UI</w:t>
      </w:r>
    </w:p>
    <w:p w14:paraId="1F6C1DA7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At the bottom of the UI, show something like:</w:t>
      </w:r>
    </w:p>
    <w:p w14:paraId="11BA5D12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Sources: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ChEMBL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PubChem |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UniProt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NCBI Protein | RCSB PDB | AlphaFold DB | NCBI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AMRFinderPlus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PubMed | Prof-curated scenario table</w:t>
      </w:r>
    </w:p>
    <w:p w14:paraId="3591475E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every source should have a status:</w:t>
      </w:r>
    </w:p>
    <w:p w14:paraId="216BB419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Curated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Pending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Failed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Synthetic demo context</w:t>
      </w:r>
    </w:p>
    <w:p w14:paraId="3BE8D97B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Real-data pipeline sequence</w:t>
      </w:r>
    </w:p>
    <w:p w14:paraId="6EEC1893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Load scenario table from configs/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scenarios.yaml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Load manually curated run_selection.csv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3. Fetch ligand data from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ChEMBL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/PubChem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4. Fetch target metadata from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UniProt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/NCBI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Resolve structures from RCSB PDB / AlphaFold DB / ESMFold2 fallback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Generate source_traceability.csv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7. Prepare ligands using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RDKit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/Open Babel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Prepare receptors for Vina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9. Run Vina and </w:t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 independently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10. Parse interactions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11. Build mechanism graph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12. Generate validation-priority score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13. Generate Evidence Passport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14. UI reads only validated output JSON files</w:t>
      </w:r>
    </w:p>
    <w:p w14:paraId="7277B7E2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your team should not download/invent</w:t>
      </w:r>
    </w:p>
    <w:p w14:paraId="75D65C4C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 use synthetic data for:</w:t>
      </w:r>
    </w:p>
    <w:p w14:paraId="3B9FD1E9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SMILES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PubChem CID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ChEMBL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UniProt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accession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NCBI protein accession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PDB ID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AlphaFold ID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docking score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DiffDock</w:t>
      </w:r>
      <w:proofErr w:type="spellEnd"/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confidence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target residues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assay values</w:t>
      </w:r>
    </w:p>
    <w:p w14:paraId="7D44ACAF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>Only these can be synthetic/demo:</w:t>
      </w:r>
    </w:p>
    <w:p w14:paraId="4EA1BBFF" w14:textId="77777777" w:rsidR="00C60619" w:rsidRPr="00C60619" w:rsidRDefault="00C60619" w:rsidP="00C6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study_context.csv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mock UI placeholders</w:t>
      </w:r>
      <w:r w:rsidRPr="00C60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technical-smoke docking box, if clearly labelled</w:t>
      </w:r>
    </w:p>
    <w:p w14:paraId="2DB5FA62" w14:textId="77777777" w:rsidR="00C60619" w:rsidRPr="00C60619" w:rsidRDefault="00C60619" w:rsidP="00C60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0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recommended source list for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5051"/>
      </w:tblGrid>
      <w:tr w:rsidR="00C60619" w:rsidRPr="00C60619" w14:paraId="539B3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345C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4AA91519" w14:textId="77777777" w:rsidR="00C60619" w:rsidRPr="00C60619" w:rsidRDefault="00C60619" w:rsidP="00C6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for</w:t>
            </w:r>
          </w:p>
        </w:tc>
      </w:tr>
      <w:tr w:rsidR="00C60619" w:rsidRPr="00C60619" w14:paraId="430B1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C23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ChEMBL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94B50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ligand metadata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compound</w:t>
            </w:r>
            <w:proofErr w:type="gramEnd"/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IDs, SMILES</w:t>
            </w:r>
          </w:p>
        </w:tc>
      </w:tr>
      <w:tr w:rsidR="00C60619" w:rsidRPr="00C60619" w14:paraId="49083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D9A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PubChem</w:t>
            </w:r>
          </w:p>
        </w:tc>
        <w:tc>
          <w:tcPr>
            <w:tcW w:w="0" w:type="auto"/>
            <w:vAlign w:val="center"/>
            <w:hideMark/>
          </w:tcPr>
          <w:p w14:paraId="5BCC55E6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ligand fallback, CID, SMILES, SDF</w:t>
            </w:r>
          </w:p>
        </w:tc>
      </w:tr>
      <w:tr w:rsidR="00C60619" w:rsidRPr="00C60619" w14:paraId="070A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3D7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UniProt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09469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protein target metadata, accessions, sequence/function</w:t>
            </w:r>
          </w:p>
        </w:tc>
      </w:tr>
      <w:tr w:rsidR="00C60619" w:rsidRPr="00C60619" w14:paraId="7E9C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F9B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NCBI Protein</w:t>
            </w:r>
          </w:p>
        </w:tc>
        <w:tc>
          <w:tcPr>
            <w:tcW w:w="0" w:type="auto"/>
            <w:vAlign w:val="center"/>
            <w:hideMark/>
          </w:tcPr>
          <w:p w14:paraId="5F669CDA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sequence/accession fallback</w:t>
            </w:r>
          </w:p>
        </w:tc>
      </w:tr>
      <w:tr w:rsidR="00C60619" w:rsidRPr="00C60619" w14:paraId="2327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3527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RCSB PDB</w:t>
            </w:r>
          </w:p>
        </w:tc>
        <w:tc>
          <w:tcPr>
            <w:tcW w:w="0" w:type="auto"/>
            <w:vAlign w:val="center"/>
            <w:hideMark/>
          </w:tcPr>
          <w:p w14:paraId="315EF69B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experimental protein structures</w:t>
            </w:r>
          </w:p>
        </w:tc>
      </w:tr>
      <w:tr w:rsidR="00C60619" w:rsidRPr="00C60619" w14:paraId="7206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AE3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AlphaFold DB</w:t>
            </w:r>
          </w:p>
        </w:tc>
        <w:tc>
          <w:tcPr>
            <w:tcW w:w="0" w:type="auto"/>
            <w:vAlign w:val="center"/>
            <w:hideMark/>
          </w:tcPr>
          <w:p w14:paraId="7BD6945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predicted protein structures</w:t>
            </w:r>
          </w:p>
        </w:tc>
      </w:tr>
      <w:tr w:rsidR="00C60619" w:rsidRPr="00C60619" w14:paraId="07F1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F17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ESMFold2</w:t>
            </w:r>
          </w:p>
        </w:tc>
        <w:tc>
          <w:tcPr>
            <w:tcW w:w="0" w:type="auto"/>
            <w:vAlign w:val="center"/>
            <w:hideMark/>
          </w:tcPr>
          <w:p w14:paraId="0F7B4AC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 structure generation only</w:t>
            </w:r>
          </w:p>
        </w:tc>
      </w:tr>
      <w:tr w:rsidR="00C60619" w:rsidRPr="00C60619" w14:paraId="1D17A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1912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NCBI </w:t>
            </w:r>
            <w:proofErr w:type="spellStart"/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AMRFinderPlus</w:t>
            </w:r>
            <w:proofErr w:type="spellEnd"/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Pathogen Detection</w:t>
            </w:r>
          </w:p>
        </w:tc>
        <w:tc>
          <w:tcPr>
            <w:tcW w:w="0" w:type="auto"/>
            <w:vAlign w:val="center"/>
            <w:hideMark/>
          </w:tcPr>
          <w:p w14:paraId="117DAB0C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AMR/virulence/stress gene context</w:t>
            </w:r>
          </w:p>
        </w:tc>
      </w:tr>
      <w:tr w:rsidR="00C60619" w:rsidRPr="00C60619" w14:paraId="3F7F9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3AEE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PubMed / literature</w:t>
            </w:r>
          </w:p>
        </w:tc>
        <w:tc>
          <w:tcPr>
            <w:tcW w:w="0" w:type="auto"/>
            <w:vAlign w:val="center"/>
            <w:hideMark/>
          </w:tcPr>
          <w:p w14:paraId="0C1C94A8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target-function and mechanism-support references</w:t>
            </w:r>
          </w:p>
        </w:tc>
      </w:tr>
      <w:tr w:rsidR="00C60619" w:rsidRPr="00C60619" w14:paraId="1A71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4EBD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Prof/Ayush.xlsx</w:t>
            </w:r>
          </w:p>
        </w:tc>
        <w:tc>
          <w:tcPr>
            <w:tcW w:w="0" w:type="auto"/>
            <w:vAlign w:val="center"/>
            <w:hideMark/>
          </w:tcPr>
          <w:p w14:paraId="1D106EA5" w14:textId="77777777" w:rsidR="00C60619" w:rsidRPr="00C60619" w:rsidRDefault="00C60619" w:rsidP="00C60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6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mapping and manually curated candidate rows</w:t>
            </w:r>
          </w:p>
        </w:tc>
      </w:tr>
    </w:tbl>
    <w:p w14:paraId="0EBFE65A" w14:textId="77777777" w:rsidR="00C60619" w:rsidRPr="00C60619" w:rsidRDefault="00C60619" w:rsidP="00C6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619">
        <w:rPr>
          <w:rFonts w:ascii="Times New Roman" w:eastAsia="Times New Roman" w:hAnsi="Times New Roman" w:cs="Times New Roman"/>
          <w:kern w:val="0"/>
          <w14:ligatures w14:val="none"/>
        </w:rPr>
        <w:t xml:space="preserve">This gives your demo a clean message: </w:t>
      </w:r>
      <w:r w:rsidRPr="00C606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public data where available, curated professor data where needed, synthetic only for demo context, and no fabricated science.</w:t>
      </w:r>
    </w:p>
    <w:p w14:paraId="2F80AE81" w14:textId="77777777" w:rsidR="0033453C" w:rsidRDefault="0033453C"/>
    <w:sectPr w:rsidR="00334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19"/>
    <w:rsid w:val="0033453C"/>
    <w:rsid w:val="0063659D"/>
    <w:rsid w:val="00787C90"/>
    <w:rsid w:val="00C6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7A03"/>
  <w15:chartTrackingRefBased/>
  <w15:docId w15:val="{CFE9A109-5F68-44D1-8438-B44902F1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2458</Words>
  <Characters>14015</Characters>
  <Application>Microsoft Office Word</Application>
  <DocSecurity>0</DocSecurity>
  <Lines>116</Lines>
  <Paragraphs>32</Paragraphs>
  <ScaleCrop>false</ScaleCrop>
  <Company/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Agrawal, Prashant</dc:creator>
  <cp:keywords/>
  <dc:description/>
  <cp:lastModifiedBy>Agrawal, Prashant</cp:lastModifiedBy>
  <cp:revision>1</cp:revision>
  <dcterms:created xsi:type="dcterms:W3CDTF">2026-06-18T14:19:00Z</dcterms:created>
  <dcterms:modified xsi:type="dcterms:W3CDTF">2026-06-18T14:21:00Z</dcterms:modified>
</cp:coreProperties>
</file>