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168FB">
      <w:pPr>
        <w:pStyle w:val="7"/>
      </w:pPr>
      <w:r>
        <w:t>管理平台后台操作手册</w:t>
      </w:r>
    </w:p>
    <w:p w14:paraId="043DCF95">
      <w:r>
        <w:t>适用对象：平台运营、财务、商务、风控、客服及后台管理员</w:t>
      </w:r>
    </w:p>
    <w:p w14:paraId="367C209C">
      <w:r>
        <w:t>版本：V1.1</w:t>
      </w:r>
    </w:p>
    <w:p w14:paraId="5D0196F0">
      <w:r>
        <w:t>本文档参考后台操作手册类文档的组织方式编写，内容以当前管理平台原型菜单和页面为准；原型中的演示数据、占位内容和范例文字不作为正式业务数据。</w:t>
      </w:r>
    </w:p>
    <w:p w14:paraId="3E98CBC5">
      <w:pPr>
        <w:pStyle w:val="2"/>
      </w:pPr>
      <w:bookmarkStart w:id="0" w:name="_Toc28261"/>
      <w:r>
        <w:t>目录</w:t>
      </w:r>
      <w:bookmarkEnd w:id="0"/>
    </w:p>
    <w:sdt>
      <w:sdtPr>
        <w:rPr>
          <w:rFonts w:ascii="宋体" w:hAnsi="宋体" w:eastAsia="宋体"/>
          <w:sz w:val="21"/>
          <w:szCs w:val="22"/>
        </w:rPr>
        <w:id w:val="147465976"/>
        <w15:color w:val="DBDBDB"/>
        <w:docPartObj>
          <w:docPartGallery w:val="Table of Contents"/>
          <w:docPartUnique/>
        </w:docPartObj>
      </w:sdtPr>
      <w:sdtContent>
        <w:p w14:paraId="3F6D8E7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8" w:name="_GoBack"/>
          <w:bookmarkEnd w:id="18"/>
          <w:r>
            <w:rPr>
              <w:rFonts w:ascii="宋体" w:hAnsi="宋体" w:eastAsia="宋体"/>
              <w:sz w:val="21"/>
            </w:rPr>
            <w:t>目录</w:t>
          </w:r>
        </w:p>
        <w:p w14:paraId="7F831A2F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_Toc28261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_Toc28261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4E457C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_Toc5035 </w:instrText>
          </w:r>
          <w:r>
            <w:fldChar w:fldCharType="separate"/>
          </w:r>
          <w:r>
            <w:t>一、系统概述</w:t>
          </w:r>
          <w:r>
            <w:tab/>
          </w:r>
          <w:r>
            <w:fldChar w:fldCharType="begin"/>
          </w:r>
          <w:r>
            <w:instrText xml:space="preserve"> PAGEREF _Toc5035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A26AED0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_Toc16730 </w:instrText>
          </w:r>
          <w:r>
            <w:fldChar w:fldCharType="separate"/>
          </w:r>
          <w:r>
            <w:t>二、通用操作说明</w:t>
          </w:r>
          <w:r>
            <w:tab/>
          </w:r>
          <w:r>
            <w:fldChar w:fldCharType="begin"/>
          </w:r>
          <w:r>
            <w:instrText xml:space="preserve"> PAGEREF _Toc16730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84CF47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_Toc25208 </w:instrText>
          </w:r>
          <w:r>
            <w:fldChar w:fldCharType="separate"/>
          </w:r>
          <w:r>
            <w:t>三、角色使用建议</w:t>
          </w:r>
          <w:r>
            <w:tab/>
          </w:r>
          <w:r>
            <w:fldChar w:fldCharType="begin"/>
          </w:r>
          <w:r>
            <w:instrText xml:space="preserve"> PAGEREF _Toc25208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93DDCF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_Toc14471 </w:instrText>
          </w:r>
          <w:r>
            <w:fldChar w:fldCharType="separate"/>
          </w:r>
          <w:r>
            <w:t>四、功能模块操作</w:t>
          </w:r>
          <w:r>
            <w:tab/>
          </w:r>
          <w:r>
            <w:fldChar w:fldCharType="begin"/>
          </w:r>
          <w:r>
            <w:instrText xml:space="preserve"> PAGEREF _Toc14471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73BC49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_Toc8785 </w:instrText>
          </w:r>
          <w:r>
            <w:fldChar w:fldCharType="separate"/>
          </w:r>
          <w:r>
            <w:t>首页</w:t>
          </w:r>
          <w:r>
            <w:tab/>
          </w:r>
          <w:r>
            <w:fldChar w:fldCharType="begin"/>
          </w:r>
          <w:r>
            <w:instrText xml:space="preserve"> PAGEREF _Toc8785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137DB4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_Toc6270 </w:instrText>
          </w:r>
          <w:r>
            <w:fldChar w:fldCharType="separate"/>
          </w:r>
          <w:r>
            <w:t>商户管理</w:t>
          </w:r>
          <w:r>
            <w:tab/>
          </w:r>
          <w:r>
            <w:fldChar w:fldCharType="begin"/>
          </w:r>
          <w:r>
            <w:instrText xml:space="preserve"> PAGEREF _Toc6270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38D6DF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_Toc29961 </w:instrText>
          </w:r>
          <w:r>
            <w:fldChar w:fldCharType="separate"/>
          </w:r>
          <w:r>
            <w:t>游戏管理</w:t>
          </w:r>
          <w:r>
            <w:tab/>
          </w:r>
          <w:r>
            <w:fldChar w:fldCharType="begin"/>
          </w:r>
          <w:r>
            <w:instrText xml:space="preserve"> PAGEREF _Toc29961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3BBC91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_Toc21799 </w:instrText>
          </w:r>
          <w:r>
            <w:fldChar w:fldCharType="separate"/>
          </w:r>
          <w:r>
            <w:t>财务中心</w:t>
          </w:r>
          <w:r>
            <w:tab/>
          </w:r>
          <w:r>
            <w:fldChar w:fldCharType="begin"/>
          </w:r>
          <w:r>
            <w:instrText xml:space="preserve"> PAGEREF _Toc21799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1B21C3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_Toc31422 </w:instrText>
          </w:r>
          <w:r>
            <w:fldChar w:fldCharType="separate"/>
          </w:r>
          <w:r>
            <w:t>数据中心</w:t>
          </w:r>
          <w:r>
            <w:tab/>
          </w:r>
          <w:r>
            <w:fldChar w:fldCharType="begin"/>
          </w:r>
          <w:r>
            <w:instrText xml:space="preserve"> PAGEREF _Toc31422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9C67C4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_Toc665 </w:instrText>
          </w:r>
          <w:r>
            <w:fldChar w:fldCharType="separate"/>
          </w:r>
          <w:r>
            <w:t>人事管理</w:t>
          </w:r>
          <w:r>
            <w:tab/>
          </w:r>
          <w:r>
            <w:fldChar w:fldCharType="begin"/>
          </w:r>
          <w:r>
            <w:instrText xml:space="preserve"> PAGEREF _Toc665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5A4BA97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_Toc25045 </w:instrText>
          </w:r>
          <w:r>
            <w:fldChar w:fldCharType="separate"/>
          </w:r>
          <w:r>
            <w:t>平台设置</w:t>
          </w:r>
          <w:r>
            <w:tab/>
          </w:r>
          <w:r>
            <w:fldChar w:fldCharType="begin"/>
          </w:r>
          <w:r>
            <w:instrText xml:space="preserve"> PAGEREF _Toc25045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372E46E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_Toc32165 </w:instrText>
          </w:r>
          <w:r>
            <w:fldChar w:fldCharType="separate"/>
          </w:r>
          <w:r>
            <w:t>消息中心</w:t>
          </w:r>
          <w:r>
            <w:tab/>
          </w:r>
          <w:r>
            <w:fldChar w:fldCharType="begin"/>
          </w:r>
          <w:r>
            <w:instrText xml:space="preserve"> PAGEREF _Toc32165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762FDDF">
          <w:pPr>
            <w:pStyle w:val="5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_Toc25563 </w:instrText>
          </w:r>
          <w:r>
            <w:fldChar w:fldCharType="separate"/>
          </w:r>
          <w:r>
            <w:t>五、重点业务流程</w:t>
          </w:r>
          <w:r>
            <w:tab/>
          </w:r>
          <w:r>
            <w:fldChar w:fldCharType="begin"/>
          </w:r>
          <w:r>
            <w:instrText xml:space="preserve"> PAGEREF _Toc25563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EC26C5B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_Toc4539 </w:instrText>
          </w:r>
          <w:r>
            <w:fldChar w:fldCharType="separate"/>
          </w:r>
          <w:r>
            <w:t>商户开通流程</w:t>
          </w:r>
          <w:r>
            <w:tab/>
          </w:r>
          <w:r>
            <w:fldChar w:fldCharType="begin"/>
          </w:r>
          <w:r>
            <w:instrText xml:space="preserve"> PAGEREF _Toc4539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22D4174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_Toc32324 </w:instrText>
          </w:r>
          <w:r>
            <w:fldChar w:fldCharType="separate"/>
          </w:r>
          <w:r>
            <w:t>账单稽核流程</w:t>
          </w:r>
          <w:r>
            <w:tab/>
          </w:r>
          <w:r>
            <w:fldChar w:fldCharType="begin"/>
          </w:r>
          <w:r>
            <w:instrText xml:space="preserve"> PAGEREF _Toc32324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6633D54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_Toc20252 </w:instrText>
          </w:r>
          <w:r>
            <w:fldChar w:fldCharType="separate"/>
          </w:r>
          <w:r>
            <w:t>资金与流水核对流程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15993D0">
          <w:pPr>
            <w:pStyle w:val="6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_Toc28265 </w:instrText>
          </w:r>
          <w:r>
            <w:fldChar w:fldCharType="separate"/>
          </w:r>
          <w:r>
            <w:t>维护与通知流程</w:t>
          </w:r>
          <w:r>
            <w:tab/>
          </w:r>
          <w:r>
            <w:fldChar w:fldCharType="begin"/>
          </w:r>
          <w:r>
            <w:instrText xml:space="preserve"> PAGEREF _Toc28265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2A850A0">
          <w:r>
            <w:fldChar w:fldCharType="end"/>
          </w:r>
        </w:p>
      </w:sdtContent>
    </w:sdt>
    <w:p w14:paraId="73F19356"/>
    <w:p w14:paraId="7064FAD8">
      <w:pPr>
        <w:pStyle w:val="2"/>
      </w:pPr>
      <w:bookmarkStart w:id="1" w:name="_Toc5035"/>
      <w:r>
        <w:t>一、系统概述</w:t>
      </w:r>
      <w:bookmarkEnd w:id="1"/>
    </w:p>
    <w:p w14:paraId="73EEAFBB">
      <w:r>
        <w:t>本管理平台用于支持 SaaS后台的商户管理、游戏管理、财务核算、经营数据分析、账号权限、平台配置、消息与投诉处理等日常运营工作。系统采用左侧页面目录进入各功能模块，右侧为当前页面操作区。</w:t>
      </w:r>
    </w:p>
    <w:p w14:paraId="1257EDB3">
      <w:pPr>
        <w:pStyle w:val="2"/>
      </w:pPr>
      <w:bookmarkStart w:id="2" w:name="_Toc16730"/>
      <w:r>
        <w:t>二、通用操作说明</w:t>
      </w:r>
      <w:bookmarkEnd w:id="2"/>
    </w:p>
    <w:p w14:paraId="52397814">
      <w:pPr>
        <w:pStyle w:val="11"/>
      </w:pPr>
      <w:r>
        <w:t>• 进入页面：在后台左侧页面目录选择对应模块和页面，右侧主区域打开目标功能。</w:t>
      </w:r>
    </w:p>
    <w:p w14:paraId="70A26449">
      <w:pPr>
        <w:pStyle w:val="11"/>
      </w:pPr>
      <w:r>
        <w:t>• 查询筛选：按业务对象输入商户、站点、游戏、日期、状态等条件，点击查询或搜索刷新列表。</w:t>
      </w:r>
    </w:p>
    <w:p w14:paraId="120CEBBE">
      <w:pPr>
        <w:pStyle w:val="11"/>
      </w:pPr>
      <w:r>
        <w:t>• 重置条件：点击重置后清空当前筛选条件，恢复页面默认查询范围。</w:t>
      </w:r>
    </w:p>
    <w:p w14:paraId="73C7B753">
      <w:pPr>
        <w:pStyle w:val="11"/>
      </w:pPr>
      <w:r>
        <w:t>• 导出数据：在支持导出的页面点击导出，按当前查询条件生成报表文件。</w:t>
      </w:r>
    </w:p>
    <w:p w14:paraId="55F06734">
      <w:pPr>
        <w:pStyle w:val="11"/>
      </w:pPr>
      <w:r>
        <w:t>• 新增或编辑：点击新增、添加、编辑、修改等操作后，按弹窗或表单要求填写必填项并保存。</w:t>
      </w:r>
    </w:p>
    <w:p w14:paraId="5F0A9868">
      <w:pPr>
        <w:pStyle w:val="11"/>
      </w:pPr>
      <w:r>
        <w:t>• 删除与确认：涉及删除、归集、维护、稽核、金额调整等高风险操作时，应核对对象、金额、状态和时间后再确认。</w:t>
      </w:r>
    </w:p>
    <w:p w14:paraId="02C98CB3">
      <w:pPr>
        <w:pStyle w:val="2"/>
      </w:pPr>
      <w:bookmarkStart w:id="3" w:name="_Toc25208"/>
      <w:r>
        <w:t>三、角色使用建议</w:t>
      </w:r>
      <w:bookmarkEnd w:id="3"/>
    </w:p>
    <w:tbl>
      <w:tblPr>
        <w:tblStyle w:val="9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3078636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FDC8BB8">
            <w:r>
              <w:t>角色</w:t>
            </w:r>
          </w:p>
        </w:tc>
        <w:tc>
          <w:tcPr>
            <w:tcW w:w="3000" w:type="dxa"/>
          </w:tcPr>
          <w:p w14:paraId="415F0051">
            <w:r>
              <w:t>主要使用模块</w:t>
            </w:r>
          </w:p>
        </w:tc>
        <w:tc>
          <w:tcPr>
            <w:tcW w:w="3000" w:type="dxa"/>
          </w:tcPr>
          <w:p w14:paraId="67E204B8">
            <w:r>
              <w:t>操作重点</w:t>
            </w:r>
          </w:p>
        </w:tc>
      </w:tr>
      <w:tr w14:paraId="529AE75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5E1EBA6">
            <w:r>
              <w:t>运营人员</w:t>
            </w:r>
          </w:p>
        </w:tc>
        <w:tc>
          <w:tcPr>
            <w:tcW w:w="3000" w:type="dxa"/>
          </w:tcPr>
          <w:p w14:paraId="6E3CB4F5">
            <w:r>
              <w:t>默认看板、商户管理、游戏管理、数据中心</w:t>
            </w:r>
          </w:p>
        </w:tc>
        <w:tc>
          <w:tcPr>
            <w:tcW w:w="3000" w:type="dxa"/>
          </w:tcPr>
          <w:p w14:paraId="5D78221F">
            <w:r>
              <w:t>关注商户状态、游戏配置、经营数据和异常趋势。</w:t>
            </w:r>
          </w:p>
        </w:tc>
      </w:tr>
      <w:tr w14:paraId="29B1FCB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2ED7EB94">
            <w:r>
              <w:t>财务人员</w:t>
            </w:r>
          </w:p>
        </w:tc>
        <w:tc>
          <w:tcPr>
            <w:tcW w:w="3000" w:type="dxa"/>
          </w:tcPr>
          <w:p w14:paraId="753BFCE1">
            <w:r>
              <w:t>财务中心、数据中心</w:t>
            </w:r>
          </w:p>
        </w:tc>
        <w:tc>
          <w:tcPr>
            <w:tcW w:w="3000" w:type="dxa"/>
          </w:tcPr>
          <w:p w14:paraId="66A61D43">
            <w:r>
              <w:t>核对账单、充值、人工加扣款、厂商费用、平台收入和账变流水。</w:t>
            </w:r>
          </w:p>
        </w:tc>
      </w:tr>
      <w:tr w14:paraId="1815A1C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0AD74FAC">
            <w:r>
              <w:t>客服/风控</w:t>
            </w:r>
          </w:p>
        </w:tc>
        <w:tc>
          <w:tcPr>
            <w:tcW w:w="3000" w:type="dxa"/>
          </w:tcPr>
          <w:p w14:paraId="7D3B01C6">
            <w:r>
              <w:t>消息中心、财务中心、商户管理</w:t>
            </w:r>
          </w:p>
        </w:tc>
        <w:tc>
          <w:tcPr>
            <w:tcW w:w="3000" w:type="dxa"/>
          </w:tcPr>
          <w:p w14:paraId="418EF13C">
            <w:r>
              <w:t>处理投诉、建议、逾期商户、账号状态和异常记录。</w:t>
            </w:r>
          </w:p>
        </w:tc>
      </w:tr>
      <w:tr w14:paraId="00F86FB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0C66F2BE">
            <w:r>
              <w:t>系统管理员</w:t>
            </w:r>
          </w:p>
        </w:tc>
        <w:tc>
          <w:tcPr>
            <w:tcW w:w="3000" w:type="dxa"/>
          </w:tcPr>
          <w:p w14:paraId="26DDCD5F">
            <w:r>
              <w:t>人事管理、平台设置</w:t>
            </w:r>
          </w:p>
        </w:tc>
        <w:tc>
          <w:tcPr>
            <w:tcW w:w="3000" w:type="dxa"/>
          </w:tcPr>
          <w:p w14:paraId="11E364A4">
            <w:r>
              <w:t>维护账号权限、菜单页面、币种、日志和平台维护计划。</w:t>
            </w:r>
          </w:p>
        </w:tc>
      </w:tr>
    </w:tbl>
    <w:p w14:paraId="6014F5F6">
      <w:pPr>
        <w:pStyle w:val="2"/>
      </w:pPr>
      <w:bookmarkStart w:id="4" w:name="_Toc14471"/>
      <w:r>
        <w:t>四、功能模块操作</w:t>
      </w:r>
      <w:bookmarkEnd w:id="4"/>
    </w:p>
    <w:p w14:paraId="507BB21E">
      <w:pPr>
        <w:pStyle w:val="3"/>
      </w:pPr>
      <w:bookmarkStart w:id="5" w:name="_Toc8785"/>
      <w:r>
        <w:t>首页</w:t>
      </w:r>
      <w:bookmarkEnd w:id="5"/>
    </w:p>
    <w:p w14:paraId="27CA38C2">
      <w:pPr>
        <w:pStyle w:val="4"/>
      </w:pPr>
      <w:r>
        <w:t>默认看板</w:t>
      </w:r>
    </w:p>
    <w:p w14:paraId="7C0A91CF">
      <w:pPr>
        <w:pStyle w:val="11"/>
      </w:pPr>
      <w:r>
        <w:t>• 进入路径：默认看板</w:t>
      </w:r>
    </w:p>
    <w:p w14:paraId="52235E90">
      <w:pPr>
        <w:pStyle w:val="11"/>
      </w:pPr>
      <w:r>
        <w:t>• 功能说明：用于快速查看平台整体经营情况，是运营、财务和管理人员进入后台后的日常巡检入口。</w:t>
      </w:r>
    </w:p>
    <w:p w14:paraId="4E5CD0EC">
      <w:pPr>
        <w:pStyle w:val="11"/>
      </w:pPr>
      <w:r>
        <w:t>• 适用场景：适用于查看商户充值、可用余额、平台收入、游戏投注、客损、RTP、商户排行和近期趋势。</w:t>
      </w:r>
    </w:p>
    <w:p w14:paraId="5C5A4E08">
      <w:pPr>
        <w:pStyle w:val="11"/>
      </w:pPr>
      <w:r>
        <w:t>• 关键字段/填写项：核心指标包括商户数、厂商数、游戏类型、投注人数、注单数、总投注、有效投注、派彩、RTP、客损、商户充值、可用余额和平台收入。</w:t>
      </w:r>
    </w:p>
    <w:p w14:paraId="7E5D3F4F">
      <w:r>
        <w:t>操作步骤：</w:t>
      </w:r>
    </w:p>
    <w:p w14:paraId="79F65FDE">
      <w:pPr>
        <w:pStyle w:val="11"/>
      </w:pPr>
      <w:r>
        <w:t>• 1. 进入默认看板后先查看顶部核心指标，判断是否存在明显波动。</w:t>
      </w:r>
    </w:p>
    <w:p w14:paraId="33764E62">
      <w:pPr>
        <w:pStyle w:val="11"/>
      </w:pPr>
      <w:r>
        <w:t>• 2. 按今日、本周、本月等时间口径查看趋势和排名。</w:t>
      </w:r>
    </w:p>
    <w:p w14:paraId="3B935283">
      <w:pPr>
        <w:pStyle w:val="11"/>
      </w:pPr>
      <w:r>
        <w:t>• 3. 发现异常商户或游戏指标后，进入数据中心或财务中心进一步核对。</w:t>
      </w:r>
    </w:p>
    <w:p w14:paraId="75F353B1">
      <w:pPr>
        <w:pStyle w:val="11"/>
      </w:pPr>
      <w:r>
        <w:t>• 注意事项：看板数据用于经营监控和异常发现，具体结算仍以财务中心账单和流水页面为准。</w:t>
      </w:r>
    </w:p>
    <w:p w14:paraId="2773DA8C">
      <w:pPr>
        <w:pStyle w:val="3"/>
      </w:pPr>
      <w:bookmarkStart w:id="6" w:name="_Toc6270"/>
      <w:r>
        <w:t>商户管理</w:t>
      </w:r>
      <w:bookmarkEnd w:id="6"/>
    </w:p>
    <w:p w14:paraId="78652715">
      <w:pPr>
        <w:pStyle w:val="4"/>
      </w:pPr>
      <w:r>
        <w:t>商户列表</w:t>
      </w:r>
    </w:p>
    <w:p w14:paraId="7BE96ACF">
      <w:pPr>
        <w:pStyle w:val="11"/>
      </w:pPr>
      <w:r>
        <w:t>• 进入路径：商户管理 / 商户列表</w:t>
      </w:r>
    </w:p>
    <w:p w14:paraId="080DAD52">
      <w:pPr>
        <w:pStyle w:val="11"/>
      </w:pPr>
      <w:r>
        <w:t>• 功能说明：用于查询和维护商户基础资料、账号状态、站点状态、余额和授信相关信息。</w:t>
      </w:r>
    </w:p>
    <w:p w14:paraId="1486D74F">
      <w:pPr>
        <w:pStyle w:val="11"/>
      </w:pPr>
      <w:r>
        <w:t>• 适用场景：适用于新增商户后的核对、商户状态调整、进入支付 IP、站点费用、账单稽核等关联操作。</w:t>
      </w:r>
    </w:p>
    <w:p w14:paraId="744562FF">
      <w:pPr>
        <w:pStyle w:val="11"/>
      </w:pPr>
      <w:r>
        <w:t>• 关键字段/填写项：关键字段包括商户 ID、商户名称、账号状态、站点状态、商户余额、授信额度、可用额度、欠费金额和操作入口。</w:t>
      </w:r>
    </w:p>
    <w:p w14:paraId="248EB2D1">
      <w:r>
        <w:t>操作步骤：</w:t>
      </w:r>
    </w:p>
    <w:p w14:paraId="6F02A40A">
      <w:pPr>
        <w:pStyle w:val="11"/>
      </w:pPr>
      <w:r>
        <w:t>• 1. 输入商户 ID、商户名称或状态条件查询目标商户。</w:t>
      </w:r>
    </w:p>
    <w:p w14:paraId="0CF32442">
      <w:pPr>
        <w:pStyle w:val="11"/>
      </w:pPr>
      <w:r>
        <w:t>• 2. 查看商户余额、授信和欠费情况，确认当前经营状态。</w:t>
      </w:r>
    </w:p>
    <w:p w14:paraId="1C9D17BC">
      <w:pPr>
        <w:pStyle w:val="11"/>
      </w:pPr>
      <w:r>
        <w:t>• 3. 通过编辑、修改商户状态、修改站点状态、支付 IP 管理或账单稽核进入后续操作。</w:t>
      </w:r>
    </w:p>
    <w:p w14:paraId="2EF25B52">
      <w:pPr>
        <w:pStyle w:val="11"/>
      </w:pPr>
      <w:r>
        <w:t>• 注意事项：欠费和可用额度为业务判断指标，状态修改前应确认是否会影响商户登录、站点访问或结算流程。</w:t>
      </w:r>
    </w:p>
    <w:p w14:paraId="3E6AA4D8">
      <w:pPr>
        <w:pStyle w:val="4"/>
      </w:pPr>
      <w:r>
        <w:t>新增商户</w:t>
      </w:r>
    </w:p>
    <w:p w14:paraId="4BB90DEF">
      <w:pPr>
        <w:pStyle w:val="11"/>
      </w:pPr>
      <w:r>
        <w:t>• 进入路径：商户管理 / 新增商户</w:t>
      </w:r>
    </w:p>
    <w:p w14:paraId="416F31D5">
      <w:pPr>
        <w:pStyle w:val="11"/>
      </w:pPr>
      <w:r>
        <w:t>• 功能说明：用于创建新商户并完成开通前的基础配置。</w:t>
      </w:r>
    </w:p>
    <w:p w14:paraId="1EE7E4C0">
      <w:pPr>
        <w:pStyle w:val="11"/>
      </w:pPr>
      <w:r>
        <w:t>• 适用场景：适用于商务或运营完成商户准入后，在后台建立商户账号、站点、游戏、支付和通知配置。</w:t>
      </w:r>
    </w:p>
    <w:p w14:paraId="3FACBC9A">
      <w:pPr>
        <w:pStyle w:val="11"/>
      </w:pPr>
      <w:r>
        <w:t>• 关键字段/填写项：关键填写项包括商户名称、后台登录账户、初始密码、经营国家、币种、语言、注册方式、游戏配置、支付通道和通知方式。</w:t>
      </w:r>
    </w:p>
    <w:p w14:paraId="445352A8">
      <w:r>
        <w:t>操作步骤：</w:t>
      </w:r>
    </w:p>
    <w:p w14:paraId="0D640559">
      <w:pPr>
        <w:pStyle w:val="11"/>
      </w:pPr>
      <w:r>
        <w:t>• 1. 填写商户基础信息和登录信息。</w:t>
      </w:r>
    </w:p>
    <w:p w14:paraId="12EE16DB">
      <w:pPr>
        <w:pStyle w:val="11"/>
      </w:pPr>
      <w:r>
        <w:t>• 2. 配置站点、游戏、支付、注册方式、语言币种和通知项。</w:t>
      </w:r>
    </w:p>
    <w:p w14:paraId="5BE70AE3">
      <w:pPr>
        <w:pStyle w:val="11"/>
      </w:pPr>
      <w:r>
        <w:t>• 3. 保存后返回商户列表确认商户是否生成成功，并检查账号状态。</w:t>
      </w:r>
    </w:p>
    <w:p w14:paraId="28005587">
      <w:pPr>
        <w:pStyle w:val="11"/>
      </w:pPr>
      <w:r>
        <w:t>• 注意事项：必填项应与商务资料保持一致；导入其他商户配置时需确认币种、语言、游戏和支付通道是否适用于当前商户。</w:t>
      </w:r>
    </w:p>
    <w:p w14:paraId="63A38E27">
      <w:pPr>
        <w:pStyle w:val="4"/>
      </w:pPr>
      <w:r>
        <w:t>支付IP管理</w:t>
      </w:r>
    </w:p>
    <w:p w14:paraId="4B2AD44B">
      <w:pPr>
        <w:pStyle w:val="11"/>
      </w:pPr>
      <w:r>
        <w:t>• 进入路径：商户管理 / 支付IP管理</w:t>
      </w:r>
    </w:p>
    <w:p w14:paraId="4DF6F49C">
      <w:pPr>
        <w:pStyle w:val="11"/>
      </w:pPr>
      <w:r>
        <w:t>• 功能说明：用于维护商户支付业务允许使用的公网 IP 和内网 IP。</w:t>
      </w:r>
    </w:p>
    <w:p w14:paraId="51172F40">
      <w:pPr>
        <w:pStyle w:val="11"/>
      </w:pPr>
      <w:r>
        <w:t>• 适用场景：适用于新增支付服务器、调整支付通道访问来源或排查支付回调异常。</w:t>
      </w:r>
    </w:p>
    <w:p w14:paraId="7361F784">
      <w:pPr>
        <w:pStyle w:val="11"/>
      </w:pPr>
      <w:r>
        <w:t>• 关键字段/填写项：关键字段包括商户 ID、商户名称、公网 IP、内网 IP、创建日期和操作状态。</w:t>
      </w:r>
    </w:p>
    <w:p w14:paraId="2334F67A">
      <w:r>
        <w:t>操作步骤：</w:t>
      </w:r>
    </w:p>
    <w:p w14:paraId="6ED85EED">
      <w:pPr>
        <w:pStyle w:val="11"/>
      </w:pPr>
      <w:r>
        <w:t>• 1. 按商户 ID 或商户名称查询对应记录。</w:t>
      </w:r>
    </w:p>
    <w:p w14:paraId="113002F0">
      <w:pPr>
        <w:pStyle w:val="11"/>
      </w:pPr>
      <w:r>
        <w:t>• 2. 点击新增 IP 或编辑，填写公网 IP、内网 IP 等信息。</w:t>
      </w:r>
    </w:p>
    <w:p w14:paraId="65A546E2">
      <w:pPr>
        <w:pStyle w:val="11"/>
      </w:pPr>
      <w:r>
        <w:t>• 3. 保存后确认列表展示正确；删除时需经过二次确认。</w:t>
      </w:r>
    </w:p>
    <w:p w14:paraId="5F1FC313">
      <w:pPr>
        <w:pStyle w:val="11"/>
      </w:pPr>
      <w:r>
        <w:t>• 注意事项：IP 配置会影响支付请求或回调识别，变更前应与技术或支付配置负责人确认。</w:t>
      </w:r>
    </w:p>
    <w:p w14:paraId="034DA49F">
      <w:pPr>
        <w:pStyle w:val="4"/>
      </w:pPr>
      <w:r>
        <w:t>站点配用设置</w:t>
      </w:r>
    </w:p>
    <w:p w14:paraId="54ACD564">
      <w:pPr>
        <w:pStyle w:val="11"/>
      </w:pPr>
      <w:r>
        <w:t>• 进入路径：商户管理 / 站点配用设置</w:t>
      </w:r>
    </w:p>
    <w:p w14:paraId="2B82875C">
      <w:pPr>
        <w:pStyle w:val="11"/>
      </w:pPr>
      <w:r>
        <w:t>• 功能说明：用于维护商户站点费用配置。</w:t>
      </w:r>
    </w:p>
    <w:p w14:paraId="46664EA1">
      <w:pPr>
        <w:pStyle w:val="11"/>
      </w:pPr>
      <w:r>
        <w:t>• 适用场景：适用于配置或调整开版费、线路费用、游戏月保底等站点费用口径。</w:t>
      </w:r>
    </w:p>
    <w:p w14:paraId="5889BFCE">
      <w:pPr>
        <w:pStyle w:val="11"/>
      </w:pPr>
      <w:r>
        <w:t>• 关键字段/填写项：关键字段包括商户 ID、商户名称、站点 ID、站点名称、开版费、线路费用、游戏月保底和最近更新时间。</w:t>
      </w:r>
    </w:p>
    <w:p w14:paraId="43366649">
      <w:r>
        <w:t>操作步骤：</w:t>
      </w:r>
    </w:p>
    <w:p w14:paraId="2A68052F">
      <w:pPr>
        <w:pStyle w:val="11"/>
      </w:pPr>
      <w:r>
        <w:t>• 1. 按商户或站点查询目标记录。</w:t>
      </w:r>
    </w:p>
    <w:p w14:paraId="3033B67F">
      <w:pPr>
        <w:pStyle w:val="11"/>
      </w:pPr>
      <w:r>
        <w:t>• 2. 点击修改进入费用配置。</w:t>
      </w:r>
    </w:p>
    <w:p w14:paraId="38DDE0F7">
      <w:pPr>
        <w:pStyle w:val="11"/>
      </w:pPr>
      <w:r>
        <w:t>• 3. 录入费用后保存，并确认最近更新时间已更新。</w:t>
      </w:r>
    </w:p>
    <w:p w14:paraId="643A73D4">
      <w:pPr>
        <w:pStyle w:val="11"/>
      </w:pPr>
      <w:r>
        <w:t>• 注意事项：费用配置会进入收入、账单或结算参考，调整前应确认生效月份和适用站点。</w:t>
      </w:r>
    </w:p>
    <w:p w14:paraId="4BFBEECA">
      <w:pPr>
        <w:pStyle w:val="4"/>
      </w:pPr>
      <w:r>
        <w:t>编辑商户</w:t>
      </w:r>
    </w:p>
    <w:p w14:paraId="7EC3E438">
      <w:pPr>
        <w:pStyle w:val="11"/>
      </w:pPr>
      <w:r>
        <w:t>• 进入路径：商户管理 / 编辑商户</w:t>
      </w:r>
    </w:p>
    <w:p w14:paraId="2C94AAB2">
      <w:pPr>
        <w:pStyle w:val="11"/>
      </w:pPr>
      <w:r>
        <w:t>• 功能说明：用于维护已创建商户的基础资料和运营配置。</w:t>
      </w:r>
    </w:p>
    <w:p w14:paraId="2CCDDB5C">
      <w:pPr>
        <w:pStyle w:val="11"/>
      </w:pPr>
      <w:r>
        <w:t>• 适用场景：适用于修改商户语言币种、注册入口、游戏权限、支付配置、通知方式或其他开通项。</w:t>
      </w:r>
    </w:p>
    <w:p w14:paraId="1C3E8DCA">
      <w:pPr>
        <w:pStyle w:val="11"/>
      </w:pPr>
      <w:r>
        <w:t>• 关键字段/填写项：关键配置包括基础信息、站点配置、游戏配置、支付配置、注册方式、语言、币种和通知项。</w:t>
      </w:r>
    </w:p>
    <w:p w14:paraId="758C7B62">
      <w:r>
        <w:t>操作步骤：</w:t>
      </w:r>
    </w:p>
    <w:p w14:paraId="2D60525A">
      <w:pPr>
        <w:pStyle w:val="11"/>
      </w:pPr>
      <w:r>
        <w:t>• 1. 从商户列表进入编辑页面。</w:t>
      </w:r>
    </w:p>
    <w:p w14:paraId="5BE2CC70">
      <w:pPr>
        <w:pStyle w:val="11"/>
      </w:pPr>
      <w:r>
        <w:t>• 2. 按业务需要修改对应配置区域。</w:t>
      </w:r>
    </w:p>
    <w:p w14:paraId="720B602D">
      <w:pPr>
        <w:pStyle w:val="11"/>
      </w:pPr>
      <w:r>
        <w:t>• 3. 保存后回到商户列表或相关功能页面确认配置是否生效。</w:t>
      </w:r>
    </w:p>
    <w:p w14:paraId="65293AD5">
      <w:pPr>
        <w:pStyle w:val="11"/>
      </w:pPr>
      <w:r>
        <w:t>• 注意事项：编辑商户可能影响前台注册、游戏可见范围、支付链路和通知触达，建议按变更单或审批结果执行。</w:t>
      </w:r>
    </w:p>
    <w:p w14:paraId="4C6A2426">
      <w:pPr>
        <w:pStyle w:val="3"/>
      </w:pPr>
      <w:bookmarkStart w:id="7" w:name="_Toc29961"/>
      <w:r>
        <w:t>游戏管理</w:t>
      </w:r>
      <w:bookmarkEnd w:id="7"/>
    </w:p>
    <w:p w14:paraId="010EFC2C">
      <w:pPr>
        <w:pStyle w:val="4"/>
      </w:pPr>
      <w:r>
        <w:t>游戏类型管理</w:t>
      </w:r>
    </w:p>
    <w:p w14:paraId="13C133E3">
      <w:pPr>
        <w:pStyle w:val="11"/>
      </w:pPr>
      <w:r>
        <w:t>• 进入路径：游戏管理 / 游戏类型管理</w:t>
      </w:r>
    </w:p>
    <w:p w14:paraId="755FA90C">
      <w:pPr>
        <w:pStyle w:val="11"/>
      </w:pPr>
      <w:r>
        <w:t>• 功能说明：用于维护平台支持的游戏类型分类。</w:t>
      </w:r>
    </w:p>
    <w:p w14:paraId="5B555530">
      <w:pPr>
        <w:pStyle w:val="11"/>
      </w:pPr>
      <w:r>
        <w:t>• 适用场景：适用于新增游戏类型、调整类型展示、维护列表列项或基础分类资料。</w:t>
      </w:r>
    </w:p>
    <w:p w14:paraId="5B8307E6">
      <w:pPr>
        <w:pStyle w:val="11"/>
      </w:pPr>
      <w:r>
        <w:t>• 关键字段/填写项：关键字段包括游戏类型名称、排序、状态、备注及列表展示列项。</w:t>
      </w:r>
    </w:p>
    <w:p w14:paraId="477A9E1A">
      <w:r>
        <w:t>操作步骤：</w:t>
      </w:r>
    </w:p>
    <w:p w14:paraId="50DA726D">
      <w:pPr>
        <w:pStyle w:val="11"/>
      </w:pPr>
      <w:r>
        <w:t>• 1. 进入页面查看现有游戏类型。</w:t>
      </w:r>
    </w:p>
    <w:p w14:paraId="22FE2B94">
      <w:pPr>
        <w:pStyle w:val="11"/>
      </w:pPr>
      <w:r>
        <w:t>• 2. 新增或编辑类型信息。</w:t>
      </w:r>
    </w:p>
    <w:p w14:paraId="3C9D9178">
      <w:pPr>
        <w:pStyle w:val="11"/>
      </w:pPr>
      <w:r>
        <w:t>• 3. 保存后在游戏厂商或游戏列表中确认类型可选。</w:t>
      </w:r>
    </w:p>
    <w:p w14:paraId="3C608A99">
      <w:pPr>
        <w:pStyle w:val="11"/>
      </w:pPr>
      <w:r>
        <w:t>• 注意事项：游戏类型会影响统计分类和游戏配置归属，命名应保持统一。</w:t>
      </w:r>
    </w:p>
    <w:p w14:paraId="5574F15E">
      <w:pPr>
        <w:pStyle w:val="4"/>
      </w:pPr>
      <w:r>
        <w:t>供应商管理</w:t>
      </w:r>
    </w:p>
    <w:p w14:paraId="03065617">
      <w:pPr>
        <w:pStyle w:val="11"/>
      </w:pPr>
      <w:r>
        <w:t>• 进入路径：游戏管理 / 供应商管理</w:t>
      </w:r>
    </w:p>
    <w:p w14:paraId="21713D3B">
      <w:pPr>
        <w:pStyle w:val="11"/>
      </w:pPr>
      <w:r>
        <w:t>• 功能说明：用于维护游戏供应商基础资料。</w:t>
      </w:r>
    </w:p>
    <w:p w14:paraId="4DF8493E">
      <w:pPr>
        <w:pStyle w:val="11"/>
      </w:pPr>
      <w:r>
        <w:t>• 适用场景：适用于接入新供应商、维护供应商语言地区能力、调整供应商状态或展示信息。</w:t>
      </w:r>
    </w:p>
    <w:p w14:paraId="49ACB31F">
      <w:pPr>
        <w:pStyle w:val="11"/>
      </w:pPr>
      <w:r>
        <w:t>• 关键字段/填写项：关键字段包括供应商名称、语言、地区、状态、排序和相关展示配置。</w:t>
      </w:r>
    </w:p>
    <w:p w14:paraId="26603483">
      <w:r>
        <w:t>操作步骤：</w:t>
      </w:r>
    </w:p>
    <w:p w14:paraId="1F2E4B89">
      <w:pPr>
        <w:pStyle w:val="11"/>
      </w:pPr>
      <w:r>
        <w:t>• 1. 查询供应商列表。</w:t>
      </w:r>
    </w:p>
    <w:p w14:paraId="7F1960CF">
      <w:pPr>
        <w:pStyle w:val="11"/>
      </w:pPr>
      <w:r>
        <w:t>• 2. 新增或编辑供应商资料。</w:t>
      </w:r>
    </w:p>
    <w:p w14:paraId="32EBA390">
      <w:pPr>
        <w:pStyle w:val="11"/>
      </w:pPr>
      <w:r>
        <w:t>• 3. 保存后在游戏厂商管理中确认可关联。</w:t>
      </w:r>
    </w:p>
    <w:p w14:paraId="027B3D0C">
      <w:pPr>
        <w:pStyle w:val="11"/>
      </w:pPr>
      <w:r>
        <w:t>• 注意事项：供应商资料会影响厂商和游戏归属，停用前应确认是否仍有关联游戏或结算数据。</w:t>
      </w:r>
    </w:p>
    <w:p w14:paraId="6D982AB5">
      <w:pPr>
        <w:pStyle w:val="4"/>
      </w:pPr>
      <w:r>
        <w:t>游戏厂商管理</w:t>
      </w:r>
    </w:p>
    <w:p w14:paraId="70C4B766">
      <w:pPr>
        <w:pStyle w:val="11"/>
      </w:pPr>
      <w:r>
        <w:t>• 进入路径：游戏管理 / 游戏厂商管理</w:t>
      </w:r>
    </w:p>
    <w:p w14:paraId="06C2680F">
      <w:pPr>
        <w:pStyle w:val="11"/>
      </w:pPr>
      <w:r>
        <w:t>• 功能说明：用于维护游戏厂商资料、费率、资源图片和可用范围。</w:t>
      </w:r>
    </w:p>
    <w:p w14:paraId="2A310576">
      <w:pPr>
        <w:pStyle w:val="11"/>
      </w:pPr>
      <w:r>
        <w:t>• 适用场景：适用于新增厂商、调整基础费率、维护地区货币语言、配置 RTP 范围或上下架厂商。</w:t>
      </w:r>
    </w:p>
    <w:p w14:paraId="3D44CBE0">
      <w:pPr>
        <w:pStyle w:val="11"/>
      </w:pPr>
      <w:r>
        <w:t>• 关键字段/填写项：关键字段包括厂商 ID、厂商名称、供应商、游戏类型、基础费率、地区、货币、语言、RTP 范围、状态和图标图片。</w:t>
      </w:r>
    </w:p>
    <w:p w14:paraId="2F99D8AB">
      <w:r>
        <w:t>操作步骤：</w:t>
      </w:r>
    </w:p>
    <w:p w14:paraId="0E8E5108">
      <w:pPr>
        <w:pStyle w:val="11"/>
      </w:pPr>
      <w:r>
        <w:t>• 1. 按供应商、厂商或游戏类型查找目标厂商。</w:t>
      </w:r>
    </w:p>
    <w:p w14:paraId="66D2D65F">
      <w:pPr>
        <w:pStyle w:val="11"/>
      </w:pPr>
      <w:r>
        <w:t>• 2. 新增或编辑厂商资料、费率和展示图片。</w:t>
      </w:r>
    </w:p>
    <w:p w14:paraId="552854A2">
      <w:pPr>
        <w:pStyle w:val="11"/>
      </w:pPr>
      <w:r>
        <w:t>• 3. 保存后确认厂商状态和可配置范围。</w:t>
      </w:r>
    </w:p>
    <w:p w14:paraId="034B0B0C">
      <w:pPr>
        <w:pStyle w:val="11"/>
      </w:pPr>
      <w:r>
        <w:t>• 注意事项：厂商费率和 RTP 设置会影响商户游戏配置、统计和对账，变更需谨慎。</w:t>
      </w:r>
    </w:p>
    <w:p w14:paraId="5F42B82C">
      <w:pPr>
        <w:pStyle w:val="4"/>
      </w:pPr>
      <w:r>
        <w:t>游戏列表</w:t>
      </w:r>
    </w:p>
    <w:p w14:paraId="55F24F9E">
      <w:pPr>
        <w:pStyle w:val="11"/>
      </w:pPr>
      <w:r>
        <w:t>• 进入路径：游戏管理 / 游戏列表</w:t>
      </w:r>
    </w:p>
    <w:p w14:paraId="1DD24A71">
      <w:pPr>
        <w:pStyle w:val="11"/>
      </w:pPr>
      <w:r>
        <w:t>• 功能说明：用于维护平台具体游戏条目。</w:t>
      </w:r>
    </w:p>
    <w:p w14:paraId="3625544D">
      <w:pPr>
        <w:pStyle w:val="11"/>
      </w:pPr>
      <w:r>
        <w:t>• 适用场景：适用于查看游戏状态、标签、排序、图片资源，以及按供应商、厂商和类型筛选游戏。</w:t>
      </w:r>
    </w:p>
    <w:p w14:paraId="766923E9">
      <w:pPr>
        <w:pStyle w:val="11"/>
      </w:pPr>
      <w:r>
        <w:t>• 关键字段/填写项：关键字段包括游戏 ID、游戏名称、供应商、厂商、游戏类型、图片、标签、排序、状态和操作。</w:t>
      </w:r>
    </w:p>
    <w:p w14:paraId="735AD25E">
      <w:r>
        <w:t>操作步骤：</w:t>
      </w:r>
    </w:p>
    <w:p w14:paraId="6FD3722A">
      <w:pPr>
        <w:pStyle w:val="11"/>
      </w:pPr>
      <w:r>
        <w:t>• 1. 按游戏名称、厂商、类型或状态查询游戏。</w:t>
      </w:r>
    </w:p>
    <w:p w14:paraId="4AEEAD59">
      <w:pPr>
        <w:pStyle w:val="11"/>
      </w:pPr>
      <w:r>
        <w:t>• 2. 检查游戏图片、标签、排序和状态。</w:t>
      </w:r>
    </w:p>
    <w:p w14:paraId="43C615AF">
      <w:pPr>
        <w:pStyle w:val="11"/>
      </w:pPr>
      <w:r>
        <w:t>• 3. 根据需要执行推荐、排序或状态调整。</w:t>
      </w:r>
    </w:p>
    <w:p w14:paraId="6BD254B0">
      <w:pPr>
        <w:pStyle w:val="11"/>
      </w:pPr>
      <w:r>
        <w:t>• 注意事项：游戏状态会影响商户和终端用户可见性，调整前应确认运营安排。</w:t>
      </w:r>
    </w:p>
    <w:p w14:paraId="41F47799">
      <w:pPr>
        <w:pStyle w:val="3"/>
      </w:pPr>
      <w:bookmarkStart w:id="8" w:name="_Toc21799"/>
      <w:r>
        <w:t>财务中心</w:t>
      </w:r>
      <w:bookmarkEnd w:id="8"/>
    </w:p>
    <w:p w14:paraId="27300197">
      <w:pPr>
        <w:pStyle w:val="4"/>
      </w:pPr>
      <w:r>
        <w:t>归集收款地址配置</w:t>
      </w:r>
    </w:p>
    <w:p w14:paraId="08D757D7">
      <w:pPr>
        <w:pStyle w:val="11"/>
      </w:pPr>
      <w:r>
        <w:t>• 进入路径：财务中心 / 归集收款地址配置</w:t>
      </w:r>
    </w:p>
    <w:p w14:paraId="3DF38297">
      <w:pPr>
        <w:pStyle w:val="11"/>
      </w:pPr>
      <w:r>
        <w:t>• 功能说明：用于配置平台归集收款地址。</w:t>
      </w:r>
    </w:p>
    <w:p w14:paraId="19F0911E">
      <w:pPr>
        <w:pStyle w:val="11"/>
      </w:pPr>
      <w:r>
        <w:t>• 适用场景：适用于维护不同主链的归集地址，支持新增、编辑和删除地址。</w:t>
      </w:r>
    </w:p>
    <w:p w14:paraId="57B082FB">
      <w:pPr>
        <w:pStyle w:val="11"/>
      </w:pPr>
      <w:r>
        <w:t>• 关键字段/填写项：关键字段包括主链、地址和操作状态。</w:t>
      </w:r>
    </w:p>
    <w:p w14:paraId="17B4C265">
      <w:r>
        <w:t>操作步骤：</w:t>
      </w:r>
    </w:p>
    <w:p w14:paraId="0B856CC4">
      <w:pPr>
        <w:pStyle w:val="11"/>
      </w:pPr>
      <w:r>
        <w:t>• 1. 查看当前主链及地址配置。</w:t>
      </w:r>
    </w:p>
    <w:p w14:paraId="0BC2A8F3">
      <w:pPr>
        <w:pStyle w:val="11"/>
      </w:pPr>
      <w:r>
        <w:t>• 2. 点击添加或编辑，录入主链与地址。</w:t>
      </w:r>
    </w:p>
    <w:p w14:paraId="53ADA43E">
      <w:pPr>
        <w:pStyle w:val="11"/>
      </w:pPr>
      <w:r>
        <w:t>• 3. 保存后确认地址展示无误；删除前进行二次确认。</w:t>
      </w:r>
    </w:p>
    <w:p w14:paraId="25DE4C0C">
      <w:pPr>
        <w:pStyle w:val="11"/>
      </w:pPr>
      <w:r>
        <w:t>• 注意事项：收款地址属于资金高风险配置，变更前必须核对链类型和完整地址。</w:t>
      </w:r>
    </w:p>
    <w:p w14:paraId="13B9CECB">
      <w:pPr>
        <w:pStyle w:val="4"/>
      </w:pPr>
      <w:r>
        <w:t>商户地址列表</w:t>
      </w:r>
    </w:p>
    <w:p w14:paraId="15117538">
      <w:pPr>
        <w:pStyle w:val="11"/>
      </w:pPr>
      <w:r>
        <w:t>• 进入路径：财务中心 / 商户地址列表</w:t>
      </w:r>
    </w:p>
    <w:p w14:paraId="167A3A91">
      <w:pPr>
        <w:pStyle w:val="11"/>
      </w:pPr>
      <w:r>
        <w:t>• 功能说明：用于查看商户链上地址、余额和归集状态。</w:t>
      </w:r>
    </w:p>
    <w:p w14:paraId="5357D786">
      <w:pPr>
        <w:pStyle w:val="11"/>
      </w:pPr>
      <w:r>
        <w:t>• 适用场景：适用于检查商户 USDT 余额、最近充值、链上资源、归集金额，并执行一键归集。</w:t>
      </w:r>
    </w:p>
    <w:p w14:paraId="3FE9E744">
      <w:pPr>
        <w:pStyle w:val="11"/>
      </w:pPr>
      <w:r>
        <w:t>• 关键字段/填写项：关键字段包括商户 ID、商户名称、地址、USDT 余额、最近充值时间、已归集金额、能量数量、带宽数量、TRX 余额、能量状态和上次归集时间。</w:t>
      </w:r>
    </w:p>
    <w:p w14:paraId="245091D7">
      <w:r>
        <w:t>操作步骤：</w:t>
      </w:r>
    </w:p>
    <w:p w14:paraId="6C3C1816">
      <w:pPr>
        <w:pStyle w:val="11"/>
      </w:pPr>
      <w:r>
        <w:t>• 1. 按商户、地址或余额条件筛选钱包。</w:t>
      </w:r>
    </w:p>
    <w:p w14:paraId="60DDF19A">
      <w:pPr>
        <w:pStyle w:val="11"/>
      </w:pPr>
      <w:r>
        <w:t>• 2. 查看符合条件的钱包数量、总余额和链上资源状态。</w:t>
      </w:r>
    </w:p>
    <w:p w14:paraId="69744FFF">
      <w:pPr>
        <w:pStyle w:val="11"/>
      </w:pPr>
      <w:r>
        <w:t>• 3. 确认后执行一键归集，并在列表中查看归集结果。</w:t>
      </w:r>
    </w:p>
    <w:p w14:paraId="7DF0CD3A">
      <w:pPr>
        <w:pStyle w:val="11"/>
      </w:pPr>
      <w:r>
        <w:t>• 注意事项：归集操作涉及链上资金，执行前需确认钱包范围、余额阈值和主链资源是否充足。</w:t>
      </w:r>
    </w:p>
    <w:p w14:paraId="5C3B8E86">
      <w:pPr>
        <w:pStyle w:val="4"/>
      </w:pPr>
      <w:r>
        <w:t>人工加扣款</w:t>
      </w:r>
    </w:p>
    <w:p w14:paraId="513042A1">
      <w:pPr>
        <w:pStyle w:val="11"/>
      </w:pPr>
      <w:r>
        <w:t>• 进入路径：财务中心 / 人工加扣款</w:t>
      </w:r>
    </w:p>
    <w:p w14:paraId="7F18CBF6">
      <w:pPr>
        <w:pStyle w:val="11"/>
      </w:pPr>
      <w:r>
        <w:t>• 功能说明：用于对商户余额进行人工加款或扣款处理。</w:t>
      </w:r>
    </w:p>
    <w:p w14:paraId="2053BF01">
      <w:pPr>
        <w:pStyle w:val="11"/>
      </w:pPr>
      <w:r>
        <w:t>• 适用场景：适用于调账、补偿、费用扣除、异常处理或财务确认后的余额调整。</w:t>
      </w:r>
    </w:p>
    <w:p w14:paraId="0D93F00B">
      <w:pPr>
        <w:pStyle w:val="11"/>
      </w:pPr>
      <w:r>
        <w:t>• 关键字段/填写项：关键字段包括商户 ID、商户名称、变动类型、变动金额、变化前金额、变化后金额、原因、操作人和操作时间。</w:t>
      </w:r>
    </w:p>
    <w:p w14:paraId="00D2760F">
      <w:r>
        <w:t>操作步骤：</w:t>
      </w:r>
    </w:p>
    <w:p w14:paraId="560C1364">
      <w:pPr>
        <w:pStyle w:val="11"/>
      </w:pPr>
      <w:r>
        <w:t>• 1. 按商户 ID 查询目标商户。</w:t>
      </w:r>
    </w:p>
    <w:p w14:paraId="5E306E28">
      <w:pPr>
        <w:pStyle w:val="11"/>
      </w:pPr>
      <w:r>
        <w:t>• 2. 选择加款或扣款，录入金额和原因。</w:t>
      </w:r>
    </w:p>
    <w:p w14:paraId="0E241A91">
      <w:pPr>
        <w:pStyle w:val="11"/>
      </w:pPr>
      <w:r>
        <w:t>• 3. 提交前核对商户、金额方向和变化后余额，确认后保存。</w:t>
      </w:r>
    </w:p>
    <w:p w14:paraId="4F01798E">
      <w:pPr>
        <w:pStyle w:val="11"/>
      </w:pPr>
      <w:r>
        <w:t>• 注意事项：人工加扣款会直接影响商户余额，应保留清晰原因并与账变记录一致。</w:t>
      </w:r>
    </w:p>
    <w:p w14:paraId="33125CAB">
      <w:pPr>
        <w:pStyle w:val="4"/>
      </w:pPr>
      <w:r>
        <w:t>游戏厂商对账表</w:t>
      </w:r>
    </w:p>
    <w:p w14:paraId="0034E7DE">
      <w:pPr>
        <w:pStyle w:val="11"/>
      </w:pPr>
      <w:r>
        <w:t>• 进入路径：财务中心 / 游戏厂商对账表</w:t>
      </w:r>
    </w:p>
    <w:p w14:paraId="0E512DB0">
      <w:pPr>
        <w:pStyle w:val="11"/>
      </w:pPr>
      <w:r>
        <w:t>• 功能说明：用于核对游戏厂商月度对账数据。</w:t>
      </w:r>
    </w:p>
    <w:p w14:paraId="003F6475">
      <w:pPr>
        <w:pStyle w:val="11"/>
      </w:pPr>
      <w:r>
        <w:t>• 适用场景：适用于按账单月份、供应商、厂商和游戏类型检查投注、有效投注、RTP、线路盈利和应付费用。</w:t>
      </w:r>
    </w:p>
    <w:p w14:paraId="3D83E764">
      <w:pPr>
        <w:pStyle w:val="11"/>
      </w:pPr>
      <w:r>
        <w:t>• 关键字段/填写项：关键字段包括账单月份、供应商、游戏厂商、游戏类型、综合费率、投注人数、投注次数、有效投注、RTP、线路盈利、应付费用和结算状态。</w:t>
      </w:r>
    </w:p>
    <w:p w14:paraId="3889FC68">
      <w:r>
        <w:t>操作步骤：</w:t>
      </w:r>
    </w:p>
    <w:p w14:paraId="05529A0E">
      <w:pPr>
        <w:pStyle w:val="11"/>
      </w:pPr>
      <w:r>
        <w:t>• 1. 选择账单月份和对账对象后查询。</w:t>
      </w:r>
    </w:p>
    <w:p w14:paraId="0EE7EAF7">
      <w:pPr>
        <w:pStyle w:val="11"/>
      </w:pPr>
      <w:r>
        <w:t>• 2. 核对投注、有效投注、RTP、线路盈利和应付费用。</w:t>
      </w:r>
    </w:p>
    <w:p w14:paraId="226E2546">
      <w:pPr>
        <w:pStyle w:val="11"/>
      </w:pPr>
      <w:r>
        <w:t>• 3. 需要留档时导出当前结果。</w:t>
      </w:r>
    </w:p>
    <w:p w14:paraId="6C1AD29C">
      <w:pPr>
        <w:pStyle w:val="11"/>
      </w:pPr>
      <w:r>
        <w:t>• 注意事项：对账数据应与厂商账单、游戏统计和结算状态交叉核对。</w:t>
      </w:r>
    </w:p>
    <w:p w14:paraId="79CC671C">
      <w:pPr>
        <w:pStyle w:val="4"/>
      </w:pPr>
      <w:r>
        <w:t>平台收入</w:t>
      </w:r>
    </w:p>
    <w:p w14:paraId="040807B5">
      <w:pPr>
        <w:pStyle w:val="11"/>
      </w:pPr>
      <w:r>
        <w:t>• 进入路径：财务中心 / 平台收入</w:t>
      </w:r>
    </w:p>
    <w:p w14:paraId="36DF46BA">
      <w:pPr>
        <w:pStyle w:val="11"/>
      </w:pPr>
      <w:r>
        <w:t>• 功能说明：用于查看平台月度收入构成和商户明细。</w:t>
      </w:r>
    </w:p>
    <w:p w14:paraId="524E86D1">
      <w:pPr>
        <w:pStyle w:val="11"/>
      </w:pPr>
      <w:r>
        <w:t>• 适用场景：适用于财务查看平台收益、厂商成本、商户充值、人工加扣款、优惠减免和结算状态。</w:t>
      </w:r>
    </w:p>
    <w:p w14:paraId="6E43F4CC">
      <w:pPr>
        <w:pStyle w:val="11"/>
      </w:pPr>
      <w:r>
        <w:t>• 关键字段/填写项：关键字段包括月份、商户数、商户充值、可用余额、开版费、服务器费用、厂商收费、厂商成本、人工加款、人工扣款、优惠减免和平台实际收益。</w:t>
      </w:r>
    </w:p>
    <w:p w14:paraId="6C919FB7">
      <w:r>
        <w:t>操作步骤：</w:t>
      </w:r>
    </w:p>
    <w:p w14:paraId="43FAC886">
      <w:pPr>
        <w:pStyle w:val="11"/>
      </w:pPr>
      <w:r>
        <w:t>• 1. 选择开始月份、结束月份和结算状态后查询。</w:t>
      </w:r>
    </w:p>
    <w:p w14:paraId="7EF6E237">
      <w:pPr>
        <w:pStyle w:val="11"/>
      </w:pPr>
      <w:r>
        <w:t>• 2. 先查看月度总览，再进入商户详表核对明细。</w:t>
      </w:r>
    </w:p>
    <w:p w14:paraId="24BEA88E">
      <w:pPr>
        <w:pStyle w:val="11"/>
      </w:pPr>
      <w:r>
        <w:t>• 3. 根据当前筛选条件导出收入报表。</w:t>
      </w:r>
    </w:p>
    <w:p w14:paraId="5797FA3E">
      <w:pPr>
        <w:pStyle w:val="11"/>
      </w:pPr>
      <w:r>
        <w:t>• 注意事项：平台收入属于财务分析口径，具体商户账单处理应结合商户账单稽核页面。</w:t>
      </w:r>
    </w:p>
    <w:p w14:paraId="35402567">
      <w:pPr>
        <w:pStyle w:val="4"/>
      </w:pPr>
      <w:r>
        <w:t>商户账单稽核</w:t>
      </w:r>
    </w:p>
    <w:p w14:paraId="2333DFB7">
      <w:pPr>
        <w:pStyle w:val="11"/>
      </w:pPr>
      <w:r>
        <w:t>• 进入路径：财务中心 / 商户账单稽核</w:t>
      </w:r>
    </w:p>
    <w:p w14:paraId="4DE741B9">
      <w:pPr>
        <w:pStyle w:val="11"/>
      </w:pPr>
      <w:r>
        <w:t>• 功能说明：用于核对并确认商户账单。</w:t>
      </w:r>
    </w:p>
    <w:p w14:paraId="7BD4DBBB">
      <w:pPr>
        <w:pStyle w:val="11"/>
      </w:pPr>
      <w:r>
        <w:t>• 适用场景：适用于财务或运营按账期审核商户费用、人工加扣款、厂商费用、优惠减免和结算金额。</w:t>
      </w:r>
    </w:p>
    <w:p w14:paraId="69710D60">
      <w:pPr>
        <w:pStyle w:val="11"/>
      </w:pPr>
      <w:r>
        <w:t>• 关键字段/填写项：关键字段包括商户 ID、商户名、账期、开版费、服务器费用、人工加款、人工扣款、游戏厂商费用、充值优惠、其他减免、结算金额、状态、创建时间和稽核时间。</w:t>
      </w:r>
    </w:p>
    <w:p w14:paraId="0ABEE0BC">
      <w:r>
        <w:t>操作步骤：</w:t>
      </w:r>
    </w:p>
    <w:p w14:paraId="4D4F9B75">
      <w:pPr>
        <w:pStyle w:val="11"/>
      </w:pPr>
      <w:r>
        <w:t>• 1. 按商户、账期、状态或厂商条件查询待稽核账单。</w:t>
      </w:r>
    </w:p>
    <w:p w14:paraId="2405469A">
      <w:pPr>
        <w:pStyle w:val="11"/>
      </w:pPr>
      <w:r>
        <w:t>• 2. 打开详情核对供应商、厂商、游戏类型、商户费率、投注和应付费用。</w:t>
      </w:r>
    </w:p>
    <w:p w14:paraId="37C2DD5A">
      <w:pPr>
        <w:pStyle w:val="11"/>
      </w:pPr>
      <w:r>
        <w:t>• 3. 确认无误后执行单笔稽核或批量稽核，并导出表格留档。</w:t>
      </w:r>
    </w:p>
    <w:p w14:paraId="56E69DCA">
      <w:pPr>
        <w:pStyle w:val="11"/>
      </w:pPr>
      <w:r>
        <w:t>• 注意事项：稽核前必须确认账期、商户和结算金额，已稽核数据应避免重复处理。</w:t>
      </w:r>
    </w:p>
    <w:p w14:paraId="32619A12">
      <w:pPr>
        <w:pStyle w:val="4"/>
      </w:pPr>
      <w:r>
        <w:t>逾期商户</w:t>
      </w:r>
    </w:p>
    <w:p w14:paraId="5CB269FD">
      <w:pPr>
        <w:pStyle w:val="11"/>
      </w:pPr>
      <w:r>
        <w:t>• 进入路径：财务中心 / 逾期商户</w:t>
      </w:r>
    </w:p>
    <w:p w14:paraId="030F127D">
      <w:pPr>
        <w:pStyle w:val="11"/>
      </w:pPr>
      <w:r>
        <w:t>• 功能说明：用于跟踪欠费或逾期商户。</w:t>
      </w:r>
    </w:p>
    <w:p w14:paraId="213F4E89">
      <w:pPr>
        <w:pStyle w:val="11"/>
      </w:pPr>
      <w:r>
        <w:t>• 适用场景：适用于查看欠费额度、逾期天数、上次充值时间和站点状态，并执行关闭或处理操作。</w:t>
      </w:r>
    </w:p>
    <w:p w14:paraId="2F51BE67">
      <w:pPr>
        <w:pStyle w:val="11"/>
      </w:pPr>
      <w:r>
        <w:t>• 关键字段/填写项：关键字段包括商户 ID、商户名称、欠费额度、逾期天数、上次充值时间、站点状态和操作。</w:t>
      </w:r>
    </w:p>
    <w:p w14:paraId="6CF33BBE">
      <w:r>
        <w:t>操作步骤：</w:t>
      </w:r>
    </w:p>
    <w:p w14:paraId="5453DEC3">
      <w:pPr>
        <w:pStyle w:val="11"/>
      </w:pPr>
      <w:r>
        <w:t>• 1. 按商户、逾期天数或站点状态查询。</w:t>
      </w:r>
    </w:p>
    <w:p w14:paraId="7CC8A49B">
      <w:pPr>
        <w:pStyle w:val="11"/>
      </w:pPr>
      <w:r>
        <w:t>• 2. 核对欠费额度和上次充值时间。</w:t>
      </w:r>
    </w:p>
    <w:p w14:paraId="75C44CEE">
      <w:pPr>
        <w:pStyle w:val="11"/>
      </w:pPr>
      <w:r>
        <w:t>• 3. 根据规则执行关闭、取消或确认操作。</w:t>
      </w:r>
    </w:p>
    <w:p w14:paraId="7C52D12E">
      <w:pPr>
        <w:pStyle w:val="11"/>
      </w:pPr>
      <w:r>
        <w:t>• 注意事项：处理逾期商户前应确认商务沟通和财务口径，避免误停正常商户。</w:t>
      </w:r>
    </w:p>
    <w:p w14:paraId="00B0204F">
      <w:pPr>
        <w:pStyle w:val="4"/>
      </w:pPr>
      <w:r>
        <w:t>账变记录</w:t>
      </w:r>
    </w:p>
    <w:p w14:paraId="658A74EA">
      <w:pPr>
        <w:pStyle w:val="11"/>
      </w:pPr>
      <w:r>
        <w:t>• 进入路径：财务中心 / 账变记录</w:t>
      </w:r>
    </w:p>
    <w:p w14:paraId="64319969">
      <w:pPr>
        <w:pStyle w:val="11"/>
      </w:pPr>
      <w:r>
        <w:t>• 功能说明：用于查询商户余额变动流水。</w:t>
      </w:r>
    </w:p>
    <w:p w14:paraId="30DAA92B">
      <w:pPr>
        <w:pStyle w:val="11"/>
      </w:pPr>
      <w:r>
        <w:t>• 适用场景：适用于核对充值、扣款、人工调整、费用结算等余额变化来源。</w:t>
      </w:r>
    </w:p>
    <w:p w14:paraId="0297F11E">
      <w:pPr>
        <w:pStyle w:val="11"/>
      </w:pPr>
      <w:r>
        <w:t>• 关键字段/填写项：关键字段包括单号、交易时间、商户 ID、账变类型、变动前余额、变动金额、变动后余额和来源。</w:t>
      </w:r>
    </w:p>
    <w:p w14:paraId="2128F20F">
      <w:r>
        <w:t>操作步骤：</w:t>
      </w:r>
    </w:p>
    <w:p w14:paraId="5289F2C8">
      <w:pPr>
        <w:pStyle w:val="11"/>
      </w:pPr>
      <w:r>
        <w:t>• 1. 按账变类型、商户 ID 或时间范围查询。</w:t>
      </w:r>
    </w:p>
    <w:p w14:paraId="49997A38">
      <w:pPr>
        <w:pStyle w:val="11"/>
      </w:pPr>
      <w:r>
        <w:t>• 2. 核对变动金额方向、变动前后余额和来源。</w:t>
      </w:r>
    </w:p>
    <w:p w14:paraId="2C7A1630">
      <w:pPr>
        <w:pStyle w:val="11"/>
      </w:pPr>
      <w:r>
        <w:t>• 3. 需要对账时导出报表。</w:t>
      </w:r>
    </w:p>
    <w:p w14:paraId="386A9D6E">
      <w:pPr>
        <w:pStyle w:val="11"/>
      </w:pPr>
      <w:r>
        <w:t>• 注意事项：账变记录是余额核对的重要依据，发现异常需回溯来源单据。</w:t>
      </w:r>
    </w:p>
    <w:p w14:paraId="17AEE9DB">
      <w:pPr>
        <w:pStyle w:val="4"/>
      </w:pPr>
      <w:r>
        <w:t>商户充值配置</w:t>
      </w:r>
    </w:p>
    <w:p w14:paraId="7B916D87">
      <w:pPr>
        <w:pStyle w:val="11"/>
      </w:pPr>
      <w:r>
        <w:t>• 进入路径：财务中心 / 商户充值配置</w:t>
      </w:r>
    </w:p>
    <w:p w14:paraId="0595083B">
      <w:pPr>
        <w:pStyle w:val="11"/>
      </w:pPr>
      <w:r>
        <w:t>• 功能说明：用于维护商户充值赠送规则。</w:t>
      </w:r>
    </w:p>
    <w:p w14:paraId="73B9D3F4">
      <w:pPr>
        <w:pStyle w:val="11"/>
      </w:pPr>
      <w:r>
        <w:t>• 适用场景：适用于配置笔笔送比例、充值区间和赠送额度。</w:t>
      </w:r>
    </w:p>
    <w:p w14:paraId="5ECBD7EB">
      <w:pPr>
        <w:pStyle w:val="11"/>
      </w:pPr>
      <w:r>
        <w:t>• 关键字段/填写项：关键字段包括笔笔送比例、最小充值金额、最大充值金额、充值额度、赠送比例和赠送额度。</w:t>
      </w:r>
    </w:p>
    <w:p w14:paraId="7EE627F0">
      <w:r>
        <w:t>操作步骤：</w:t>
      </w:r>
    </w:p>
    <w:p w14:paraId="24CA0EBC">
      <w:pPr>
        <w:pStyle w:val="11"/>
      </w:pPr>
      <w:r>
        <w:t>• 1. 进入页面查看当前充值赠送规则。</w:t>
      </w:r>
    </w:p>
    <w:p w14:paraId="59DA420F">
      <w:pPr>
        <w:pStyle w:val="11"/>
      </w:pPr>
      <w:r>
        <w:t>• 2. 新增或编辑充值区间、赠送比例和额度。</w:t>
      </w:r>
    </w:p>
    <w:p w14:paraId="3E29509C">
      <w:pPr>
        <w:pStyle w:val="11"/>
      </w:pPr>
      <w:r>
        <w:t>• 3. 保存后检查规则是否完整且区间不冲突。</w:t>
      </w:r>
    </w:p>
    <w:p w14:paraId="3D79E460">
      <w:pPr>
        <w:pStyle w:val="11"/>
      </w:pPr>
      <w:r>
        <w:t>• 注意事项：充值优惠会影响商户账单和平台收入，应确认生效对象和金额区间。</w:t>
      </w:r>
    </w:p>
    <w:p w14:paraId="2F1FEA52">
      <w:pPr>
        <w:pStyle w:val="3"/>
      </w:pPr>
      <w:bookmarkStart w:id="9" w:name="_Toc31422"/>
      <w:r>
        <w:t>数据中心</w:t>
      </w:r>
      <w:bookmarkEnd w:id="9"/>
    </w:p>
    <w:p w14:paraId="257F7405">
      <w:pPr>
        <w:pStyle w:val="4"/>
      </w:pPr>
      <w:r>
        <w:t>商户数据</w:t>
      </w:r>
    </w:p>
    <w:p w14:paraId="5925E925">
      <w:pPr>
        <w:pStyle w:val="11"/>
      </w:pPr>
      <w:r>
        <w:t>• 进入路径：数据中心 / 商户数据</w:t>
      </w:r>
    </w:p>
    <w:p w14:paraId="2341A60D">
      <w:pPr>
        <w:pStyle w:val="11"/>
      </w:pPr>
      <w:r>
        <w:t>• 功能说明：用于查看商户日维度经营数据。</w:t>
      </w:r>
    </w:p>
    <w:p w14:paraId="746B57D3">
      <w:pPr>
        <w:pStyle w:val="11"/>
      </w:pPr>
      <w:r>
        <w:t>• 适用场景：适用于运营查看活跃会员、充值人数、投注人数、用户充值、提款、有效投注和客损趋势。</w:t>
      </w:r>
    </w:p>
    <w:p w14:paraId="7C3029F7">
      <w:pPr>
        <w:pStyle w:val="11"/>
      </w:pPr>
      <w:r>
        <w:t>• 关键字段/填写项：关键字段包括日期、商户 ID、商户名称、子站点数、可用余额、活跃会员、充值人数、投注人数、用户充值、提现金额、有效投注和总客损。</w:t>
      </w:r>
    </w:p>
    <w:p w14:paraId="25FC7EE9">
      <w:r>
        <w:t>操作步骤：</w:t>
      </w:r>
    </w:p>
    <w:p w14:paraId="1F06A607">
      <w:pPr>
        <w:pStyle w:val="11"/>
      </w:pPr>
      <w:r>
        <w:t>• 1. 选择时间范围和商户条件后查询。</w:t>
      </w:r>
    </w:p>
    <w:p w14:paraId="48F495B8">
      <w:pPr>
        <w:pStyle w:val="11"/>
      </w:pPr>
      <w:r>
        <w:t>• 2. 查看充值、提款、投注和客损等核心指标。</w:t>
      </w:r>
    </w:p>
    <w:p w14:paraId="28009E79">
      <w:pPr>
        <w:pStyle w:val="11"/>
      </w:pPr>
      <w:r>
        <w:t>• 3. 需要分析或汇报时导出报表。</w:t>
      </w:r>
    </w:p>
    <w:p w14:paraId="7CFDBF23">
      <w:pPr>
        <w:pStyle w:val="11"/>
      </w:pPr>
      <w:r>
        <w:t>• 注意事项：商户数据主要用于运营分析，不直接替代财务结算账单。</w:t>
      </w:r>
    </w:p>
    <w:p w14:paraId="7914E9B6">
      <w:pPr>
        <w:pStyle w:val="4"/>
      </w:pPr>
      <w:r>
        <w:t>商户数据汇总</w:t>
      </w:r>
    </w:p>
    <w:p w14:paraId="352D7A96">
      <w:pPr>
        <w:pStyle w:val="11"/>
      </w:pPr>
      <w:r>
        <w:t>• 进入路径：数据中心 / 商户数据汇总</w:t>
      </w:r>
    </w:p>
    <w:p w14:paraId="68532EF6">
      <w:pPr>
        <w:pStyle w:val="11"/>
      </w:pPr>
      <w:r>
        <w:t>• 功能说明：用于按月汇总商户经营数据。</w:t>
      </w:r>
    </w:p>
    <w:p w14:paraId="3F5F544A">
      <w:pPr>
        <w:pStyle w:val="11"/>
      </w:pPr>
      <w:r>
        <w:t>• 适用场景：适用于查看商户充值、用户充值、提款、充提差、有效投注和总客损的月度变化。</w:t>
      </w:r>
    </w:p>
    <w:p w14:paraId="44C3546C">
      <w:pPr>
        <w:pStyle w:val="11"/>
      </w:pPr>
      <w:r>
        <w:t>• 关键字段/填写项：关键字段包括月份、商户名称、商户充值、用户充值、提现金额、充提差、有效投注、投注人数和总客损。</w:t>
      </w:r>
    </w:p>
    <w:p w14:paraId="2EECD740">
      <w:r>
        <w:t>操作步骤：</w:t>
      </w:r>
    </w:p>
    <w:p w14:paraId="5C07A326">
      <w:pPr>
        <w:pStyle w:val="11"/>
      </w:pPr>
      <w:r>
        <w:t>• 1. 选择开始月份、结束月份和商户条件后查询。</w:t>
      </w:r>
    </w:p>
    <w:p w14:paraId="6790D8D3">
      <w:pPr>
        <w:pStyle w:val="11"/>
      </w:pPr>
      <w:r>
        <w:t>• 2. 按月查看商户经营指标。</w:t>
      </w:r>
    </w:p>
    <w:p w14:paraId="7E0D506B">
      <w:pPr>
        <w:pStyle w:val="11"/>
      </w:pPr>
      <w:r>
        <w:t>• 3. 导出汇总结果用于经营复盘。</w:t>
      </w:r>
    </w:p>
    <w:p w14:paraId="6CE2AC35">
      <w:pPr>
        <w:pStyle w:val="11"/>
      </w:pPr>
      <w:r>
        <w:t>• 注意事项：汇总数据用于趋势分析，异常月份应进入日数据或账单页面进一步核对。</w:t>
      </w:r>
    </w:p>
    <w:p w14:paraId="6601F0C3">
      <w:pPr>
        <w:pStyle w:val="4"/>
      </w:pPr>
      <w:r>
        <w:t>商户排行</w:t>
      </w:r>
    </w:p>
    <w:p w14:paraId="337F1935">
      <w:pPr>
        <w:pStyle w:val="11"/>
      </w:pPr>
      <w:r>
        <w:t>• 进入路径：数据中心 / 商户排行</w:t>
      </w:r>
    </w:p>
    <w:p w14:paraId="41E93D96">
      <w:pPr>
        <w:pStyle w:val="11"/>
      </w:pPr>
      <w:r>
        <w:t>• 功能说明：用于按经营贡献查看商户排行。</w:t>
      </w:r>
    </w:p>
    <w:p w14:paraId="2AA80092">
      <w:pPr>
        <w:pStyle w:val="11"/>
      </w:pPr>
      <w:r>
        <w:t>• 适用场景：适用于运营比较商户充值、提现、贡献、投注、优惠、注册和广告消耗表现。</w:t>
      </w:r>
    </w:p>
    <w:p w14:paraId="0F2E74AB">
      <w:pPr>
        <w:pStyle w:val="11"/>
      </w:pPr>
      <w:r>
        <w:t>• 关键字段/填写项：关键字段包括排名、商户 ID、商户名称、充值金额、提现金额、充提差额、商户贡献、总投注、优惠赠送、注册人数、充值人数、广告消耗和投注人数。</w:t>
      </w:r>
    </w:p>
    <w:p w14:paraId="5C2FBCE5">
      <w:r>
        <w:t>操作步骤：</w:t>
      </w:r>
    </w:p>
    <w:p w14:paraId="0A51854A">
      <w:pPr>
        <w:pStyle w:val="11"/>
      </w:pPr>
      <w:r>
        <w:t>• 1. 选择开始日期和结束日期。</w:t>
      </w:r>
    </w:p>
    <w:p w14:paraId="77961037">
      <w:pPr>
        <w:pStyle w:val="11"/>
      </w:pPr>
      <w:r>
        <w:t>• 2. 查看不同商户的经营贡献排行。</w:t>
      </w:r>
    </w:p>
    <w:p w14:paraId="5A45E25F">
      <w:pPr>
        <w:pStyle w:val="11"/>
      </w:pPr>
      <w:r>
        <w:t>• 3. 导出排行结果用于运营跟进。</w:t>
      </w:r>
    </w:p>
    <w:p w14:paraId="6C7F7F16">
      <w:pPr>
        <w:pStyle w:val="11"/>
      </w:pPr>
      <w:r>
        <w:t>• 注意事项：排行结果用于辅助运营决策，应结合商户体量、投放和活动情况解读。</w:t>
      </w:r>
    </w:p>
    <w:p w14:paraId="00E3B7E6">
      <w:pPr>
        <w:pStyle w:val="4"/>
      </w:pPr>
      <w:r>
        <w:t>游戏厂商统计</w:t>
      </w:r>
    </w:p>
    <w:p w14:paraId="58AA1B2A">
      <w:pPr>
        <w:pStyle w:val="11"/>
      </w:pPr>
      <w:r>
        <w:t>• 进入路径：数据中心 / 游戏厂商统计</w:t>
      </w:r>
    </w:p>
    <w:p w14:paraId="59001000">
      <w:pPr>
        <w:pStyle w:val="11"/>
      </w:pPr>
      <w:r>
        <w:t>• 功能说明：用于按厂商维度统计游戏经营表现。</w:t>
      </w:r>
    </w:p>
    <w:p w14:paraId="44DC112B">
      <w:pPr>
        <w:pStyle w:val="11"/>
      </w:pPr>
      <w:r>
        <w:t>• 适用场景：适用于查看不同供应商、厂商和游戏类型的投注、有效投注、RTP、派彩和客损情况。</w:t>
      </w:r>
    </w:p>
    <w:p w14:paraId="530B6206">
      <w:pPr>
        <w:pStyle w:val="11"/>
      </w:pPr>
      <w:r>
        <w:t>• 关键字段/填写项：关键字段包括供应商、厂商、游戏类型、商户数、投注人数、注单数、总投注、有效投注、派彩、RTP和客损。</w:t>
      </w:r>
    </w:p>
    <w:p w14:paraId="4BBFF67A">
      <w:r>
        <w:t>操作步骤：</w:t>
      </w:r>
    </w:p>
    <w:p w14:paraId="2F18D30A">
      <w:pPr>
        <w:pStyle w:val="11"/>
      </w:pPr>
      <w:r>
        <w:t>• 1. 选择时间范围、商户、供应商、厂商或游戏类型后查询。</w:t>
      </w:r>
    </w:p>
    <w:p w14:paraId="6658D538">
      <w:pPr>
        <w:pStyle w:val="11"/>
      </w:pPr>
      <w:r>
        <w:t>• 2. 对比厂商之间的投注、RTP 和客损表现。</w:t>
      </w:r>
    </w:p>
    <w:p w14:paraId="3B4A1190">
      <w:pPr>
        <w:pStyle w:val="11"/>
      </w:pPr>
      <w:r>
        <w:t>• 3. 导出结果用于厂商复盘或对账参考。</w:t>
      </w:r>
    </w:p>
    <w:p w14:paraId="70F1BB44">
      <w:pPr>
        <w:pStyle w:val="11"/>
      </w:pPr>
      <w:r>
        <w:t>• 注意事项：统计数据是经营分析口径，对账应以财务中心对账表为准。</w:t>
      </w:r>
    </w:p>
    <w:p w14:paraId="1CA3C399">
      <w:pPr>
        <w:pStyle w:val="4"/>
      </w:pPr>
      <w:r>
        <w:t>游戏统计</w:t>
      </w:r>
    </w:p>
    <w:p w14:paraId="765734BC">
      <w:pPr>
        <w:pStyle w:val="11"/>
      </w:pPr>
      <w:r>
        <w:t>• 进入路径：数据中心 / 游戏统计</w:t>
      </w:r>
    </w:p>
    <w:p w14:paraId="66B643A8">
      <w:pPr>
        <w:pStyle w:val="11"/>
      </w:pPr>
      <w:r>
        <w:t>• 功能说明：用于按具体游戏维度统计经营表现。</w:t>
      </w:r>
    </w:p>
    <w:p w14:paraId="32697359">
      <w:pPr>
        <w:pStyle w:val="11"/>
      </w:pPr>
      <w:r>
        <w:t>• 适用场景：适用于查看单款游戏的状态、投注人数、注单数、有效投注、派彩、RTP和客损。</w:t>
      </w:r>
    </w:p>
    <w:p w14:paraId="3CB413DB">
      <w:pPr>
        <w:pStyle w:val="11"/>
      </w:pPr>
      <w:r>
        <w:t>• 关键字段/填写项：关键字段包括游戏 ID、游戏名称、游戏状态、商户数、投注人数、注单数、总投注、有效投注、派彩、RTP和客损。</w:t>
      </w:r>
    </w:p>
    <w:p w14:paraId="69ED6F9F">
      <w:r>
        <w:t>操作步骤：</w:t>
      </w:r>
    </w:p>
    <w:p w14:paraId="4824010F">
      <w:pPr>
        <w:pStyle w:val="11"/>
      </w:pPr>
      <w:r>
        <w:t>• 1. 选择时间范围、商户、厂商、游戏类型或游戏后查询。</w:t>
      </w:r>
    </w:p>
    <w:p w14:paraId="471071F4">
      <w:pPr>
        <w:pStyle w:val="11"/>
      </w:pPr>
      <w:r>
        <w:t>• 2. 查看单款游戏表现并识别异常波动。</w:t>
      </w:r>
    </w:p>
    <w:p w14:paraId="22DF6069">
      <w:pPr>
        <w:pStyle w:val="11"/>
      </w:pPr>
      <w:r>
        <w:t>• 3. 导出数据用于运营分析。</w:t>
      </w:r>
    </w:p>
    <w:p w14:paraId="4C5DC8F3">
      <w:pPr>
        <w:pStyle w:val="11"/>
      </w:pPr>
      <w:r>
        <w:t>• 注意事项：游戏统计用于分析游戏表现，状态调整应回到游戏列表或厂商配置页面执行。</w:t>
      </w:r>
    </w:p>
    <w:p w14:paraId="0D5E9706">
      <w:pPr>
        <w:pStyle w:val="3"/>
      </w:pPr>
      <w:bookmarkStart w:id="10" w:name="_Toc665"/>
      <w:r>
        <w:t>人事管理</w:t>
      </w:r>
      <w:bookmarkEnd w:id="10"/>
    </w:p>
    <w:p w14:paraId="4F3CBA78">
      <w:pPr>
        <w:pStyle w:val="4"/>
      </w:pPr>
      <w:r>
        <w:t>总台人事列表</w:t>
      </w:r>
    </w:p>
    <w:p w14:paraId="3FC622E8">
      <w:pPr>
        <w:pStyle w:val="11"/>
      </w:pPr>
      <w:r>
        <w:t>• 进入路径：人事管理 / 总台人事列表</w:t>
      </w:r>
    </w:p>
    <w:p w14:paraId="12D89465">
      <w:pPr>
        <w:pStyle w:val="11"/>
      </w:pPr>
      <w:r>
        <w:t>• 功能说明：用于维护平台总台后台账号。</w:t>
      </w:r>
    </w:p>
    <w:p w14:paraId="255EE0AE">
      <w:pPr>
        <w:pStyle w:val="11"/>
      </w:pPr>
      <w:r>
        <w:t>• 适用场景：适用于创建、启用、禁用或维护管理员账号、角色和登录信息。</w:t>
      </w:r>
    </w:p>
    <w:p w14:paraId="7319BF15">
      <w:pPr>
        <w:pStyle w:val="11"/>
      </w:pPr>
      <w:r>
        <w:t>• 关键字段/填写项：关键字段包括账号名称、角色、状态、登录 IP、最后登录时间、创建时间、更新时间和操作。</w:t>
      </w:r>
    </w:p>
    <w:p w14:paraId="767BB7D1">
      <w:r>
        <w:t>操作步骤：</w:t>
      </w:r>
    </w:p>
    <w:p w14:paraId="01AB0F2A">
      <w:pPr>
        <w:pStyle w:val="11"/>
      </w:pPr>
      <w:r>
        <w:t>• 1. 查看或查询平台账号列表。</w:t>
      </w:r>
    </w:p>
    <w:p w14:paraId="58EF2559">
      <w:pPr>
        <w:pStyle w:val="11"/>
      </w:pPr>
      <w:r>
        <w:t>• 2. 点击新建账号或编辑维护账号资料。</w:t>
      </w:r>
    </w:p>
    <w:p w14:paraId="3AF1AE61">
      <w:pPr>
        <w:pStyle w:val="11"/>
      </w:pPr>
      <w:r>
        <w:t>• 3. 根据人员变动启用或禁用账号。</w:t>
      </w:r>
    </w:p>
    <w:p w14:paraId="69EBCE76">
      <w:pPr>
        <w:pStyle w:val="11"/>
      </w:pPr>
      <w:r>
        <w:t>• 注意事项：账号权限应遵循最小权限原则，离职或岗位变更后及时处理。</w:t>
      </w:r>
    </w:p>
    <w:p w14:paraId="1E4EC05F">
      <w:pPr>
        <w:pStyle w:val="4"/>
      </w:pPr>
      <w:r>
        <w:t>商户人事列表</w:t>
      </w:r>
    </w:p>
    <w:p w14:paraId="739CEC55">
      <w:pPr>
        <w:pStyle w:val="11"/>
      </w:pPr>
      <w:r>
        <w:t>• 进入路径：人事管理 / 商户人事列表</w:t>
      </w:r>
    </w:p>
    <w:p w14:paraId="39ADB43D">
      <w:pPr>
        <w:pStyle w:val="11"/>
      </w:pPr>
      <w:r>
        <w:t>• 功能说明：用于维护商户侧后台账号。</w:t>
      </w:r>
    </w:p>
    <w:p w14:paraId="665F9118">
      <w:pPr>
        <w:pStyle w:val="11"/>
      </w:pPr>
      <w:r>
        <w:t>• 适用场景：适用于创建或管理商户管理员、角色、状态和登录信息。</w:t>
      </w:r>
    </w:p>
    <w:p w14:paraId="781B9B42">
      <w:pPr>
        <w:pStyle w:val="11"/>
      </w:pPr>
      <w:r>
        <w:t>• 关键字段/填写项：关键字段包括商户 ID、账号、角色、状态、登录 IP、最后登录时间、创建时间、更新时间和操作。</w:t>
      </w:r>
    </w:p>
    <w:p w14:paraId="58C2FCDE">
      <w:r>
        <w:t>操作步骤：</w:t>
      </w:r>
    </w:p>
    <w:p w14:paraId="4C7F736F">
      <w:pPr>
        <w:pStyle w:val="11"/>
      </w:pPr>
      <w:r>
        <w:t>• 1. 按商户或账号查询。</w:t>
      </w:r>
    </w:p>
    <w:p w14:paraId="799B5E60">
      <w:pPr>
        <w:pStyle w:val="11"/>
      </w:pPr>
      <w:r>
        <w:t>• 2. 新建或编辑商户账号信息。</w:t>
      </w:r>
    </w:p>
    <w:p w14:paraId="466DAC20">
      <w:pPr>
        <w:pStyle w:val="11"/>
      </w:pPr>
      <w:r>
        <w:t>• 3. 按需要启用、禁用或调整角色。</w:t>
      </w:r>
    </w:p>
    <w:p w14:paraId="2E9E26F2">
      <w:pPr>
        <w:pStyle w:val="11"/>
      </w:pPr>
      <w:r>
        <w:t>• 注意事项：商户账号变更应与商户授权信息一致，避免误授权。</w:t>
      </w:r>
    </w:p>
    <w:p w14:paraId="08A9CD52">
      <w:pPr>
        <w:pStyle w:val="3"/>
      </w:pPr>
      <w:bookmarkStart w:id="11" w:name="_Toc25045"/>
      <w:r>
        <w:t>平台设置</w:t>
      </w:r>
      <w:bookmarkEnd w:id="11"/>
    </w:p>
    <w:p w14:paraId="7E1CD4D5">
      <w:pPr>
        <w:pStyle w:val="4"/>
      </w:pPr>
      <w:r>
        <w:t>页面管理</w:t>
      </w:r>
    </w:p>
    <w:p w14:paraId="5785EA46">
      <w:pPr>
        <w:pStyle w:val="11"/>
      </w:pPr>
      <w:r>
        <w:t>• 进入路径：平台设置 / 页面管理</w:t>
      </w:r>
    </w:p>
    <w:p w14:paraId="3CE4162B">
      <w:pPr>
        <w:pStyle w:val="11"/>
      </w:pPr>
      <w:r>
        <w:t>• 功能说明：用于维护后台菜单和页面配置。</w:t>
      </w:r>
    </w:p>
    <w:p w14:paraId="08050427">
      <w:pPr>
        <w:pStyle w:val="11"/>
      </w:pPr>
      <w:r>
        <w:t>• 适用场景：适用于新增菜单、调整排序、维护路径、多语言名称、图标和启用状态。</w:t>
      </w:r>
    </w:p>
    <w:p w14:paraId="23772CFA">
      <w:pPr>
        <w:pStyle w:val="11"/>
      </w:pPr>
      <w:r>
        <w:t>• 关键字段/填写项：关键字段包括排序、菜单名、英文名、葡语名、类型、路径、图标、是否启用、备注和操作。</w:t>
      </w:r>
    </w:p>
    <w:p w14:paraId="151EA91D">
      <w:r>
        <w:t>操作步骤：</w:t>
      </w:r>
    </w:p>
    <w:p w14:paraId="51F76812">
      <w:pPr>
        <w:pStyle w:val="11"/>
      </w:pPr>
      <w:r>
        <w:t>• 1. 查看现有菜单层级和页面路径。</w:t>
      </w:r>
    </w:p>
    <w:p w14:paraId="41BAB81E">
      <w:pPr>
        <w:pStyle w:val="11"/>
      </w:pPr>
      <w:r>
        <w:t>• 2. 新增或编辑菜单配置。</w:t>
      </w:r>
    </w:p>
    <w:p w14:paraId="61A6EC96">
      <w:pPr>
        <w:pStyle w:val="11"/>
      </w:pPr>
      <w:r>
        <w:t>• 3. 保存后确认菜单展示和页面跳转正常。</w:t>
      </w:r>
    </w:p>
    <w:p w14:paraId="143B976D">
      <w:pPr>
        <w:pStyle w:val="11"/>
      </w:pPr>
      <w:r>
        <w:t>• 注意事项：页面路径和启用状态会影响用户访问入口，修改前应确认对应页面是否存在。</w:t>
      </w:r>
    </w:p>
    <w:p w14:paraId="6D9EDF24">
      <w:pPr>
        <w:pStyle w:val="4"/>
      </w:pPr>
      <w:r>
        <w:t>币种设置</w:t>
      </w:r>
    </w:p>
    <w:p w14:paraId="205A5C13">
      <w:pPr>
        <w:pStyle w:val="11"/>
      </w:pPr>
      <w:r>
        <w:t>• 进入路径：平台设置 / 币种设置</w:t>
      </w:r>
    </w:p>
    <w:p w14:paraId="53329509">
      <w:pPr>
        <w:pStyle w:val="11"/>
      </w:pPr>
      <w:r>
        <w:t>• 功能说明：用于维护平台支持的币种资料。</w:t>
      </w:r>
    </w:p>
    <w:p w14:paraId="2F6B4BA2">
      <w:pPr>
        <w:pStyle w:val="11"/>
      </w:pPr>
      <w:r>
        <w:t>• 适用场景：适用于维护法币、加密货币、主链、币种图标和备注。</w:t>
      </w:r>
    </w:p>
    <w:p w14:paraId="4CDFD001">
      <w:pPr>
        <w:pStyle w:val="11"/>
      </w:pPr>
      <w:r>
        <w:t>• 关键字段/填写项：关键字段包括币种编码、币种名称、币种符号、货币类型、主链、币种图标和备注。</w:t>
      </w:r>
    </w:p>
    <w:p w14:paraId="4CA90354">
      <w:r>
        <w:t>操作步骤：</w:t>
      </w:r>
    </w:p>
    <w:p w14:paraId="08BAAA47">
      <w:pPr>
        <w:pStyle w:val="11"/>
      </w:pPr>
      <w:r>
        <w:t>• 1. 按币种或货币类型查询。</w:t>
      </w:r>
    </w:p>
    <w:p w14:paraId="03E63CB2">
      <w:pPr>
        <w:pStyle w:val="11"/>
      </w:pPr>
      <w:r>
        <w:t>• 2. 新增或编辑币种资料和图标。</w:t>
      </w:r>
    </w:p>
    <w:p w14:paraId="2257D950">
      <w:pPr>
        <w:pStyle w:val="11"/>
      </w:pPr>
      <w:r>
        <w:t>• 3. 保存后确认币种在商户配置或支付配置中可用。</w:t>
      </w:r>
    </w:p>
    <w:p w14:paraId="2043FE18">
      <w:pPr>
        <w:pStyle w:val="11"/>
      </w:pPr>
      <w:r>
        <w:t>• 注意事项：币种编码、主链和符号应与支付及链上配置保持一致。</w:t>
      </w:r>
    </w:p>
    <w:p w14:paraId="46AC9F3F">
      <w:pPr>
        <w:pStyle w:val="4"/>
      </w:pPr>
      <w:r>
        <w:t>日志管理</w:t>
      </w:r>
    </w:p>
    <w:p w14:paraId="6F53884F">
      <w:pPr>
        <w:pStyle w:val="11"/>
      </w:pPr>
      <w:r>
        <w:t>• 进入路径：平台设置 / 日志管理</w:t>
      </w:r>
    </w:p>
    <w:p w14:paraId="2822017F">
      <w:pPr>
        <w:pStyle w:val="11"/>
      </w:pPr>
      <w:r>
        <w:t>• 功能说明：用于查看操作日志和登录日志。</w:t>
      </w:r>
    </w:p>
    <w:p w14:paraId="1D7DC36E">
      <w:pPr>
        <w:pStyle w:val="11"/>
      </w:pPr>
      <w:r>
        <w:t>• 适用场景：适用于审计账号操作、排查异常、追踪登录 IP、操作结果和错误编码。</w:t>
      </w:r>
    </w:p>
    <w:p w14:paraId="2A3AEFC0">
      <w:pPr>
        <w:pStyle w:val="11"/>
      </w:pPr>
      <w:r>
        <w:t>• 关键字段/填写项：关键字段包括账号、角色、操作日志类型、操作内容、操作对象 ID、错误编码、结果、操作时间、登录时间、登出时间、登录 IP 和登录地区。</w:t>
      </w:r>
    </w:p>
    <w:p w14:paraId="40DE4151">
      <w:r>
        <w:t>操作步骤：</w:t>
      </w:r>
    </w:p>
    <w:p w14:paraId="0743F960">
      <w:pPr>
        <w:pStyle w:val="11"/>
      </w:pPr>
      <w:r>
        <w:t>• 1. 选择操作日志或登录日志页签。</w:t>
      </w:r>
    </w:p>
    <w:p w14:paraId="0E814677">
      <w:pPr>
        <w:pStyle w:val="11"/>
      </w:pPr>
      <w:r>
        <w:t>• 2. 按账号、时间、类型或结果查询。</w:t>
      </w:r>
    </w:p>
    <w:p w14:paraId="2773E73C">
      <w:pPr>
        <w:pStyle w:val="11"/>
      </w:pPr>
      <w:r>
        <w:t>• 3. 查看详情或导出日志用于审计。</w:t>
      </w:r>
    </w:p>
    <w:p w14:paraId="24518C25">
      <w:pPr>
        <w:pStyle w:val="11"/>
      </w:pPr>
      <w:r>
        <w:t>• 注意事项：日志用于追责和排障，不应随意删除或篡改。</w:t>
      </w:r>
    </w:p>
    <w:p w14:paraId="0D3B8281">
      <w:pPr>
        <w:pStyle w:val="4"/>
      </w:pPr>
      <w:r>
        <w:t>平台维护管理</w:t>
      </w:r>
    </w:p>
    <w:p w14:paraId="3C75C6D3">
      <w:pPr>
        <w:pStyle w:val="11"/>
      </w:pPr>
      <w:r>
        <w:t>• 进入路径：平台设置 / 平台维护管理</w:t>
      </w:r>
    </w:p>
    <w:p w14:paraId="2F346D4B">
      <w:pPr>
        <w:pStyle w:val="11"/>
      </w:pPr>
      <w:r>
        <w:t>• 功能说明：用于配置平台、商户或站点维护计划。</w:t>
      </w:r>
    </w:p>
    <w:p w14:paraId="54000F6A">
      <w:pPr>
        <w:pStyle w:val="11"/>
      </w:pPr>
      <w:r>
        <w:t>• 适用场景：适用于发布维护窗口、设置立即维护或定时维护、配置白名单和预览提示。</w:t>
      </w:r>
    </w:p>
    <w:p w14:paraId="64E058E3">
      <w:pPr>
        <w:pStyle w:val="11"/>
      </w:pPr>
      <w:r>
        <w:t>• 关键字段/填写项：关键字段包括维护开关、维护范围、生效方式、确认级别、开始时间、结束时间、白名单、状态、操作人和备注。</w:t>
      </w:r>
    </w:p>
    <w:p w14:paraId="75AE7113">
      <w:r>
        <w:t>操作步骤：</w:t>
      </w:r>
    </w:p>
    <w:p w14:paraId="05D1F518">
      <w:pPr>
        <w:pStyle w:val="11"/>
      </w:pPr>
      <w:r>
        <w:t>• 1. 选择维护范围和生效方式。</w:t>
      </w:r>
    </w:p>
    <w:p w14:paraId="37F67A57">
      <w:pPr>
        <w:pStyle w:val="11"/>
      </w:pPr>
      <w:r>
        <w:t>• 2. 设置开始时间、结束时间、白名单和提示内容。</w:t>
      </w:r>
    </w:p>
    <w:p w14:paraId="59ACE6FF">
      <w:pPr>
        <w:pStyle w:val="11"/>
      </w:pPr>
      <w:r>
        <w:t>• 3. 保存配置或提交维护，执行后通过日志确认结果。</w:t>
      </w:r>
    </w:p>
    <w:p w14:paraId="6F55D98E">
      <w:pPr>
        <w:pStyle w:val="11"/>
      </w:pPr>
      <w:r>
        <w:t>• 注意事项：维护操作会影响用户访问，提交前应确认时间窗口、影响范围和通知安排。</w:t>
      </w:r>
    </w:p>
    <w:p w14:paraId="088C14A4">
      <w:pPr>
        <w:pStyle w:val="3"/>
      </w:pPr>
      <w:bookmarkStart w:id="12" w:name="_Toc32165"/>
      <w:r>
        <w:t>消息中心</w:t>
      </w:r>
      <w:bookmarkEnd w:id="12"/>
    </w:p>
    <w:p w14:paraId="4EF24C84">
      <w:pPr>
        <w:pStyle w:val="4"/>
      </w:pPr>
      <w:r>
        <w:t>消息管理</w:t>
      </w:r>
    </w:p>
    <w:p w14:paraId="302F400C">
      <w:pPr>
        <w:pStyle w:val="11"/>
      </w:pPr>
      <w:r>
        <w:t>• 进入路径：消息中心 / 消息管理</w:t>
      </w:r>
    </w:p>
    <w:p w14:paraId="667BAC8E">
      <w:pPr>
        <w:pStyle w:val="11"/>
      </w:pPr>
      <w:r>
        <w:t>• 功能说明：用于新增和管理面向商户的站内消息。</w:t>
      </w:r>
    </w:p>
    <w:p w14:paraId="513F3250">
      <w:pPr>
        <w:pStyle w:val="11"/>
      </w:pPr>
      <w:r>
        <w:t>• 适用场景：适用于发送公告、维护通知、业务提醒或指定账号消息。</w:t>
      </w:r>
    </w:p>
    <w:p w14:paraId="3B7DB277">
      <w:pPr>
        <w:pStyle w:val="11"/>
      </w:pPr>
      <w:r>
        <w:t>• 关键字段/填写项：关键字段包括消息状态、标题、提醒商户、显示内容、弹出频次、发送时间、结束时间、操作人和操作时间。</w:t>
      </w:r>
    </w:p>
    <w:p w14:paraId="5CD8DAAB">
      <w:r>
        <w:t>操作步骤：</w:t>
      </w:r>
    </w:p>
    <w:p w14:paraId="401F997A">
      <w:pPr>
        <w:pStyle w:val="11"/>
      </w:pPr>
      <w:r>
        <w:t>• 1. 按状态或标题查询现有消息。</w:t>
      </w:r>
    </w:p>
    <w:p w14:paraId="32CF2627">
      <w:pPr>
        <w:pStyle w:val="11"/>
      </w:pPr>
      <w:r>
        <w:t>• 2. 点击新增，选择提醒对象并填写标题、内容、弹出频次和结束时间。</w:t>
      </w:r>
    </w:p>
    <w:p w14:paraId="74290C0C">
      <w:pPr>
        <w:pStyle w:val="11"/>
      </w:pPr>
      <w:r>
        <w:t>• 3. 提交后确认消息状态和发送范围。</w:t>
      </w:r>
    </w:p>
    <w:p w14:paraId="14EAA15F">
      <w:pPr>
        <w:pStyle w:val="11"/>
      </w:pPr>
      <w:r>
        <w:t>• 注意事项：正式公告应检查文案、对象和结束时间，避免重复或误发。</w:t>
      </w:r>
    </w:p>
    <w:p w14:paraId="4656F6B3">
      <w:pPr>
        <w:pStyle w:val="4"/>
      </w:pPr>
      <w:r>
        <w:t>会员投诉列表</w:t>
      </w:r>
    </w:p>
    <w:p w14:paraId="308CD243">
      <w:pPr>
        <w:pStyle w:val="11"/>
      </w:pPr>
      <w:r>
        <w:t>• 进入路径：消息中心 / 会员投诉列表</w:t>
      </w:r>
    </w:p>
    <w:p w14:paraId="5A4A6C8A">
      <w:pPr>
        <w:pStyle w:val="11"/>
      </w:pPr>
      <w:r>
        <w:t>• 功能说明：用于查看和处理会员投诉相关记录。</w:t>
      </w:r>
    </w:p>
    <w:p w14:paraId="6B73356D">
      <w:pPr>
        <w:pStyle w:val="11"/>
      </w:pPr>
      <w:r>
        <w:t>• 适用场景：适用于客服或风控跟踪投诉内容、投诉次数、未处理时长、升级原因和商户处理状态。</w:t>
      </w:r>
    </w:p>
    <w:p w14:paraId="0A33BECC">
      <w:pPr>
        <w:pStyle w:val="11"/>
      </w:pPr>
      <w:r>
        <w:t>• 关键字段/填写项：关键字段包括被投诉日期、商户 ID、商户名称、站点 ID、站点名称、投诉人详情、投诉内容、投诉次数、未处理时间、升级原因、商户处理状态、处理人和处理时间。</w:t>
      </w:r>
    </w:p>
    <w:p w14:paraId="553B5EF9">
      <w:r>
        <w:t>操作步骤：</w:t>
      </w:r>
    </w:p>
    <w:p w14:paraId="2C685223">
      <w:pPr>
        <w:pStyle w:val="11"/>
      </w:pPr>
      <w:r>
        <w:t>• 1. 按消息状态、站点 ID、会员 ID 或会员账号查询。</w:t>
      </w:r>
    </w:p>
    <w:p w14:paraId="6F4515E2">
      <w:pPr>
        <w:pStyle w:val="11"/>
      </w:pPr>
      <w:r>
        <w:t>• 2. 查看投诉内容和升级原因。</w:t>
      </w:r>
    </w:p>
    <w:p w14:paraId="42F84AD1">
      <w:pPr>
        <w:pStyle w:val="11"/>
      </w:pPr>
      <w:r>
        <w:t>• 3. 根据处理结果更新状态，并按需配置投诉触发或提醒规则。</w:t>
      </w:r>
    </w:p>
    <w:p w14:paraId="50658CF3">
      <w:pPr>
        <w:pStyle w:val="11"/>
      </w:pPr>
      <w:r>
        <w:t>• 注意事项：投诉处理应记录处理人、处理时间和处理结果，避免长期未处理。</w:t>
      </w:r>
    </w:p>
    <w:p w14:paraId="366323C7">
      <w:pPr>
        <w:pStyle w:val="4"/>
      </w:pPr>
      <w:r>
        <w:t>平台建议</w:t>
      </w:r>
    </w:p>
    <w:p w14:paraId="14BF78EC">
      <w:pPr>
        <w:pStyle w:val="11"/>
      </w:pPr>
      <w:r>
        <w:t>• 进入路径：消息中心 / 平台建议</w:t>
      </w:r>
    </w:p>
    <w:p w14:paraId="0C447E39">
      <w:pPr>
        <w:pStyle w:val="11"/>
      </w:pPr>
      <w:r>
        <w:t>• 功能说明：用于查看和处理商户提交的平台建议。</w:t>
      </w:r>
    </w:p>
    <w:p w14:paraId="44CCA134">
      <w:pPr>
        <w:pStyle w:val="11"/>
      </w:pPr>
      <w:r>
        <w:t>• 适用场景：适用于运营或产品查看反馈内容、附件、处理状态、回复内容和操作记录。</w:t>
      </w:r>
    </w:p>
    <w:p w14:paraId="3119E48C">
      <w:pPr>
        <w:pStyle w:val="11"/>
      </w:pPr>
      <w:r>
        <w:t>• 关键字段/填写项：关键字段包括商户 ID、商户名称、状态、提交时间、反馈内容、附件、回复内容、操作人和操作时间。</w:t>
      </w:r>
    </w:p>
    <w:p w14:paraId="64957ED8">
      <w:r>
        <w:t>操作步骤：</w:t>
      </w:r>
    </w:p>
    <w:p w14:paraId="263F0BD7">
      <w:pPr>
        <w:pStyle w:val="11"/>
      </w:pPr>
      <w:r>
        <w:t>• 1. 按状态或商户 ID 查询建议。</w:t>
      </w:r>
    </w:p>
    <w:p w14:paraId="1E2AB9F6">
      <w:pPr>
        <w:pStyle w:val="11"/>
      </w:pPr>
      <w:r>
        <w:t>• 2. 查看反馈内容和附件。</w:t>
      </w:r>
    </w:p>
    <w:p w14:paraId="40D70BE8">
      <w:pPr>
        <w:pStyle w:val="11"/>
      </w:pPr>
      <w:r>
        <w:t>• 3. 根据处理结论回复并更新状态。</w:t>
      </w:r>
    </w:p>
    <w:p w14:paraId="4E34DBE0">
      <w:pPr>
        <w:pStyle w:val="11"/>
      </w:pPr>
      <w:r>
        <w:t>• 注意事项：已采纳建议应保留回复内容，便于后续产品迭代和商户沟通。</w:t>
      </w:r>
    </w:p>
    <w:p w14:paraId="0EDBB9EF">
      <w:pPr>
        <w:pStyle w:val="2"/>
      </w:pPr>
      <w:bookmarkStart w:id="13" w:name="_Toc25563"/>
      <w:r>
        <w:t>五、重点业务流程</w:t>
      </w:r>
      <w:bookmarkEnd w:id="13"/>
    </w:p>
    <w:p w14:paraId="4F2668AC">
      <w:pPr>
        <w:pStyle w:val="3"/>
      </w:pPr>
      <w:bookmarkStart w:id="14" w:name="_Toc4539"/>
      <w:r>
        <w:t>商户开通流程</w:t>
      </w:r>
      <w:bookmarkEnd w:id="14"/>
    </w:p>
    <w:p w14:paraId="3B7D571A">
      <w:pPr>
        <w:pStyle w:val="11"/>
      </w:pPr>
      <w:r>
        <w:t>• 进入商户管理 / 新增商户，填写商户基础信息、后台登录账号、初始密码、经营国家、币种和语言。</w:t>
      </w:r>
    </w:p>
    <w:p w14:paraId="6C049B0A">
      <w:pPr>
        <w:pStyle w:val="11"/>
      </w:pPr>
      <w:r>
        <w:t>• 配置商户站点、游戏、支付通道、注册方式和通知方式，保存后在商户列表确认账号状态。</w:t>
      </w:r>
    </w:p>
    <w:p w14:paraId="0EEEF9B6">
      <w:pPr>
        <w:pStyle w:val="11"/>
      </w:pPr>
      <w:r>
        <w:t>• 如需调整商户状态、站点状态、支付 IP 或费用配置，可从商户列表进入对应页面处理。</w:t>
      </w:r>
    </w:p>
    <w:p w14:paraId="3AB838D9">
      <w:pPr>
        <w:pStyle w:val="3"/>
      </w:pPr>
      <w:bookmarkStart w:id="15" w:name="_Toc32324"/>
      <w:r>
        <w:t>账单稽核流程</w:t>
      </w:r>
      <w:bookmarkEnd w:id="15"/>
    </w:p>
    <w:p w14:paraId="547342B3">
      <w:pPr>
        <w:pStyle w:val="11"/>
      </w:pPr>
      <w:r>
        <w:t>• 进入财务中心 / 商户账单稽核，按商户 ID、账期、状态、供应商、厂商或游戏类型筛选账单。</w:t>
      </w:r>
    </w:p>
    <w:p w14:paraId="12FE05A5">
      <w:pPr>
        <w:pStyle w:val="11"/>
      </w:pPr>
      <w:r>
        <w:t>• 查看账单详情，核对开版费、服务器费用、人工加扣款、游戏厂商费用、优惠减免和结算金额。</w:t>
      </w:r>
    </w:p>
    <w:p w14:paraId="5E8CD628">
      <w:pPr>
        <w:pStyle w:val="11"/>
      </w:pPr>
      <w:r>
        <w:t>• 确认无误后执行稽核或批量稽核；需要留档时按当前查询条件导出表格。</w:t>
      </w:r>
    </w:p>
    <w:p w14:paraId="4598F7D8">
      <w:pPr>
        <w:pStyle w:val="3"/>
      </w:pPr>
      <w:bookmarkStart w:id="16" w:name="_Toc20252"/>
      <w:r>
        <w:t>资金与流水核对流程</w:t>
      </w:r>
      <w:bookmarkEnd w:id="16"/>
    </w:p>
    <w:p w14:paraId="4BC867A7">
      <w:pPr>
        <w:pStyle w:val="11"/>
      </w:pPr>
      <w:r>
        <w:t>• 通过平台收入查看月度收入结构，通过账变记录核对余额变动流水。</w:t>
      </w:r>
    </w:p>
    <w:p w14:paraId="7F84C7AC">
      <w:pPr>
        <w:pStyle w:val="11"/>
      </w:pPr>
      <w:r>
        <w:t>• 通过人工加扣款追踪人工调整来源，通过商户地址列表查看钱包余额与归集状态。</w:t>
      </w:r>
    </w:p>
    <w:p w14:paraId="522E265C">
      <w:pPr>
        <w:pStyle w:val="11"/>
      </w:pPr>
      <w:r>
        <w:t>• 发现逾期或欠费时进入逾期商户页面处理，并回到商户列表确认商户或站点状态。</w:t>
      </w:r>
    </w:p>
    <w:p w14:paraId="4E3172CD">
      <w:pPr>
        <w:pStyle w:val="3"/>
      </w:pPr>
      <w:bookmarkStart w:id="17" w:name="_Toc28265"/>
      <w:r>
        <w:t>维护与通知流程</w:t>
      </w:r>
      <w:bookmarkEnd w:id="17"/>
    </w:p>
    <w:p w14:paraId="415D7BB1">
      <w:pPr>
        <w:pStyle w:val="11"/>
      </w:pPr>
      <w:r>
        <w:t>• 平台维护前进入平台维护管理设置维护范围、生效方式、开始结束时间、白名单和提示文案。</w:t>
      </w:r>
    </w:p>
    <w:p w14:paraId="5A05FC62">
      <w:pPr>
        <w:pStyle w:val="11"/>
      </w:pPr>
      <w:r>
        <w:t>• 需要通知商户时进入消息管理新增消息，设置提醒对象、标题、内容、弹出频次和结束时间。</w:t>
      </w:r>
    </w:p>
    <w:p w14:paraId="5921DA9A">
      <w:pPr>
        <w:pStyle w:val="11"/>
      </w:pPr>
      <w:r>
        <w:t>• 维护执行后通过日志管理查看操作结果，必要时导出日志作为复盘依据。</w:t>
      </w:r>
    </w:p>
    <w:sectPr>
      <w:pgSz w:w="11906" w:h="16838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C0C01DE"/>
    <w:rsid w:val="748063FF"/>
    <w:rsid w:val="7CB33A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320" w:lineRule="auto"/>
    </w:pPr>
    <w:rPr>
      <w:rFonts w:ascii="微软雅黑" w:eastAsia="微软雅黑"/>
      <w:sz w:val="21"/>
      <w:szCs w:val="22"/>
    </w:rPr>
  </w:style>
  <w:style w:type="paragraph" w:styleId="2">
    <w:name w:val="heading 1"/>
    <w:basedOn w:val="1"/>
    <w:next w:val="1"/>
    <w:uiPriority w:val="0"/>
    <w:pPr>
      <w:spacing w:before="360" w:after="160"/>
    </w:pPr>
    <w:rPr>
      <w:b/>
      <w:color w:val="1F4E79"/>
      <w:sz w:val="30"/>
    </w:rPr>
  </w:style>
  <w:style w:type="paragraph" w:styleId="3">
    <w:name w:val="heading 2"/>
    <w:basedOn w:val="1"/>
    <w:next w:val="1"/>
    <w:uiPriority w:val="0"/>
    <w:pPr>
      <w:spacing w:before="260" w:after="120"/>
    </w:pPr>
    <w:rPr>
      <w:b/>
      <w:color w:val="2F75B5"/>
      <w:sz w:val="26"/>
    </w:rPr>
  </w:style>
  <w:style w:type="paragraph" w:styleId="4">
    <w:name w:val="heading 3"/>
    <w:basedOn w:val="1"/>
    <w:next w:val="1"/>
    <w:uiPriority w:val="0"/>
    <w:pPr>
      <w:spacing w:before="180" w:after="80"/>
    </w:pPr>
    <w:rPr>
      <w:b/>
      <w:sz w:val="23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Title"/>
    <w:basedOn w:val="1"/>
    <w:uiPriority w:val="0"/>
    <w:pPr>
      <w:spacing w:after="360"/>
      <w:jc w:val="center"/>
    </w:pPr>
    <w:rPr>
      <w:rFonts w:ascii="微软雅黑" w:eastAsia="微软雅黑"/>
      <w:b/>
      <w:sz w:val="40"/>
    </w:rPr>
  </w:style>
  <w:style w:type="table" w:styleId="9">
    <w:name w:val="Table Grid"/>
    <w:uiPriority w:val="0"/>
    <w:tblPr>
      <w:tblBorders>
        <w:top w:val="single" w:color="D9E2F3" w:sz="4" w:space="0"/>
        <w:left w:val="single" w:color="D9E2F3" w:sz="4" w:space="0"/>
        <w:bottom w:val="single" w:color="D9E2F3" w:sz="4" w:space="0"/>
        <w:right w:val="single" w:color="D9E2F3" w:sz="4" w:space="0"/>
        <w:insideH w:val="single" w:color="D9E2F3" w:sz="4" w:space="0"/>
        <w:insideV w:val="single" w:color="D9E2F3" w:sz="4" w:space="0"/>
      </w:tblBorders>
    </w:tblPr>
  </w:style>
  <w:style w:type="paragraph" w:styleId="11">
    <w:name w:val="List Paragraph"/>
    <w:basedOn w:val="1"/>
    <w:uiPriority w:val="0"/>
    <w:pPr>
      <w:ind w:left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9606</Words>
  <Characters>9793</Characters>
  <TotalTime>11</TotalTime>
  <ScaleCrop>false</ScaleCrop>
  <LinksUpToDate>false</LinksUpToDate>
  <CharactersWithSpaces>10657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2026-05-19T08:01:00Z</dcterms:created>
  <dc:creator>Administrator</dc:creator>
  <cp:lastModifiedBy>张海桃</cp:lastModifiedBy>
  <dcterms:modified xsi:type="dcterms:W3CDTF">2026-05-19T08:18:22Z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eyJoZGlkIjoiMDZiMjQ0YTY5YzA3ZWI5ZTk1YjdlNWE1Mjg0YTQ3MjQiLCJ1c2VySWQiOiIxNjI3NzM0MiJ9</vt:lpwstr>
  </property>
  <property fmtid="{D5CDD505-2E9C-101B-9397-08002B2CF9AE}" pid="3" name="KSOProductBuildVer">
    <vt:lpwstr>2052-12.1.0.26375</vt:lpwstr>
  </property>
  <property fmtid="{D5CDD505-2E9C-101B-9397-08002B2CF9AE}" pid="4" name="ICV">
    <vt:lpwstr>9BB7A29A0BA041C9970F98CE67921CA3_12</vt:lpwstr>
  </property>
</Properties>
</file>