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rPr>
          <w:sz w:val="28"/>
          <w:szCs w:val="36"/>
        </w:rPr>
      </w:pPr>
      <w:r>
        <w:rPr>
          <w:rFonts w:ascii="微软雅黑" w:hAnsi="微软雅黑" w:eastAsia="微软雅黑"/>
          <w:b/>
          <w:color w:val="254061"/>
          <w:sz w:val="52"/>
          <w:szCs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t>商户创建或维护后台账号时，只能选择系统已配置好的角色；不同角色对应不同菜单、按钮和数据范围。若当前角色不满足业务需要，可按内部账号管理流程申请调整。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首页</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6F34775A">
      <w:pPr>
        <w:pStyle w:val="4"/>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5"/>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5"/>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5"/>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5"/>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t>组件说明按模板管理中常见组件逐项整理。各组件说明可结合页面中的字段、展示效果和操作入口理解对应配置用途。</w:t>
      </w:r>
    </w:p>
    <w:p w14:paraId="52A0F926">
      <w:pPr>
        <w:pStyle w:val="5"/>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5"/>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5"/>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5"/>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5"/>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5"/>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5"/>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5"/>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w:t>
      </w:r>
      <w:r>
        <w:rPr>
          <w:rFonts w:hint="eastAsia"/>
          <w:b w:val="0"/>
          <w:sz w:val="20"/>
          <w:lang w:val="en-US" w:eastAsia="zh-CN"/>
        </w:rPr>
        <w:t>游戏频道，</w:t>
      </w:r>
      <w:r>
        <w:rPr>
          <w:rFonts w:ascii="微软雅黑" w:hAnsi="微软雅黑" w:eastAsia="微软雅黑"/>
          <w:b w:val="0"/>
          <w:sz w:val="20"/>
        </w:rPr>
        <w:t>热门、老虎机、真人、棋牌、体育、捕鱼等</w:t>
      </w:r>
      <w:r>
        <w:rPr>
          <w:rFonts w:hint="eastAsia"/>
          <w:b w:val="0"/>
          <w:sz w:val="20"/>
          <w:lang w:val="en-US" w:eastAsia="zh-CN"/>
        </w:rPr>
        <w:t>系统频道或者自定义频道</w:t>
      </w:r>
      <w:r>
        <w:rPr>
          <w:rFonts w:ascii="微软雅黑" w:hAnsi="微软雅黑" w:eastAsia="微软雅黑"/>
          <w:b w:val="0"/>
          <w:sz w:val="20"/>
        </w:rPr>
        <w:t>；卡片可按图片、名称、厂商等不同信息组合展示。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5"/>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5"/>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4"/>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5"/>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5"/>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5"/>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2"/>
                    <a:stretch>
                      <a:fillRect/>
                    </a:stretch>
                  </pic:blipFill>
                  <pic:spPr>
                    <a:xfrm>
                      <a:off x="0" y="0"/>
                      <a:ext cx="6391275" cy="1407160"/>
                    </a:xfrm>
                    <a:prstGeom prst="rect">
                      <a:avLst/>
                    </a:prstGeom>
                    <a:noFill/>
                    <a:ln>
                      <a:noFill/>
                    </a:ln>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40" w:line="276" w:lineRule="auto"/>
        <w:ind w:leftChars="0"/>
      </w:pPr>
    </w:p>
    <w:p w14:paraId="28C20023">
      <w:pPr>
        <w:pStyle w:val="5"/>
        <w:spacing w:after="80"/>
      </w:pPr>
      <w:r>
        <w:rPr>
          <w:rFonts w:ascii="微软雅黑" w:hAnsi="微软雅黑" w:eastAsia="微软雅黑"/>
          <w:b/>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3"/>
                    <a:stretch>
                      <a:fillRect/>
                    </a:stretch>
                  </pic:blipFill>
                  <pic:spPr>
                    <a:xfrm>
                      <a:off x="0" y="0"/>
                      <a:ext cx="5897880" cy="1806758"/>
                    </a:xfrm>
                    <a:prstGeom prst="rect">
                      <a:avLst/>
                    </a:prstGeom>
                  </pic:spPr>
                </pic:pic>
              </a:graphicData>
            </a:graphic>
          </wp:inline>
        </w:drawing>
      </w:r>
    </w:p>
    <w:p w14:paraId="47811C09">
      <w:pPr>
        <w:pStyle w:val="15"/>
        <w:spacing w:after="120"/>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5"/>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4"/>
                    <a:stretch>
                      <a:fillRect/>
                    </a:stretch>
                  </pic:blipFill>
                  <pic:spPr>
                    <a:xfrm>
                      <a:off x="0" y="0"/>
                      <a:ext cx="6395720" cy="2598420"/>
                    </a:xfrm>
                    <a:prstGeom prst="rect">
                      <a:avLst/>
                    </a:prstGeom>
                    <a:noFill/>
                    <a:ln>
                      <a:noFill/>
                    </a:ln>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5"/>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5"/>
                    <a:stretch>
                      <a:fillRect/>
                    </a:stretch>
                  </pic:blipFill>
                  <pic:spPr>
                    <a:xfrm>
                      <a:off x="0" y="0"/>
                      <a:ext cx="6388100" cy="1395730"/>
                    </a:xfrm>
                    <a:prstGeom prst="rect">
                      <a:avLst/>
                    </a:prstGeom>
                    <a:noFill/>
                    <a:ln>
                      <a:noFill/>
                    </a:ln>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5"/>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6"/>
                    <a:stretch>
                      <a:fillRect/>
                    </a:stretch>
                  </pic:blipFill>
                  <pic:spPr>
                    <a:xfrm>
                      <a:off x="0" y="0"/>
                      <a:ext cx="6398260" cy="1381760"/>
                    </a:xfrm>
                    <a:prstGeom prst="rect">
                      <a:avLst/>
                    </a:prstGeom>
                    <a:noFill/>
                    <a:ln>
                      <a:noFill/>
                    </a:ln>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4"/>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5"/>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5"/>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5"/>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5"/>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5"/>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4"/>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5"/>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5"/>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3"/>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4"/>
        <w:keepNext/>
        <w:spacing w:before="180" w:after="100" w:line="259" w:lineRule="auto"/>
      </w:pPr>
      <w:r>
        <w:rPr>
          <w:rFonts w:ascii="微软雅黑" w:hAnsi="微软雅黑" w:eastAsia="微软雅黑"/>
          <w:b/>
          <w:color w:val="2F5597"/>
          <w:sz w:val="25"/>
        </w:rPr>
        <w:t>站点域名</w:t>
      </w:r>
    </w:p>
    <w:p w14:paraId="53159632">
      <w:r>
        <w:t>站点域名用于维护不同业务入口的域名配置，页面通过顶部页签区分前台域名管理、后台域名管理和推广域名。进入对应页签后，可执行查询、新增、绑定站点、修改落地页模板、启用、停用或删除等操作。</w:t>
      </w:r>
    </w:p>
    <w:p w14:paraId="7E7CCF56">
      <w:pPr>
        <w:pStyle w:val="5"/>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：当前页签展示前台域名列表，可执行查询、新增、绑定站点、修改、启用、停用和删除等操作。</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5"/>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：当前页签展示后台域名列表，可执行查询、新增、绑定站点、修改、启用、停用和删除等操作。</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：停用会影响后台访问入口，应先确认替代后台域名可用；删除前需确认无账号、公告、白名单或内部记录仍指向该域名。</w:t>
      </w:r>
    </w:p>
    <w:p w14:paraId="08BD8EB3">
      <w:pPr>
        <w:pStyle w:val="5"/>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页面内容</w:t>
      </w:r>
      <w:r>
        <w:rPr>
          <w:rFonts w:ascii="微软雅黑" w:hAnsi="微软雅黑" w:eastAsia="微软雅黑"/>
          <w:b w:val="0"/>
          <w:sz w:val="20"/>
        </w:rPr>
        <w:t>：当前页签展示推广域名列表，可查看绑定站点、落地页模板等信息，并执行查询、新增、修改、启用、停用和删除等操作。</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5"/>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5"/>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4"/>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5"/>
      </w:pPr>
      <w:r>
        <w:rPr>
          <w:rFonts w:ascii="微软雅黑" w:hAnsi="微软雅黑" w:eastAsia="微软雅黑"/>
          <w:b/>
          <w:color w:val="2F5597"/>
          <w:sz w:val="22"/>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28"/>
                    <a:stretch>
                      <a:fillRect/>
                    </a:stretch>
                  </pic:blipFill>
                  <pic:spPr>
                    <a:xfrm>
                      <a:off x="0" y="0"/>
                      <a:ext cx="6395720" cy="3333115"/>
                    </a:xfrm>
                    <a:prstGeom prst="rect">
                      <a:avLst/>
                    </a:prstGeom>
                    <a:noFill/>
                    <a:ln>
                      <a:noFill/>
                    </a:ln>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5"/>
      </w:pPr>
      <w:r>
        <w:rPr>
          <w:rFonts w:ascii="微软雅黑" w:hAnsi="微软雅黑" w:eastAsia="微软雅黑"/>
          <w:b/>
          <w:color w:val="2F5597"/>
          <w:sz w:val="22"/>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29"/>
                    <a:stretch>
                      <a:fillRect/>
                    </a:stretch>
                  </pic:blipFill>
                  <pic:spPr>
                    <a:xfrm>
                      <a:off x="0" y="0"/>
                      <a:ext cx="6393180" cy="3228340"/>
                    </a:xfrm>
                    <a:prstGeom prst="rect">
                      <a:avLst/>
                    </a:prstGeom>
                    <a:noFill/>
                    <a:ln>
                      <a:noFill/>
                    </a:ln>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：显示客服渠道类型，页面支持 Telegram、WhatsApp、Facebook、Line 等配置方式。不同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5"/>
      </w:pPr>
      <w:r>
        <w:rPr>
          <w:rFonts w:ascii="微软雅黑" w:hAnsi="微软雅黑" w:eastAsia="微软雅黑"/>
          <w:b/>
          <w:color w:val="2F5597"/>
          <w:sz w:val="22"/>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0"/>
                    <a:stretch>
                      <a:fillRect/>
                    </a:stretch>
                  </pic:blipFill>
                  <pic:spPr>
                    <a:xfrm>
                      <a:off x="0" y="0"/>
                      <a:ext cx="6400800" cy="6045835"/>
                    </a:xfrm>
                    <a:prstGeom prst="rect">
                      <a:avLst/>
                    </a:prstGeom>
                    <a:noFill/>
                    <a:ln>
                      <a:noFill/>
                    </a:ln>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4"/>
        <w:keepNext/>
        <w:spacing w:before="180" w:after="100" w:line="259" w:lineRule="auto"/>
      </w:pPr>
      <w:r>
        <w:rPr>
          <w:rFonts w:ascii="微软雅黑" w:hAnsi="微软雅黑" w:eastAsia="微软雅黑"/>
          <w:b/>
          <w:color w:val="2F5597"/>
          <w:sz w:val="25"/>
        </w:rPr>
        <w:t>分享配置</w:t>
      </w:r>
    </w:p>
    <w:p w14:paraId="39D862D5">
      <w:pPr>
        <w:pStyle w:val="16"/>
        <w:spacing w:after="60" w:line="276" w:lineRule="auto"/>
      </w:pPr>
      <w:r>
        <w:rPr>
          <w:rFonts w:ascii="微软雅黑" w:hAnsi="微软雅黑" w:eastAsia="微软雅黑"/>
          <w:b/>
          <w:color w:val="2F5597"/>
          <w:sz w:val="20"/>
        </w:rPr>
        <w:t>分享配置</w:t>
      </w:r>
      <w:r>
        <w:rPr>
          <w:rFonts w:ascii="微软雅黑" w:hAnsi="微软雅黑" w:eastAsia="微软雅黑"/>
          <w:b w:val="0"/>
          <w:sz w:val="20"/>
        </w:rPr>
        <w:t>：用于维护分享标题、描述、图片和渠道参数。</w:t>
      </w:r>
    </w:p>
    <w:p w14:paraId="1E20F9F4">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：编辑分享文案、配置分享图片，并设置渠道或落地页参数。</w:t>
      </w:r>
    </w:p>
    <w:p w14:paraId="5B0E71D8">
      <w:pPr>
        <w:pStyle w:val="16"/>
        <w:spacing w:after="60" w:line="276" w:lineRule="auto"/>
      </w:pPr>
      <w:r>
        <w:rPr>
          <w:rFonts w:ascii="微软雅黑" w:hAnsi="微软雅黑" w:eastAsia="微软雅黑"/>
          <w:b/>
          <w:color w:val="2F5597"/>
          <w:sz w:val="20"/>
        </w:rPr>
        <w:t>发布前检查</w:t>
      </w:r>
      <w:r>
        <w:rPr>
          <w:rFonts w:ascii="微软雅黑" w:hAnsi="微软雅黑" w:eastAsia="微软雅黑"/>
          <w:b w:val="0"/>
          <w:sz w:val="20"/>
        </w:rPr>
        <w:t>：发布前确认分享配置与活动、品牌和投放页面保持一致。</w:t>
      </w:r>
    </w:p>
    <w:p w14:paraId="7506ED41">
      <w:pPr>
        <w:pStyle w:val="4"/>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等登录或验证服务。页面以配置卡片展示每个服务的启用状态、配置状态和关键参数，维护时应在上线前逐项核对。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后台绑定，保存后需核对发送链路和号码归属是否正常。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等敏感字段时，保存前应按实际参数来源和启用范围再次复核。</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4"/>
        <w:keepNext/>
        <w:spacing w:before="180" w:after="100" w:line="259" w:lineRule="auto"/>
      </w:pPr>
      <w:r>
        <w:rPr>
          <w:rFonts w:ascii="微软雅黑" w:hAnsi="微软雅黑" w:eastAsia="微软雅黑"/>
          <w:b/>
          <w:color w:val="2F5597"/>
          <w:sz w:val="25"/>
        </w:rPr>
        <w:t>支付通道配置</w:t>
      </w:r>
    </w:p>
    <w:p w14:paraId="5F91BA65">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2"/>
                    <a:stretch>
                      <a:fillRect/>
                    </a:stretch>
                  </pic:blipFill>
                  <pic:spPr>
                    <a:xfrm>
                      <a:off x="0" y="0"/>
                      <a:ext cx="5806440" cy="1688000"/>
                    </a:xfrm>
                    <a:prstGeom prst="rect">
                      <a:avLst/>
                    </a:prstGeom>
                  </pic:spPr>
                </pic:pic>
              </a:graphicData>
            </a:graphic>
          </wp:inline>
        </w:drawing>
      </w:r>
    </w:p>
    <w:p w14:paraId="25715291">
      <w:pPr>
        <w:jc w:val="center"/>
      </w:pPr>
      <w:r>
        <w:rPr>
          <w:rFonts w:ascii="微软雅黑" w:hAnsi="微软雅黑" w:eastAsia="微软雅黑"/>
          <w:b w:val="0"/>
          <w:color w:val="707E92"/>
          <w:sz w:val="18"/>
        </w:rPr>
        <w:t>图：支付通道配置列表。</w:t>
      </w:r>
    </w:p>
    <w:p w14:paraId="76D74203">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3"/>
                    <a:stretch>
                      <a:fillRect/>
                    </a:stretch>
                  </pic:blipFill>
                  <pic:spPr>
                    <a:xfrm>
                      <a:off x="0" y="0"/>
                      <a:ext cx="5806440" cy="6962225"/>
                    </a:xfrm>
                    <a:prstGeom prst="rect">
                      <a:avLst/>
                    </a:prstGeom>
                  </pic:spPr>
                </pic:pic>
              </a:graphicData>
            </a:graphic>
          </wp:inline>
        </w:drawing>
      </w:r>
    </w:p>
    <w:p w14:paraId="037C3945">
      <w:pPr>
        <w:jc w:val="center"/>
      </w:pPr>
      <w:r>
        <w:rPr>
          <w:rFonts w:ascii="微软雅黑" w:hAnsi="微软雅黑" w:eastAsia="微软雅黑"/>
          <w:b w:val="0"/>
          <w:color w:val="707E92"/>
          <w:sz w:val="18"/>
        </w:rPr>
        <w:t>图：新增在线支付平台参数配置。</w:t>
      </w:r>
    </w:p>
    <w:p w14:paraId="2287D100">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4"/>
        <w:keepNext/>
        <w:spacing w:before="180" w:after="100" w:line="259" w:lineRule="auto"/>
      </w:pPr>
      <w:r>
        <w:rPr>
          <w:rFonts w:ascii="微软雅黑" w:hAnsi="微软雅黑" w:eastAsia="微软雅黑"/>
          <w:b/>
          <w:color w:val="2F5597"/>
          <w:sz w:val="25"/>
        </w:rPr>
        <w:t>广告埋点配置</w:t>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5"/>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系统生成的配置唯一标识，可用于列表检索、配置对照和异常排查。列表中较长内容会省略显示，核对完整值时可进入修改弹窗或结合后台数据记录确认。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Google、Facebook、Adjust 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记录配置用途、投放批次、补充说明或特殊约定，便于后续排查和交接。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5"/>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5"/>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t>涉及像素ID和事件标识的调整应由相关维护人员共同复核。修改线上渠道前，建议先复制当前值留档，确认新配置验证通过后再用于正式投放。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4"/>
        <w:keepNext/>
        <w:spacing w:before="180" w:after="100" w:line="259" w:lineRule="auto"/>
      </w:pPr>
      <w:r>
        <w:rPr>
          <w:rFonts w:ascii="微软雅黑" w:hAnsi="微软雅黑" w:eastAsia="微软雅黑"/>
          <w:b/>
          <w:color w:val="2F5597"/>
          <w:sz w:val="25"/>
        </w:rPr>
        <w:t>音乐管理</w:t>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5"/>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5"/>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4"/>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5"/>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5"/>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0E329C96">
      <w:pPr>
        <w:pStyle w:val="4"/>
        <w:keepNext/>
        <w:spacing w:before="180" w:after="100" w:line="259" w:lineRule="auto"/>
      </w:pPr>
      <w:r>
        <w:rPr>
          <w:rFonts w:ascii="微软雅黑" w:hAnsi="微软雅黑" w:eastAsia="微软雅黑"/>
          <w:b/>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4"/>
        <w:keepNext/>
        <w:spacing w:before="180" w:after="100" w:line="259" w:lineRule="auto"/>
      </w:pPr>
      <w:r>
        <w:rPr>
          <w:rFonts w:ascii="微软雅黑" w:hAnsi="微软雅黑" w:eastAsia="微软雅黑"/>
          <w:b/>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5"/>
                    <a:stretch>
                      <a:fillRect/>
                    </a:stretch>
                  </pic:blipFill>
                  <pic:spPr>
                    <a:xfrm>
                      <a:off x="0" y="0"/>
                      <a:ext cx="5943600" cy="2228850"/>
                    </a:xfrm>
                    <a:prstGeom prst="rect">
                      <a:avLst/>
                    </a:prstGeom>
                  </pic:spPr>
                </pic:pic>
              </a:graphicData>
            </a:graphic>
          </wp:inline>
        </w:drawing>
      </w:r>
    </w:p>
    <w:p w14:paraId="7D493B5F">
      <w:pPr>
        <w:pStyle w:val="15"/>
        <w:spacing w:after="120"/>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4"/>
        <w:keepNext/>
        <w:spacing w:before="180" w:after="100" w:line="259" w:lineRule="auto"/>
      </w:pPr>
      <w:r>
        <w:rPr>
          <w:rFonts w:ascii="微软雅黑" w:hAnsi="微软雅黑" w:eastAsia="微软雅黑"/>
          <w:b/>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6"/>
                    <a:stretch>
                      <a:fillRect/>
                    </a:stretch>
                  </pic:blipFill>
                  <pic:spPr>
                    <a:xfrm>
                      <a:off x="0" y="0"/>
                      <a:ext cx="5897880" cy="1450180"/>
                    </a:xfrm>
                    <a:prstGeom prst="rect">
                      <a:avLst/>
                    </a:prstGeom>
                  </pic:spPr>
                </pic:pic>
              </a:graphicData>
            </a:graphic>
          </wp:inline>
        </w:drawing>
      </w:r>
    </w:p>
    <w:p w14:paraId="00A843EF">
      <w:pPr>
        <w:pStyle w:val="15"/>
        <w:spacing w:after="120"/>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4"/>
        <w:keepNext/>
        <w:spacing w:before="180" w:after="100" w:line="259" w:lineRule="auto"/>
      </w:pPr>
      <w:r>
        <w:rPr>
          <w:rFonts w:ascii="微软雅黑" w:hAnsi="微软雅黑" w:eastAsia="微软雅黑"/>
          <w:b/>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7"/>
                    <a:stretch>
                      <a:fillRect/>
                    </a:stretch>
                  </pic:blipFill>
                  <pic:spPr>
                    <a:xfrm>
                      <a:off x="0" y="0"/>
                      <a:ext cx="5897880" cy="1709844"/>
                    </a:xfrm>
                    <a:prstGeom prst="rect">
                      <a:avLst/>
                    </a:prstGeom>
                  </pic:spPr>
                </pic:pic>
              </a:graphicData>
            </a:graphic>
          </wp:inline>
        </w:drawing>
      </w:r>
    </w:p>
    <w:p w14:paraId="56992AC8">
      <w:pPr>
        <w:pStyle w:val="15"/>
        <w:spacing w:after="120"/>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4"/>
        <w:keepNext/>
        <w:spacing w:before="180" w:after="100" w:line="259" w:lineRule="auto"/>
      </w:pPr>
      <w:r>
        <w:rPr>
          <w:rFonts w:ascii="微软雅黑" w:hAnsi="微软雅黑" w:eastAsia="微软雅黑"/>
          <w:b/>
          <w:color w:val="2F5597"/>
          <w:sz w:val="25"/>
        </w:rPr>
        <w:t>消息公告</w:t>
      </w:r>
    </w:p>
    <w:p w14:paraId="20DB1609">
      <w:pPr>
        <w:spacing w:after="60" w:line="276" w:lineRule="auto"/>
      </w:pPr>
      <w:r>
        <w:rPr>
          <w:rFonts w:ascii="微软雅黑" w:hAnsi="微软雅黑" w:eastAsia="微软雅黑"/>
          <w:b w:val="0"/>
          <w:sz w:val="20"/>
        </w:rPr>
        <w:t>消息公告用于创建和管理面向玩家展示的消息、公告和跑马灯。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38"/>
                    <a:stretch>
                      <a:fillRect/>
                    </a:stretch>
                  </pic:blipFill>
                  <pic:spPr>
                    <a:xfrm>
                      <a:off x="0" y="0"/>
                      <a:ext cx="6394450" cy="1868805"/>
                    </a:xfrm>
                    <a:prstGeom prst="rect">
                      <a:avLst/>
                    </a:prstGeom>
                    <a:noFill/>
                    <a:ln>
                      <a:noFill/>
                    </a:ln>
                  </pic:spPr>
                </pic:pic>
              </a:graphicData>
            </a:graphic>
          </wp:inline>
        </w:drawing>
      </w:r>
    </w:p>
    <w:p w14:paraId="3ECBBDCF">
      <w:pPr>
        <w:pStyle w:val="15"/>
        <w:spacing w:after="120"/>
        <w:jc w:val="center"/>
      </w:pPr>
      <w:r>
        <w:rPr>
          <w:rFonts w:ascii="微软雅黑" w:hAnsi="微软雅黑" w:eastAsia="微软雅黑"/>
          <w:b w:val="0"/>
          <w:color w:val="707E92"/>
          <w:sz w:val="18"/>
        </w:rPr>
        <w:t>图：消息公告列表，用于管理消息、公告和跑马灯。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4"/>
        <w:keepNext/>
        <w:spacing w:before="180" w:after="100" w:line="259" w:lineRule="auto"/>
      </w:pPr>
      <w:r>
        <w:rPr>
          <w:rFonts w:ascii="微软雅黑" w:hAnsi="微软雅黑" w:eastAsia="微软雅黑"/>
          <w:b/>
          <w:color w:val="2F5597"/>
          <w:sz w:val="21"/>
        </w:rPr>
        <w:t>Banner管理</w:t>
      </w:r>
    </w:p>
    <w:p w14:paraId="2929A4B0">
      <w:pPr>
        <w:spacing w:after="60" w:line="276" w:lineRule="auto"/>
      </w:pPr>
      <w:r>
        <w:rPr>
          <w:rFonts w:ascii="微软雅黑" w:hAnsi="微软雅黑" w:eastAsia="微软雅黑"/>
          <w:b w:val="0"/>
          <w:sz w:val="20"/>
        </w:rPr>
        <w:t>Banner管理用于维护站点大厅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39"/>
                    <a:stretch>
                      <a:fillRect/>
                    </a:stretch>
                  </pic:blipFill>
                  <pic:spPr>
                    <a:xfrm>
                      <a:off x="0" y="0"/>
                      <a:ext cx="6400165" cy="1767205"/>
                    </a:xfrm>
                    <a:prstGeom prst="rect">
                      <a:avLst/>
                    </a:prstGeom>
                    <a:noFill/>
                    <a:ln>
                      <a:noFill/>
                    </a:ln>
                  </pic:spPr>
                </pic:pic>
              </a:graphicData>
            </a:graphic>
          </wp:inline>
        </w:drawing>
      </w:r>
    </w:p>
    <w:p w14:paraId="72B9D513">
      <w:pPr>
        <w:pStyle w:val="15"/>
        <w:spacing w:after="120"/>
        <w:jc w:val="center"/>
      </w:pPr>
      <w:r>
        <w:rPr>
          <w:rFonts w:ascii="微软雅黑" w:hAnsi="微软雅黑" w:eastAsia="微软雅黑"/>
          <w:b w:val="0"/>
          <w:color w:val="707E92"/>
          <w:sz w:val="18"/>
        </w:rPr>
        <w:t>图：Banner管理列表页面，用于查看宣传记录、筛选条件和行内操作。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0"/>
                    <a:stretch>
                      <a:fillRect/>
                    </a:stretch>
                  </pic:blipFill>
                  <pic:spPr>
                    <a:xfrm>
                      <a:off x="0" y="0"/>
                      <a:ext cx="3665855" cy="3138170"/>
                    </a:xfrm>
                    <a:prstGeom prst="rect">
                      <a:avLst/>
                    </a:prstGeom>
                    <a:noFill/>
                    <a:ln>
                      <a:noFill/>
                    </a:ln>
                  </pic:spPr>
                </pic:pic>
              </a:graphicData>
            </a:graphic>
          </wp:inline>
        </w:drawing>
      </w:r>
    </w:p>
    <w:p w14:paraId="19AF48F8">
      <w:pPr>
        <w:pStyle w:val="15"/>
        <w:spacing w:after="120"/>
        <w:jc w:val="center"/>
      </w:pPr>
      <w:r>
        <w:rPr>
          <w:rFonts w:ascii="微软雅黑" w:hAnsi="微软雅黑" w:eastAsia="微软雅黑"/>
          <w:b w:val="0"/>
          <w:color w:val="707E92"/>
          <w:sz w:val="18"/>
        </w:rPr>
        <w:t>图：Banner管理新增弹窗，用于配置宣传类型、上传宣传图片和设置跳转内容。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49D66ED6">
      <w:pPr>
        <w:pStyle w:val="4"/>
        <w:keepNext/>
        <w:spacing w:before="180" w:after="100" w:line="259" w:lineRule="auto"/>
      </w:pPr>
      <w:r>
        <w:rPr>
          <w:rFonts w:ascii="微软雅黑" w:hAnsi="微软雅黑" w:eastAsia="微软雅黑"/>
          <w:b/>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1"/>
                    <a:stretch>
                      <a:fillRect/>
                    </a:stretch>
                  </pic:blipFill>
                  <pic:spPr>
                    <a:xfrm>
                      <a:off x="0" y="0"/>
                      <a:ext cx="5897880" cy="2737294"/>
                    </a:xfrm>
                    <a:prstGeom prst="rect">
                      <a:avLst/>
                    </a:prstGeom>
                  </pic:spPr>
                </pic:pic>
              </a:graphicData>
            </a:graphic>
          </wp:inline>
        </w:drawing>
      </w:r>
    </w:p>
    <w:p w14:paraId="32F25902">
      <w:pPr>
        <w:pStyle w:val="15"/>
        <w:spacing w:after="120"/>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4"/>
        <w:keepNext/>
        <w:spacing w:before="180" w:after="100" w:line="259" w:lineRule="auto"/>
      </w:pPr>
      <w:r>
        <w:rPr>
          <w:rFonts w:ascii="微软雅黑" w:hAnsi="微软雅黑" w:eastAsia="微软雅黑"/>
          <w:b/>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2"/>
                    <a:stretch>
                      <a:fillRect/>
                    </a:stretch>
                  </pic:blipFill>
                  <pic:spPr>
                    <a:xfrm>
                      <a:off x="0" y="0"/>
                      <a:ext cx="5897880" cy="2542445"/>
                    </a:xfrm>
                    <a:prstGeom prst="rect">
                      <a:avLst/>
                    </a:prstGeom>
                  </pic:spPr>
                </pic:pic>
              </a:graphicData>
            </a:graphic>
          </wp:inline>
        </w:drawing>
      </w:r>
    </w:p>
    <w:p w14:paraId="4EBA86E8">
      <w:pPr>
        <w:pStyle w:val="15"/>
        <w:spacing w:after="120"/>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5"/>
        <w:spacing w:after="100"/>
      </w:pPr>
      <w:r>
        <w:rPr>
          <w:rFonts w:ascii="微软雅黑" w:hAnsi="微软雅黑" w:eastAsia="微软雅黑"/>
          <w:b/>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5"/>
        <w:spacing w:after="100"/>
      </w:pPr>
      <w:r>
        <w:rPr>
          <w:rFonts w:ascii="微软雅黑" w:hAnsi="微软雅黑" w:eastAsia="微软雅黑"/>
          <w:b/>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3"/>
                    <a:stretch>
                      <a:fillRect/>
                    </a:stretch>
                  </pic:blipFill>
                  <pic:spPr>
                    <a:xfrm>
                      <a:off x="0" y="0"/>
                      <a:ext cx="5897880" cy="2620870"/>
                    </a:xfrm>
                    <a:prstGeom prst="rect">
                      <a:avLst/>
                    </a:prstGeom>
                  </pic:spPr>
                </pic:pic>
              </a:graphicData>
            </a:graphic>
          </wp:inline>
        </w:drawing>
      </w:r>
    </w:p>
    <w:p w14:paraId="5A47BFFD">
      <w:pPr>
        <w:pStyle w:val="15"/>
        <w:spacing w:after="120"/>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5"/>
        <w:spacing w:after="100"/>
      </w:pPr>
      <w:r>
        <w:rPr>
          <w:rFonts w:ascii="微软雅黑" w:hAnsi="微软雅黑" w:eastAsia="微软雅黑"/>
          <w:b/>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4"/>
                    <a:stretch>
                      <a:fillRect/>
                    </a:stretch>
                  </pic:blipFill>
                  <pic:spPr>
                    <a:xfrm>
                      <a:off x="0" y="0"/>
                      <a:ext cx="5897880" cy="2659328"/>
                    </a:xfrm>
                    <a:prstGeom prst="rect">
                      <a:avLst/>
                    </a:prstGeom>
                  </pic:spPr>
                </pic:pic>
              </a:graphicData>
            </a:graphic>
          </wp:inline>
        </w:drawing>
      </w:r>
    </w:p>
    <w:p w14:paraId="3A43920F">
      <w:pPr>
        <w:pStyle w:val="15"/>
        <w:spacing w:after="120"/>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5"/>
        <w:spacing w:after="100"/>
      </w:pPr>
      <w:r>
        <w:rPr>
          <w:rFonts w:ascii="微软雅黑" w:hAnsi="微软雅黑" w:eastAsia="微软雅黑"/>
          <w:b/>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5"/>
                    <a:stretch>
                      <a:fillRect/>
                    </a:stretch>
                  </pic:blipFill>
                  <pic:spPr>
                    <a:xfrm>
                      <a:off x="0" y="0"/>
                      <a:ext cx="3291840" cy="1888516"/>
                    </a:xfrm>
                    <a:prstGeom prst="rect">
                      <a:avLst/>
                    </a:prstGeom>
                  </pic:spPr>
                </pic:pic>
              </a:graphicData>
            </a:graphic>
          </wp:inline>
        </w:drawing>
      </w:r>
    </w:p>
    <w:p w14:paraId="29501B2B">
      <w:pPr>
        <w:pStyle w:val="15"/>
        <w:spacing w:after="120"/>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5"/>
        <w:spacing w:after="100"/>
      </w:pPr>
      <w:r>
        <w:rPr>
          <w:rFonts w:ascii="微软雅黑" w:hAnsi="微软雅黑" w:eastAsia="微软雅黑"/>
          <w:b/>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6"/>
                    <a:stretch>
                      <a:fillRect/>
                    </a:stretch>
                  </pic:blipFill>
                  <pic:spPr>
                    <a:xfrm>
                      <a:off x="0" y="0"/>
                      <a:ext cx="5897880" cy="1427559"/>
                    </a:xfrm>
                    <a:prstGeom prst="rect">
                      <a:avLst/>
                    </a:prstGeom>
                  </pic:spPr>
                </pic:pic>
              </a:graphicData>
            </a:graphic>
          </wp:inline>
        </w:drawing>
      </w:r>
    </w:p>
    <w:p w14:paraId="394CBDD4">
      <w:pPr>
        <w:pStyle w:val="15"/>
        <w:spacing w:after="120"/>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7"/>
                    <a:stretch>
                      <a:fillRect/>
                    </a:stretch>
                  </pic:blipFill>
                  <pic:spPr>
                    <a:xfrm>
                      <a:off x="0" y="0"/>
                      <a:ext cx="3840480" cy="2513403"/>
                    </a:xfrm>
                    <a:prstGeom prst="rect">
                      <a:avLst/>
                    </a:prstGeom>
                  </pic:spPr>
                </pic:pic>
              </a:graphicData>
            </a:graphic>
          </wp:inline>
        </w:drawing>
      </w:r>
    </w:p>
    <w:p w14:paraId="20F8217A">
      <w:pPr>
        <w:pStyle w:val="15"/>
        <w:spacing w:after="120"/>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4"/>
        <w:keepNext/>
        <w:spacing w:before="180" w:after="100" w:line="259" w:lineRule="auto"/>
      </w:pPr>
      <w:r>
        <w:rPr>
          <w:rFonts w:ascii="微软雅黑" w:hAnsi="微软雅黑" w:eastAsia="微软雅黑"/>
          <w:b/>
          <w:color w:val="2F5597"/>
          <w:sz w:val="21"/>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8"/>
                    <a:stretch>
                      <a:fillRect/>
                    </a:stretch>
                  </pic:blipFill>
                  <pic:spPr>
                    <a:xfrm>
                      <a:off x="0" y="0"/>
                      <a:ext cx="5897880" cy="1909226"/>
                    </a:xfrm>
                    <a:prstGeom prst="rect">
                      <a:avLst/>
                    </a:prstGeom>
                  </pic:spPr>
                </pic:pic>
              </a:graphicData>
            </a:graphic>
          </wp:inline>
        </w:drawing>
      </w:r>
    </w:p>
    <w:p w14:paraId="4B09099F">
      <w:pPr>
        <w:pStyle w:val="15"/>
        <w:spacing w:after="120"/>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49"/>
                    <a:stretch>
                      <a:fillRect/>
                    </a:stretch>
                  </pic:blipFill>
                  <pic:spPr>
                    <a:xfrm>
                      <a:off x="0" y="0"/>
                      <a:ext cx="4480560" cy="5638247"/>
                    </a:xfrm>
                    <a:prstGeom prst="rect">
                      <a:avLst/>
                    </a:prstGeom>
                  </pic:spPr>
                </pic:pic>
              </a:graphicData>
            </a:graphic>
          </wp:inline>
        </w:drawing>
      </w:r>
    </w:p>
    <w:p w14:paraId="05C485BD">
      <w:pPr>
        <w:pStyle w:val="15"/>
        <w:spacing w:after="120"/>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color w:val="17365D"/>
          <w:sz w:val="40"/>
        </w:rPr>
        <w:t>六、优惠活动</w:t>
      </w:r>
    </w:p>
    <w:p w14:paraId="489C7955">
      <w:pPr>
        <w:pStyle w:val="4"/>
        <w:keepNext/>
        <w:spacing w:before="180" w:after="100" w:line="259" w:lineRule="auto"/>
      </w:pPr>
      <w:r>
        <w:rPr>
          <w:rFonts w:ascii="微软雅黑" w:hAnsi="微软雅黑" w:eastAsia="微软雅黑"/>
          <w:b/>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0"/>
                    <a:stretch>
                      <a:fillRect/>
                    </a:stretch>
                  </pic:blipFill>
                  <pic:spPr>
                    <a:xfrm>
                      <a:off x="0" y="0"/>
                      <a:ext cx="5897880" cy="1972081"/>
                    </a:xfrm>
                    <a:prstGeom prst="rect">
                      <a:avLst/>
                    </a:prstGeom>
                  </pic:spPr>
                </pic:pic>
              </a:graphicData>
            </a:graphic>
          </wp:inline>
        </w:drawing>
      </w:r>
    </w:p>
    <w:p w14:paraId="301CC78D">
      <w:pPr>
        <w:pStyle w:val="15"/>
        <w:spacing w:after="120"/>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1"/>
                    <a:stretch>
                      <a:fillRect/>
                    </a:stretch>
                  </pic:blipFill>
                  <pic:spPr>
                    <a:xfrm>
                      <a:off x="0" y="0"/>
                      <a:ext cx="5212080" cy="4849830"/>
                    </a:xfrm>
                    <a:prstGeom prst="rect">
                      <a:avLst/>
                    </a:prstGeom>
                  </pic:spPr>
                </pic:pic>
              </a:graphicData>
            </a:graphic>
          </wp:inline>
        </w:drawing>
      </w:r>
    </w:p>
    <w:p w14:paraId="76025C6B">
      <w:pPr>
        <w:pStyle w:val="15"/>
        <w:spacing w:after="120"/>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3C4029AE">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救济金：每日只能领取一次，领取比例是当日充值金额的对应的百分比</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4"/>
        <w:keepNext/>
        <w:spacing w:before="180" w:after="100" w:line="259" w:lineRule="auto"/>
      </w:pPr>
      <w:r>
        <w:rPr>
          <w:rFonts w:ascii="微软雅黑" w:hAnsi="微软雅黑" w:eastAsia="微软雅黑"/>
          <w:b/>
          <w:color w:val="2F5597"/>
          <w:sz w:val="21"/>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2"/>
                    <a:stretch>
                      <a:fillRect/>
                    </a:stretch>
                  </pic:blipFill>
                  <pic:spPr>
                    <a:xfrm>
                      <a:off x="0" y="0"/>
                      <a:ext cx="5806440" cy="1378331"/>
                    </a:xfrm>
                    <a:prstGeom prst="rect">
                      <a:avLst/>
                    </a:prstGeom>
                  </pic:spPr>
                </pic:pic>
              </a:graphicData>
            </a:graphic>
          </wp:inline>
        </w:drawing>
      </w:r>
    </w:p>
    <w:p w14:paraId="021F6D97">
      <w:pPr>
        <w:pStyle w:val="15"/>
        <w:spacing w:after="120"/>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3"/>
                    <a:stretch>
                      <a:fillRect/>
                    </a:stretch>
                  </pic:blipFill>
                  <pic:spPr>
                    <a:xfrm>
                      <a:off x="0" y="0"/>
                      <a:ext cx="5669280" cy="4752275"/>
                    </a:xfrm>
                    <a:prstGeom prst="rect">
                      <a:avLst/>
                    </a:prstGeom>
                  </pic:spPr>
                </pic:pic>
              </a:graphicData>
            </a:graphic>
          </wp:inline>
        </w:drawing>
      </w:r>
    </w:p>
    <w:p w14:paraId="36C04B86">
      <w:pPr>
        <w:pStyle w:val="15"/>
        <w:spacing w:after="120"/>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888D1C6">
      <w:pPr>
        <w:pStyle w:val="4"/>
        <w:keepNext/>
        <w:spacing w:before="180" w:after="100" w:line="259" w:lineRule="auto"/>
      </w:pPr>
      <w:r>
        <w:rPr>
          <w:rFonts w:ascii="微软雅黑" w:hAnsi="微软雅黑" w:eastAsia="微软雅黑"/>
          <w:b/>
          <w:color w:val="2F5597"/>
          <w:sz w:val="25"/>
        </w:rPr>
        <w:t>优惠数据报表</w:t>
      </w:r>
    </w:p>
    <w:p w14:paraId="01FA3C31">
      <w:pPr>
        <w:spacing w:after="60" w:line="276" w:lineRule="auto"/>
      </w:pPr>
      <w:r>
        <w:rPr>
          <w:rFonts w:ascii="微软雅黑" w:hAnsi="微软雅黑" w:eastAsia="微软雅黑"/>
          <w:b w:val="0"/>
          <w:sz w:val="20"/>
        </w:rPr>
        <w:t>优惠数据报表用于汇总查看优惠成本、优惠人数和不同优惠来源的金额分布，是复盘活动投入、奖励结构和会员优惠转化的重要报表页面。</w:t>
      </w:r>
    </w:p>
    <w:p w14:paraId="617358F7">
      <w:pPr>
        <w:pStyle w:val="5"/>
        <w:spacing w:after="60" w:line="276" w:lineRule="auto"/>
      </w:pPr>
      <w:r>
        <w:rPr>
          <w:rFonts w:ascii="微软雅黑" w:hAnsi="微软雅黑" w:eastAsia="微软雅黑"/>
          <w:b/>
          <w:i/>
          <w:color w:val="2F5597"/>
          <w:sz w:val="21"/>
        </w:rPr>
        <w:t>页面概览</w:t>
      </w:r>
    </w:p>
    <w:p w14:paraId="5D66D643">
      <w:pPr>
        <w:spacing w:after="60" w:line="276" w:lineRule="auto"/>
      </w:pPr>
      <w:r>
        <w:rPr>
          <w:rFonts w:ascii="微软雅黑" w:hAnsi="微软雅黑" w:eastAsia="微软雅黑"/>
          <w:b w:val="0"/>
          <w:sz w:val="20"/>
        </w:rPr>
        <w:t>页面上方提供开始时间、结束时间、搜索、重置和导出表格入口，下方列表按日期展示优惠金额、活动优惠、任务优惠、票券优惠和 VIP 奖励等数据。</w:t>
      </w:r>
    </w:p>
    <w:p w14:paraId="1AD95546">
      <w:pPr>
        <w:spacing w:after="40"/>
        <w:jc w:val="center"/>
      </w:pPr>
      <w:r>
        <w:drawing>
          <wp:inline distT="0" distB="0" distL="114300" distR="114300">
            <wp:extent cx="5852160" cy="1395095"/>
            <wp:effectExtent l="0" t="0" r="15240" b="1460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pic:cNvPicPr>
                      <a:picLocks noChangeAspect="1"/>
                    </pic:cNvPicPr>
                  </pic:nvPicPr>
                  <pic:blipFill>
                    <a:blip r:embed="rId54"/>
                    <a:stretch>
                      <a:fillRect/>
                    </a:stretch>
                  </pic:blipFill>
                  <pic:spPr>
                    <a:xfrm>
                      <a:off x="0" y="0"/>
                      <a:ext cx="5852160" cy="1395217"/>
                    </a:xfrm>
                    <a:prstGeom prst="rect">
                      <a:avLst/>
                    </a:prstGeom>
                  </pic:spPr>
                </pic:pic>
              </a:graphicData>
            </a:graphic>
          </wp:inline>
        </w:drawing>
      </w:r>
    </w:p>
    <w:p w14:paraId="683A7A7C">
      <w:pPr>
        <w:pStyle w:val="15"/>
        <w:spacing w:after="120"/>
        <w:jc w:val="center"/>
      </w:pPr>
      <w:r>
        <w:rPr>
          <w:rFonts w:ascii="微软雅黑" w:hAnsi="微软雅黑" w:eastAsia="微软雅黑"/>
          <w:b w:val="0"/>
          <w:color w:val="707E92"/>
          <w:sz w:val="18"/>
        </w:rPr>
        <w:t>图：优惠数据报表页面，用于查看每日优惠金额、优惠人数及各类优惠来源的成本分布。</w:t>
      </w:r>
    </w:p>
    <w:p w14:paraId="168735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：支持按时间范围查询数据，适合按活动上线周期、节假日或渠道投放周期做分段复盘。</w:t>
      </w:r>
    </w:p>
    <w:p w14:paraId="2BF8021C">
      <w:pPr>
        <w:pStyle w:val="16"/>
        <w:spacing w:after="60" w:line="276" w:lineRule="auto"/>
      </w:pPr>
      <w:r>
        <w:rPr>
          <w:rFonts w:ascii="微软雅黑" w:hAnsi="微软雅黑" w:eastAsia="微软雅黑"/>
          <w:b/>
          <w:color w:val="2F5597"/>
          <w:sz w:val="20"/>
        </w:rPr>
        <w:t>成本拆分</w:t>
      </w:r>
      <w:r>
        <w:rPr>
          <w:rFonts w:ascii="微软雅黑" w:hAnsi="微软雅黑" w:eastAsia="微软雅黑"/>
          <w:b w:val="0"/>
          <w:sz w:val="20"/>
        </w:rPr>
        <w:t>：列表包含优惠金额、优惠人数、活动优惠金额、任务优惠金额、票券优惠金额、代理佣金和 VIP 奖励，可用于判断优惠成本主要来自哪一类业务动作。</w:t>
      </w:r>
    </w:p>
    <w:p w14:paraId="6C3A74A9">
      <w:pPr>
        <w:pStyle w:val="16"/>
        <w:spacing w:after="60" w:line="276" w:lineRule="auto"/>
      </w:pPr>
      <w:r>
        <w:rPr>
          <w:rFonts w:ascii="微软雅黑" w:hAnsi="微软雅黑" w:eastAsia="微软雅黑"/>
          <w:b/>
          <w:color w:val="2F5597"/>
          <w:sz w:val="20"/>
        </w:rPr>
        <w:t>复盘要点</w:t>
      </w:r>
      <w:r>
        <w:rPr>
          <w:rFonts w:ascii="微软雅黑" w:hAnsi="微软雅黑" w:eastAsia="微软雅黑"/>
          <w:b w:val="0"/>
          <w:sz w:val="20"/>
        </w:rPr>
        <w:t>：查看数据时应同步关注优惠人数与各项金额的变化关系，判断成本上涨是由参与人数增加、单人奖励提升还是某类优惠配置异常导致。</w:t>
      </w:r>
    </w:p>
    <w:p w14:paraId="012234DC">
      <w:pPr>
        <w:pStyle w:val="16"/>
        <w:spacing w:after="60" w:line="276" w:lineRule="auto"/>
      </w:pPr>
      <w:r>
        <w:rPr>
          <w:rFonts w:ascii="微软雅黑" w:hAnsi="微软雅黑" w:eastAsia="微软雅黑"/>
          <w:b/>
          <w:color w:val="2F5597"/>
          <w:sz w:val="20"/>
        </w:rPr>
        <w:t>交叉核对</w:t>
      </w:r>
      <w:r>
        <w:rPr>
          <w:rFonts w:ascii="微软雅黑" w:hAnsi="微软雅黑" w:eastAsia="微软雅黑"/>
          <w:b w:val="0"/>
          <w:sz w:val="20"/>
        </w:rPr>
        <w:t>：活动复盘时，建议结合活动统计报表、票券使用记录、任务中心和账变记录一起判断奖励发放效果与真实成本归属。</w:t>
      </w:r>
    </w:p>
    <w:p w14:paraId="14F5B3AE">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55"/>
                    <a:stretch>
                      <a:fillRect/>
                    </a:stretch>
                  </pic:blipFill>
                  <pic:spPr>
                    <a:xfrm>
                      <a:off x="0" y="0"/>
                      <a:ext cx="5897880" cy="1039973"/>
                    </a:xfrm>
                    <a:prstGeom prst="rect">
                      <a:avLst/>
                    </a:prstGeom>
                  </pic:spPr>
                </pic:pic>
              </a:graphicData>
            </a:graphic>
          </wp:inline>
        </w:drawing>
      </w:r>
    </w:p>
    <w:p w14:paraId="0D6E36DE">
      <w:pPr>
        <w:pStyle w:val="15"/>
        <w:spacing w:after="120"/>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56"/>
                    <a:stretch>
                      <a:fillRect/>
                    </a:stretch>
                  </pic:blipFill>
                  <pic:spPr>
                    <a:xfrm>
                      <a:off x="0" y="0"/>
                      <a:ext cx="5257800" cy="4654033"/>
                    </a:xfrm>
                    <a:prstGeom prst="rect">
                      <a:avLst/>
                    </a:prstGeom>
                  </pic:spPr>
                </pic:pic>
              </a:graphicData>
            </a:graphic>
          </wp:inline>
        </w:drawing>
      </w:r>
    </w:p>
    <w:p w14:paraId="1E73A71A">
      <w:pPr>
        <w:pStyle w:val="15"/>
        <w:spacing w:after="120"/>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57"/>
                    <a:stretch>
                      <a:fillRect/>
                    </a:stretch>
                  </pic:blipFill>
                  <pic:spPr>
                    <a:xfrm>
                      <a:off x="0" y="0"/>
                      <a:ext cx="5897880" cy="2654755"/>
                    </a:xfrm>
                    <a:prstGeom prst="rect">
                      <a:avLst/>
                    </a:prstGeom>
                  </pic:spPr>
                </pic:pic>
              </a:graphicData>
            </a:graphic>
          </wp:inline>
        </w:drawing>
      </w:r>
    </w:p>
    <w:p w14:paraId="7DD4ACF5">
      <w:pPr>
        <w:pStyle w:val="15"/>
        <w:spacing w:after="120"/>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58"/>
                    <a:stretch>
                      <a:fillRect/>
                    </a:stretch>
                  </pic:blipFill>
                  <pic:spPr>
                    <a:xfrm>
                      <a:off x="0" y="0"/>
                      <a:ext cx="5669280" cy="2581401"/>
                    </a:xfrm>
                    <a:prstGeom prst="rect">
                      <a:avLst/>
                    </a:prstGeom>
                  </pic:spPr>
                </pic:pic>
              </a:graphicData>
            </a:graphic>
          </wp:inline>
        </w:drawing>
      </w:r>
    </w:p>
    <w:p w14:paraId="5E728840">
      <w:pPr>
        <w:pStyle w:val="15"/>
        <w:spacing w:after="120"/>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11FB81AB">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本配置只在独立打码规则下生效。</w:t>
      </w:r>
      <w:bookmarkStart w:id="0" w:name="_GoBack"/>
      <w:bookmarkEnd w:id="0"/>
      <w:r>
        <w:rPr>
          <w:rFonts w:hint="eastAsia"/>
          <w:b w:val="0"/>
          <w:sz w:val="20"/>
          <w:lang w:val="en-US" w:eastAsia="zh-CN"/>
        </w:rPr>
        <w:t>免费奖励领取限制开启时，用户余额在领取限额之下领取免费奖励成功后，会被视为免费玩家；若免费奖励领取限制关闭，存款玩家不会被转化位免费玩家</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color w:val="17365D"/>
          <w:sz w:val="40"/>
        </w:rPr>
        <w:t>七、财务中心</w:t>
      </w:r>
    </w:p>
    <w:p w14:paraId="3EECD788">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5"/>
        <w:spacing w:after="60" w:line="276" w:lineRule="auto"/>
      </w:pPr>
      <w:r>
        <w:rPr>
          <w:rFonts w:ascii="微软雅黑" w:hAnsi="微软雅黑" w:eastAsia="微软雅黑"/>
          <w:b/>
          <w:i/>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59"/>
                    <a:stretch>
                      <a:fillRect/>
                    </a:stretch>
                  </pic:blipFill>
                  <pic:spPr>
                    <a:xfrm>
                      <a:off x="0" y="0"/>
                      <a:ext cx="5852160" cy="1853419"/>
                    </a:xfrm>
                    <a:prstGeom prst="rect">
                      <a:avLst/>
                    </a:prstGeom>
                  </pic:spPr>
                </pic:pic>
              </a:graphicData>
            </a:graphic>
          </wp:inline>
        </w:drawing>
      </w:r>
    </w:p>
    <w:p w14:paraId="5248A0CA">
      <w:pPr>
        <w:pStyle w:val="15"/>
        <w:spacing w:after="120"/>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5"/>
        <w:spacing w:after="60" w:line="276" w:lineRule="auto"/>
      </w:pPr>
      <w:r>
        <w:rPr>
          <w:rFonts w:ascii="微软雅黑" w:hAnsi="微软雅黑" w:eastAsia="微软雅黑"/>
          <w:b/>
          <w:i/>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0"/>
                    <a:stretch>
                      <a:fillRect/>
                    </a:stretch>
                  </pic:blipFill>
                  <pic:spPr>
                    <a:xfrm>
                      <a:off x="0" y="0"/>
                      <a:ext cx="4199255" cy="6165215"/>
                    </a:xfrm>
                    <a:prstGeom prst="rect">
                      <a:avLst/>
                    </a:prstGeom>
                  </pic:spPr>
                </pic:pic>
              </a:graphicData>
            </a:graphic>
          </wp:inline>
        </w:drawing>
      </w:r>
    </w:p>
    <w:p w14:paraId="1D905FD6">
      <w:pPr>
        <w:pStyle w:val="15"/>
        <w:spacing w:after="120"/>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5"/>
        <w:spacing w:after="60" w:line="276" w:lineRule="auto"/>
      </w:pPr>
      <w:r>
        <w:rPr>
          <w:rFonts w:ascii="微软雅黑" w:hAnsi="微软雅黑" w:eastAsia="微软雅黑"/>
          <w:b/>
          <w:i/>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1"/>
                    <a:stretch>
                      <a:fillRect/>
                    </a:stretch>
                  </pic:blipFill>
                  <pic:spPr>
                    <a:xfrm>
                      <a:off x="0" y="0"/>
                      <a:ext cx="5669280" cy="3315970"/>
                    </a:xfrm>
                    <a:prstGeom prst="rect">
                      <a:avLst/>
                    </a:prstGeom>
                  </pic:spPr>
                </pic:pic>
              </a:graphicData>
            </a:graphic>
          </wp:inline>
        </w:drawing>
      </w:r>
    </w:p>
    <w:p w14:paraId="6DF95262">
      <w:pPr>
        <w:pStyle w:val="15"/>
        <w:spacing w:after="120"/>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5"/>
        <w:spacing w:after="60" w:line="276" w:lineRule="auto"/>
      </w:pPr>
      <w:r>
        <w:rPr>
          <w:rFonts w:ascii="微软雅黑" w:hAnsi="微软雅黑" w:eastAsia="微软雅黑"/>
          <w:b/>
          <w:i/>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2"/>
                    <a:stretch>
                      <a:fillRect/>
                    </a:stretch>
                  </pic:blipFill>
                  <pic:spPr>
                    <a:xfrm>
                      <a:off x="0" y="0"/>
                      <a:ext cx="5852160" cy="5017099"/>
                    </a:xfrm>
                    <a:prstGeom prst="rect">
                      <a:avLst/>
                    </a:prstGeom>
                  </pic:spPr>
                </pic:pic>
              </a:graphicData>
            </a:graphic>
          </wp:inline>
        </w:drawing>
      </w:r>
    </w:p>
    <w:p w14:paraId="6E429ED6">
      <w:pPr>
        <w:pStyle w:val="15"/>
        <w:spacing w:after="120"/>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5"/>
        <w:spacing w:after="60" w:line="276" w:lineRule="auto"/>
      </w:pPr>
      <w:r>
        <w:rPr>
          <w:rFonts w:ascii="微软雅黑" w:hAnsi="微软雅黑" w:eastAsia="微软雅黑"/>
          <w:b/>
          <w:i/>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3"/>
                    <a:stretch>
                      <a:fillRect/>
                    </a:stretch>
                  </pic:blipFill>
                  <pic:spPr>
                    <a:xfrm>
                      <a:off x="0" y="0"/>
                      <a:ext cx="5370195" cy="3994150"/>
                    </a:xfrm>
                    <a:prstGeom prst="rect">
                      <a:avLst/>
                    </a:prstGeom>
                  </pic:spPr>
                </pic:pic>
              </a:graphicData>
            </a:graphic>
          </wp:inline>
        </w:drawing>
      </w:r>
    </w:p>
    <w:p w14:paraId="38013F56">
      <w:pPr>
        <w:pStyle w:val="15"/>
        <w:spacing w:after="120"/>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5"/>
        <w:spacing w:after="60" w:line="276" w:lineRule="auto"/>
      </w:pPr>
      <w:r>
        <w:rPr>
          <w:rFonts w:ascii="微软雅黑" w:hAnsi="微软雅黑" w:eastAsia="微软雅黑"/>
          <w:b/>
          <w:i/>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4"/>
                    <a:stretch>
                      <a:fillRect/>
                    </a:stretch>
                  </pic:blipFill>
                  <pic:spPr>
                    <a:xfrm>
                      <a:off x="0" y="0"/>
                      <a:ext cx="5852160" cy="2346501"/>
                    </a:xfrm>
                    <a:prstGeom prst="rect">
                      <a:avLst/>
                    </a:prstGeom>
                  </pic:spPr>
                </pic:pic>
              </a:graphicData>
            </a:graphic>
          </wp:inline>
        </w:drawing>
      </w:r>
    </w:p>
    <w:p w14:paraId="556C0045">
      <w:pPr>
        <w:pStyle w:val="15"/>
        <w:spacing w:after="120"/>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5"/>
        <w:spacing w:after="60" w:line="276" w:lineRule="auto"/>
      </w:pPr>
      <w:r>
        <w:rPr>
          <w:rFonts w:ascii="微软雅黑" w:hAnsi="微软雅黑" w:eastAsia="微软雅黑"/>
          <w:b/>
          <w:i/>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5"/>
                    <a:stretch>
                      <a:fillRect/>
                    </a:stretch>
                  </pic:blipFill>
                  <pic:spPr>
                    <a:xfrm>
                      <a:off x="0" y="0"/>
                      <a:ext cx="4762500" cy="3430270"/>
                    </a:xfrm>
                    <a:prstGeom prst="rect">
                      <a:avLst/>
                    </a:prstGeom>
                  </pic:spPr>
                </pic:pic>
              </a:graphicData>
            </a:graphic>
          </wp:inline>
        </w:drawing>
      </w:r>
    </w:p>
    <w:p w14:paraId="53F02E34">
      <w:pPr>
        <w:pStyle w:val="15"/>
        <w:spacing w:after="120"/>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5"/>
        <w:spacing w:after="60" w:line="276" w:lineRule="auto"/>
      </w:pPr>
      <w:r>
        <w:rPr>
          <w:rFonts w:ascii="微软雅黑" w:hAnsi="微软雅黑" w:eastAsia="微软雅黑"/>
          <w:b/>
          <w:i/>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6"/>
                    <a:stretch>
                      <a:fillRect/>
                    </a:stretch>
                  </pic:blipFill>
                  <pic:spPr>
                    <a:xfrm>
                      <a:off x="0" y="0"/>
                      <a:ext cx="5370195" cy="4066540"/>
                    </a:xfrm>
                    <a:prstGeom prst="rect">
                      <a:avLst/>
                    </a:prstGeom>
                  </pic:spPr>
                </pic:pic>
              </a:graphicData>
            </a:graphic>
          </wp:inline>
        </w:drawing>
      </w:r>
    </w:p>
    <w:p w14:paraId="490C25F3">
      <w:pPr>
        <w:pStyle w:val="15"/>
        <w:spacing w:after="120"/>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5"/>
        <w:spacing w:after="60" w:line="276" w:lineRule="auto"/>
      </w:pPr>
      <w:r>
        <w:rPr>
          <w:rFonts w:ascii="微软雅黑" w:hAnsi="微软雅黑" w:eastAsia="微软雅黑"/>
          <w:b/>
          <w:i/>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7"/>
                    <a:stretch>
                      <a:fillRect/>
                    </a:stretch>
                  </pic:blipFill>
                  <pic:spPr>
                    <a:xfrm>
                      <a:off x="0" y="0"/>
                      <a:ext cx="5852160" cy="2088760"/>
                    </a:xfrm>
                    <a:prstGeom prst="rect">
                      <a:avLst/>
                    </a:prstGeom>
                  </pic:spPr>
                </pic:pic>
              </a:graphicData>
            </a:graphic>
          </wp:inline>
        </w:drawing>
      </w:r>
    </w:p>
    <w:p w14:paraId="7E806E6F">
      <w:pPr>
        <w:pStyle w:val="15"/>
        <w:spacing w:after="120"/>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5"/>
        <w:spacing w:after="60" w:line="276" w:lineRule="auto"/>
      </w:pPr>
      <w:r>
        <w:rPr>
          <w:rFonts w:ascii="微软雅黑" w:hAnsi="微软雅黑" w:eastAsia="微软雅黑"/>
          <w:b/>
          <w:i/>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68"/>
                    <a:stretch>
                      <a:fillRect/>
                    </a:stretch>
                  </pic:blipFill>
                  <pic:spPr>
                    <a:xfrm>
                      <a:off x="0" y="0"/>
                      <a:ext cx="3735705" cy="3686175"/>
                    </a:xfrm>
                    <a:prstGeom prst="rect">
                      <a:avLst/>
                    </a:prstGeom>
                  </pic:spPr>
                </pic:pic>
              </a:graphicData>
            </a:graphic>
          </wp:inline>
        </w:drawing>
      </w:r>
    </w:p>
    <w:p w14:paraId="4A83F83B">
      <w:pPr>
        <w:pStyle w:val="15"/>
        <w:spacing w:after="120"/>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5"/>
        <w:spacing w:after="60" w:line="276" w:lineRule="auto"/>
      </w:pPr>
      <w:r>
        <w:rPr>
          <w:rFonts w:ascii="微软雅黑" w:hAnsi="微软雅黑" w:eastAsia="微软雅黑"/>
          <w:b/>
          <w:i/>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69"/>
                    <a:stretch>
                      <a:fillRect/>
                    </a:stretch>
                  </pic:blipFill>
                  <pic:spPr>
                    <a:xfrm>
                      <a:off x="0" y="0"/>
                      <a:ext cx="5852160" cy="1972117"/>
                    </a:xfrm>
                    <a:prstGeom prst="rect">
                      <a:avLst/>
                    </a:prstGeom>
                  </pic:spPr>
                </pic:pic>
              </a:graphicData>
            </a:graphic>
          </wp:inline>
        </w:drawing>
      </w:r>
    </w:p>
    <w:p w14:paraId="7DC22AA8">
      <w:pPr>
        <w:pStyle w:val="15"/>
        <w:spacing w:after="120"/>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5"/>
        <w:spacing w:after="60" w:line="276" w:lineRule="auto"/>
      </w:pPr>
      <w:r>
        <w:rPr>
          <w:rFonts w:ascii="微软雅黑" w:hAnsi="微软雅黑" w:eastAsia="微软雅黑"/>
          <w:b/>
          <w:i/>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70"/>
                    <a:stretch>
                      <a:fillRect/>
                    </a:stretch>
                  </pic:blipFill>
                  <pic:spPr>
                    <a:xfrm>
                      <a:off x="0" y="0"/>
                      <a:ext cx="3534410" cy="1720215"/>
                    </a:xfrm>
                    <a:prstGeom prst="rect">
                      <a:avLst/>
                    </a:prstGeom>
                  </pic:spPr>
                </pic:pic>
              </a:graphicData>
            </a:graphic>
          </wp:inline>
        </w:drawing>
      </w:r>
    </w:p>
    <w:p w14:paraId="28F37863">
      <w:pPr>
        <w:pStyle w:val="15"/>
        <w:spacing w:after="120"/>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5"/>
        <w:spacing w:after="60" w:line="276" w:lineRule="auto"/>
      </w:pPr>
      <w:r>
        <w:rPr>
          <w:rFonts w:ascii="微软雅黑" w:hAnsi="微软雅黑" w:eastAsia="微软雅黑"/>
          <w:b/>
          <w:i/>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71"/>
                    <a:stretch>
                      <a:fillRect/>
                    </a:stretch>
                  </pic:blipFill>
                  <pic:spPr>
                    <a:xfrm>
                      <a:off x="0" y="0"/>
                      <a:ext cx="5852160" cy="2109746"/>
                    </a:xfrm>
                    <a:prstGeom prst="rect">
                      <a:avLst/>
                    </a:prstGeom>
                  </pic:spPr>
                </pic:pic>
              </a:graphicData>
            </a:graphic>
          </wp:inline>
        </w:drawing>
      </w:r>
    </w:p>
    <w:p w14:paraId="7A2574A1">
      <w:pPr>
        <w:pStyle w:val="15"/>
        <w:spacing w:after="120"/>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5"/>
        <w:spacing w:after="60" w:line="276" w:lineRule="auto"/>
      </w:pPr>
      <w:r>
        <w:rPr>
          <w:rFonts w:ascii="微软雅黑" w:hAnsi="微软雅黑" w:eastAsia="微软雅黑"/>
          <w:b/>
          <w:i/>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72"/>
                    <a:stretch>
                      <a:fillRect/>
                    </a:stretch>
                  </pic:blipFill>
                  <pic:spPr>
                    <a:xfrm>
                      <a:off x="0" y="0"/>
                      <a:ext cx="5852160" cy="3394424"/>
                    </a:xfrm>
                    <a:prstGeom prst="rect">
                      <a:avLst/>
                    </a:prstGeom>
                  </pic:spPr>
                </pic:pic>
              </a:graphicData>
            </a:graphic>
          </wp:inline>
        </w:drawing>
      </w:r>
    </w:p>
    <w:p w14:paraId="1723445C">
      <w:pPr>
        <w:pStyle w:val="15"/>
        <w:spacing w:after="120"/>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5"/>
        <w:spacing w:after="60" w:line="276" w:lineRule="auto"/>
      </w:pPr>
      <w:r>
        <w:rPr>
          <w:rFonts w:ascii="微软雅黑" w:hAnsi="微软雅黑" w:eastAsia="微软雅黑"/>
          <w:b/>
          <w:i/>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73"/>
                    <a:stretch>
                      <a:fillRect/>
                    </a:stretch>
                  </pic:blipFill>
                  <pic:spPr>
                    <a:xfrm>
                      <a:off x="0" y="0"/>
                      <a:ext cx="5852160" cy="5236144"/>
                    </a:xfrm>
                    <a:prstGeom prst="rect">
                      <a:avLst/>
                    </a:prstGeom>
                  </pic:spPr>
                </pic:pic>
              </a:graphicData>
            </a:graphic>
          </wp:inline>
        </w:drawing>
      </w:r>
    </w:p>
    <w:p w14:paraId="6D2F3C23">
      <w:pPr>
        <w:pStyle w:val="15"/>
        <w:spacing w:after="120"/>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5"/>
        <w:spacing w:after="60" w:line="276" w:lineRule="auto"/>
      </w:pPr>
      <w:r>
        <w:rPr>
          <w:rFonts w:ascii="微软雅黑" w:hAnsi="微软雅黑" w:eastAsia="微软雅黑"/>
          <w:b/>
          <w:i/>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74"/>
                    <a:stretch>
                      <a:fillRect/>
                    </a:stretch>
                  </pic:blipFill>
                  <pic:spPr>
                    <a:xfrm>
                      <a:off x="0" y="0"/>
                      <a:ext cx="5852160" cy="8083463"/>
                    </a:xfrm>
                    <a:prstGeom prst="rect">
                      <a:avLst/>
                    </a:prstGeom>
                  </pic:spPr>
                </pic:pic>
              </a:graphicData>
            </a:graphic>
          </wp:inline>
        </w:drawing>
      </w:r>
    </w:p>
    <w:p w14:paraId="781B6452">
      <w:pPr>
        <w:pStyle w:val="15"/>
        <w:spacing w:after="120"/>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5"/>
        <w:spacing w:after="60" w:line="276" w:lineRule="auto"/>
      </w:pPr>
      <w:r>
        <w:rPr>
          <w:rFonts w:ascii="微软雅黑" w:hAnsi="微软雅黑" w:eastAsia="微软雅黑"/>
          <w:b/>
          <w:i/>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75"/>
                    <a:stretch>
                      <a:fillRect/>
                    </a:stretch>
                  </pic:blipFill>
                  <pic:spPr>
                    <a:xfrm>
                      <a:off x="0" y="0"/>
                      <a:ext cx="5852160" cy="2221258"/>
                    </a:xfrm>
                    <a:prstGeom prst="rect">
                      <a:avLst/>
                    </a:prstGeom>
                  </pic:spPr>
                </pic:pic>
              </a:graphicData>
            </a:graphic>
          </wp:inline>
        </w:drawing>
      </w:r>
    </w:p>
    <w:p w14:paraId="55C1D665">
      <w:pPr>
        <w:pStyle w:val="15"/>
        <w:spacing w:after="120"/>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5"/>
        <w:spacing w:after="60" w:line="276" w:lineRule="auto"/>
      </w:pPr>
      <w:r>
        <w:rPr>
          <w:rFonts w:ascii="微软雅黑" w:hAnsi="微软雅黑" w:eastAsia="微软雅黑"/>
          <w:b/>
          <w:i/>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76"/>
                    <a:stretch>
                      <a:fillRect/>
                    </a:stretch>
                  </pic:blipFill>
                  <pic:spPr>
                    <a:xfrm>
                      <a:off x="0" y="0"/>
                      <a:ext cx="5852160" cy="5000363"/>
                    </a:xfrm>
                    <a:prstGeom prst="rect">
                      <a:avLst/>
                    </a:prstGeom>
                  </pic:spPr>
                </pic:pic>
              </a:graphicData>
            </a:graphic>
          </wp:inline>
        </w:drawing>
      </w:r>
    </w:p>
    <w:p w14:paraId="4B364D1A">
      <w:pPr>
        <w:pStyle w:val="15"/>
        <w:spacing w:after="120"/>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5"/>
        <w:spacing w:after="60" w:line="276" w:lineRule="auto"/>
      </w:pPr>
      <w:r>
        <w:rPr>
          <w:rFonts w:ascii="微软雅黑" w:hAnsi="微软雅黑" w:eastAsia="微软雅黑"/>
          <w:b/>
          <w:i/>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77"/>
                    <a:stretch>
                      <a:fillRect/>
                    </a:stretch>
                  </pic:blipFill>
                  <pic:spPr>
                    <a:xfrm>
                      <a:off x="0" y="0"/>
                      <a:ext cx="5852160" cy="5134442"/>
                    </a:xfrm>
                    <a:prstGeom prst="rect">
                      <a:avLst/>
                    </a:prstGeom>
                  </pic:spPr>
                </pic:pic>
              </a:graphicData>
            </a:graphic>
          </wp:inline>
        </w:drawing>
      </w:r>
    </w:p>
    <w:p w14:paraId="71FB18C8">
      <w:pPr>
        <w:pStyle w:val="15"/>
        <w:spacing w:after="120"/>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5"/>
        <w:spacing w:after="60" w:line="276" w:lineRule="auto"/>
      </w:pPr>
      <w:r>
        <w:rPr>
          <w:rFonts w:ascii="微软雅黑" w:hAnsi="微软雅黑" w:eastAsia="微软雅黑"/>
          <w:b/>
          <w:i/>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78"/>
                    <a:stretch>
                      <a:fillRect/>
                    </a:stretch>
                  </pic:blipFill>
                  <pic:spPr>
                    <a:xfrm>
                      <a:off x="0" y="0"/>
                      <a:ext cx="5852160" cy="2106633"/>
                    </a:xfrm>
                    <a:prstGeom prst="rect">
                      <a:avLst/>
                    </a:prstGeom>
                  </pic:spPr>
                </pic:pic>
              </a:graphicData>
            </a:graphic>
          </wp:inline>
        </w:drawing>
      </w:r>
    </w:p>
    <w:p w14:paraId="5A05439B">
      <w:pPr>
        <w:pStyle w:val="15"/>
        <w:spacing w:after="120"/>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5"/>
        <w:spacing w:after="60" w:line="276" w:lineRule="auto"/>
      </w:pPr>
      <w:r>
        <w:rPr>
          <w:rFonts w:ascii="微软雅黑" w:hAnsi="微软雅黑" w:eastAsia="微软雅黑"/>
          <w:b/>
          <w:i/>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79"/>
                    <a:stretch>
                      <a:fillRect/>
                    </a:stretch>
                  </pic:blipFill>
                  <pic:spPr>
                    <a:xfrm>
                      <a:off x="0" y="0"/>
                      <a:ext cx="5852160" cy="4598126"/>
                    </a:xfrm>
                    <a:prstGeom prst="rect">
                      <a:avLst/>
                    </a:prstGeom>
                  </pic:spPr>
                </pic:pic>
              </a:graphicData>
            </a:graphic>
          </wp:inline>
        </w:drawing>
      </w:r>
    </w:p>
    <w:p w14:paraId="17DC4802">
      <w:pPr>
        <w:pStyle w:val="15"/>
        <w:spacing w:after="120"/>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5"/>
        <w:spacing w:after="60" w:line="276" w:lineRule="auto"/>
      </w:pPr>
      <w:r>
        <w:rPr>
          <w:rFonts w:ascii="微软雅黑" w:hAnsi="微软雅黑" w:eastAsia="微软雅黑"/>
          <w:b/>
          <w:i/>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80"/>
                    <a:stretch>
                      <a:fillRect/>
                    </a:stretch>
                  </pic:blipFill>
                  <pic:spPr>
                    <a:xfrm>
                      <a:off x="0" y="0"/>
                      <a:ext cx="5852160" cy="1467428"/>
                    </a:xfrm>
                    <a:prstGeom prst="rect">
                      <a:avLst/>
                    </a:prstGeom>
                  </pic:spPr>
                </pic:pic>
              </a:graphicData>
            </a:graphic>
          </wp:inline>
        </w:drawing>
      </w:r>
    </w:p>
    <w:p w14:paraId="2C7EC34C">
      <w:pPr>
        <w:pStyle w:val="15"/>
        <w:spacing w:after="120"/>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5"/>
        <w:spacing w:after="60" w:line="276" w:lineRule="auto"/>
      </w:pPr>
      <w:r>
        <w:rPr>
          <w:rFonts w:ascii="微软雅黑" w:hAnsi="微软雅黑" w:eastAsia="微软雅黑"/>
          <w:b/>
          <w:i/>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81"/>
                    <a:stretch>
                      <a:fillRect/>
                    </a:stretch>
                  </pic:blipFill>
                  <pic:spPr>
                    <a:xfrm>
                      <a:off x="0" y="0"/>
                      <a:ext cx="5852160" cy="1610326"/>
                    </a:xfrm>
                    <a:prstGeom prst="rect">
                      <a:avLst/>
                    </a:prstGeom>
                  </pic:spPr>
                </pic:pic>
              </a:graphicData>
            </a:graphic>
          </wp:inline>
        </w:drawing>
      </w:r>
    </w:p>
    <w:p w14:paraId="35206AC6">
      <w:pPr>
        <w:pStyle w:val="15"/>
        <w:spacing w:after="120"/>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5"/>
        <w:spacing w:after="60" w:line="276" w:lineRule="auto"/>
      </w:pPr>
      <w:r>
        <w:rPr>
          <w:rFonts w:ascii="微软雅黑" w:hAnsi="微软雅黑" w:eastAsia="微软雅黑"/>
          <w:b/>
          <w:i/>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82"/>
                    <a:stretch>
                      <a:fillRect/>
                    </a:stretch>
                  </pic:blipFill>
                  <pic:spPr>
                    <a:xfrm>
                      <a:off x="0" y="0"/>
                      <a:ext cx="4389120" cy="4397203"/>
                    </a:xfrm>
                    <a:prstGeom prst="rect">
                      <a:avLst/>
                    </a:prstGeom>
                  </pic:spPr>
                </pic:pic>
              </a:graphicData>
            </a:graphic>
          </wp:inline>
        </w:drawing>
      </w:r>
    </w:p>
    <w:p w14:paraId="703953FA">
      <w:pPr>
        <w:pStyle w:val="15"/>
        <w:spacing w:after="120"/>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5"/>
        <w:spacing w:after="60" w:line="276" w:lineRule="auto"/>
      </w:pPr>
      <w:r>
        <w:rPr>
          <w:rFonts w:ascii="微软雅黑" w:hAnsi="微软雅黑" w:eastAsia="微软雅黑"/>
          <w:b/>
          <w:i/>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83"/>
                    <a:stretch>
                      <a:fillRect/>
                    </a:stretch>
                  </pic:blipFill>
                  <pic:spPr>
                    <a:xfrm>
                      <a:off x="0" y="0"/>
                      <a:ext cx="4389120" cy="3796873"/>
                    </a:xfrm>
                    <a:prstGeom prst="rect">
                      <a:avLst/>
                    </a:prstGeom>
                  </pic:spPr>
                </pic:pic>
              </a:graphicData>
            </a:graphic>
          </wp:inline>
        </w:drawing>
      </w:r>
    </w:p>
    <w:p w14:paraId="6218CB00">
      <w:pPr>
        <w:pStyle w:val="15"/>
        <w:spacing w:after="120"/>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5"/>
        <w:spacing w:after="60" w:line="276" w:lineRule="auto"/>
      </w:pPr>
      <w:r>
        <w:rPr>
          <w:rFonts w:ascii="微软雅黑" w:hAnsi="微软雅黑" w:eastAsia="微软雅黑"/>
          <w:b/>
          <w:i/>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84"/>
                    <a:stretch>
                      <a:fillRect/>
                    </a:stretch>
                  </pic:blipFill>
                  <pic:spPr>
                    <a:xfrm>
                      <a:off x="0" y="0"/>
                      <a:ext cx="5852160" cy="2524881"/>
                    </a:xfrm>
                    <a:prstGeom prst="rect">
                      <a:avLst/>
                    </a:prstGeom>
                  </pic:spPr>
                </pic:pic>
              </a:graphicData>
            </a:graphic>
          </wp:inline>
        </w:drawing>
      </w:r>
    </w:p>
    <w:p w14:paraId="3CA5F47A">
      <w:pPr>
        <w:pStyle w:val="15"/>
        <w:spacing w:after="120"/>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5"/>
        <w:spacing w:after="60" w:line="276" w:lineRule="auto"/>
      </w:pPr>
      <w:r>
        <w:rPr>
          <w:rFonts w:ascii="微软雅黑" w:hAnsi="微软雅黑" w:eastAsia="微软雅黑"/>
          <w:b/>
          <w:i/>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85"/>
                    <a:stretch>
                      <a:fillRect/>
                    </a:stretch>
                  </pic:blipFill>
                  <pic:spPr>
                    <a:xfrm>
                      <a:off x="0" y="0"/>
                      <a:ext cx="5852160" cy="2187857"/>
                    </a:xfrm>
                    <a:prstGeom prst="rect">
                      <a:avLst/>
                    </a:prstGeom>
                  </pic:spPr>
                </pic:pic>
              </a:graphicData>
            </a:graphic>
          </wp:inline>
        </w:drawing>
      </w:r>
    </w:p>
    <w:p w14:paraId="61D7A297">
      <w:pPr>
        <w:pStyle w:val="15"/>
        <w:spacing w:after="120"/>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5"/>
        <w:spacing w:after="60" w:line="276" w:lineRule="auto"/>
      </w:pPr>
      <w:r>
        <w:rPr>
          <w:rFonts w:ascii="微软雅黑" w:hAnsi="微软雅黑" w:eastAsia="微软雅黑"/>
          <w:b/>
          <w:i/>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86"/>
                    <a:stretch>
                      <a:fillRect/>
                    </a:stretch>
                  </pic:blipFill>
                  <pic:spPr>
                    <a:xfrm>
                      <a:off x="0" y="0"/>
                      <a:ext cx="4389120" cy="3262278"/>
                    </a:xfrm>
                    <a:prstGeom prst="rect">
                      <a:avLst/>
                    </a:prstGeom>
                  </pic:spPr>
                </pic:pic>
              </a:graphicData>
            </a:graphic>
          </wp:inline>
        </w:drawing>
      </w:r>
    </w:p>
    <w:p w14:paraId="34F310D7">
      <w:pPr>
        <w:pStyle w:val="15"/>
        <w:spacing w:after="120"/>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5"/>
        <w:spacing w:after="60" w:line="276" w:lineRule="auto"/>
      </w:pPr>
      <w:r>
        <w:rPr>
          <w:rFonts w:ascii="微软雅黑" w:hAnsi="微软雅黑" w:eastAsia="微软雅黑"/>
          <w:b/>
          <w:i/>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87"/>
                    <a:stretch>
                      <a:fillRect/>
                    </a:stretch>
                  </pic:blipFill>
                  <pic:spPr>
                    <a:xfrm>
                      <a:off x="0" y="0"/>
                      <a:ext cx="5852160" cy="1742895"/>
                    </a:xfrm>
                    <a:prstGeom prst="rect">
                      <a:avLst/>
                    </a:prstGeom>
                  </pic:spPr>
                </pic:pic>
              </a:graphicData>
            </a:graphic>
          </wp:inline>
        </w:drawing>
      </w:r>
    </w:p>
    <w:p w14:paraId="70FC4495">
      <w:pPr>
        <w:pStyle w:val="15"/>
        <w:spacing w:after="120"/>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5"/>
        <w:spacing w:after="60" w:line="276" w:lineRule="auto"/>
      </w:pPr>
      <w:r>
        <w:rPr>
          <w:rFonts w:ascii="微软雅黑" w:hAnsi="微软雅黑" w:eastAsia="微软雅黑"/>
          <w:b/>
          <w:i/>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88"/>
                    <a:stretch>
                      <a:fillRect/>
                    </a:stretch>
                  </pic:blipFill>
                  <pic:spPr>
                    <a:xfrm>
                      <a:off x="0" y="0"/>
                      <a:ext cx="4572000" cy="2493050"/>
                    </a:xfrm>
                    <a:prstGeom prst="rect">
                      <a:avLst/>
                    </a:prstGeom>
                  </pic:spPr>
                </pic:pic>
              </a:graphicData>
            </a:graphic>
          </wp:inline>
        </w:drawing>
      </w:r>
    </w:p>
    <w:p w14:paraId="4D6821DF">
      <w:pPr>
        <w:pStyle w:val="15"/>
        <w:spacing w:after="120"/>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5"/>
        <w:spacing w:after="60" w:line="276" w:lineRule="auto"/>
      </w:pPr>
      <w:r>
        <w:rPr>
          <w:rFonts w:ascii="微软雅黑" w:hAnsi="微软雅黑" w:eastAsia="微软雅黑"/>
          <w:b/>
          <w:i/>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89"/>
                    <a:stretch>
                      <a:fillRect/>
                    </a:stretch>
                  </pic:blipFill>
                  <pic:spPr>
                    <a:xfrm>
                      <a:off x="0" y="0"/>
                      <a:ext cx="4572000" cy="2107539"/>
                    </a:xfrm>
                    <a:prstGeom prst="rect">
                      <a:avLst/>
                    </a:prstGeom>
                  </pic:spPr>
                </pic:pic>
              </a:graphicData>
            </a:graphic>
          </wp:inline>
        </w:drawing>
      </w:r>
    </w:p>
    <w:p w14:paraId="778254F2">
      <w:pPr>
        <w:pStyle w:val="15"/>
        <w:spacing w:after="120"/>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b/>
          <w:bCs/>
          <w:sz w:val="20"/>
          <w:lang w:val="en-US" w:eastAsia="zh-CN"/>
        </w:rPr>
        <w:t>玩家再次充值时，</w:t>
      </w:r>
      <w:r>
        <w:rPr>
          <w:rFonts w:ascii="微软雅黑" w:hAnsi="微软雅黑" w:eastAsia="微软雅黑"/>
          <w:b/>
          <w:bCs/>
          <w:sz w:val="20"/>
        </w:rPr>
        <w:t>系统会将其自动解除条件；</w:t>
      </w:r>
      <w:r>
        <w:rPr>
          <w:rFonts w:hint="eastAsia"/>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color w:val="17365D"/>
          <w:sz w:val="40"/>
        </w:rPr>
        <w:t>八、数据报表</w:t>
      </w:r>
    </w:p>
    <w:p w14:paraId="5D82E6EB">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5"/>
        <w:spacing w:after="60" w:line="276" w:lineRule="auto"/>
      </w:pPr>
      <w:r>
        <w:rPr>
          <w:rFonts w:ascii="微软雅黑" w:hAnsi="微软雅黑" w:eastAsia="微软雅黑"/>
          <w:b/>
          <w:i/>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90"/>
                    <a:stretch>
                      <a:fillRect/>
                    </a:stretch>
                  </pic:blipFill>
                  <pic:spPr>
                    <a:xfrm>
                      <a:off x="0" y="0"/>
                      <a:ext cx="5852160" cy="2063194"/>
                    </a:xfrm>
                    <a:prstGeom prst="rect">
                      <a:avLst/>
                    </a:prstGeom>
                  </pic:spPr>
                </pic:pic>
              </a:graphicData>
            </a:graphic>
          </wp:inline>
        </w:drawing>
      </w:r>
    </w:p>
    <w:p w14:paraId="59A41A46">
      <w:pPr>
        <w:pStyle w:val="15"/>
        <w:spacing w:after="120"/>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游戏人数据表</w:t>
      </w:r>
    </w:p>
    <w:p w14:paraId="110029F9">
      <w:pPr>
        <w:spacing w:after="60" w:line="276" w:lineRule="auto"/>
      </w:pPr>
      <w:r>
        <w:rPr>
          <w:rFonts w:ascii="微软雅黑" w:hAnsi="微软雅黑" w:eastAsia="微软雅黑"/>
          <w:b w:val="0"/>
          <w:sz w:val="20"/>
        </w:rPr>
        <w:t>游戏人数据表用于按日期统计参与游戏的玩家人数，适合快速观察游戏活跃规模变化，并判断近期活动、渠道流量或游戏内容调整对参与人数的影响。</w:t>
      </w:r>
    </w:p>
    <w:p w14:paraId="3C953A31">
      <w:pPr>
        <w:pStyle w:val="5"/>
        <w:spacing w:after="60" w:line="276" w:lineRule="auto"/>
      </w:pPr>
      <w:r>
        <w:rPr>
          <w:rFonts w:ascii="微软雅黑" w:hAnsi="微软雅黑" w:eastAsia="微软雅黑"/>
          <w:b/>
          <w:i/>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91"/>
                    <a:stretch>
                      <a:fillRect/>
                    </a:stretch>
                  </pic:blipFill>
                  <pic:spPr>
                    <a:xfrm>
                      <a:off x="0" y="0"/>
                      <a:ext cx="5852160" cy="2271890"/>
                    </a:xfrm>
                    <a:prstGeom prst="rect">
                      <a:avLst/>
                    </a:prstGeom>
                  </pic:spPr>
                </pic:pic>
              </a:graphicData>
            </a:graphic>
          </wp:inline>
        </w:drawing>
      </w:r>
    </w:p>
    <w:p w14:paraId="6AEA6EB5">
      <w:pPr>
        <w:pStyle w:val="15"/>
        <w:spacing w:after="120"/>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：如果某日游戏人数异常偏高或偏低，建议继续结合综合数据报表、游戏记录和活动统计报表核对是否存在活动刺激、渠道波动或统计口径变化。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54"/>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5"/>
        <w:spacing w:after="60" w:line="276" w:lineRule="auto"/>
      </w:pPr>
      <w:r>
        <w:rPr>
          <w:rFonts w:ascii="微软雅黑" w:hAnsi="微软雅黑" w:eastAsia="微软雅黑"/>
          <w:b/>
          <w:i/>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92"/>
                    <a:stretch>
                      <a:fillRect/>
                    </a:stretch>
                  </pic:blipFill>
                  <pic:spPr>
                    <a:xfrm>
                      <a:off x="0" y="0"/>
                      <a:ext cx="5852160" cy="2056737"/>
                    </a:xfrm>
                    <a:prstGeom prst="rect">
                      <a:avLst/>
                    </a:prstGeom>
                  </pic:spPr>
                </pic:pic>
              </a:graphicData>
            </a:graphic>
          </wp:inline>
        </w:drawing>
      </w:r>
    </w:p>
    <w:p w14:paraId="2ACA9048">
      <w:pPr>
        <w:pStyle w:val="15"/>
        <w:spacing w:after="120"/>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5"/>
        <w:spacing w:after="60" w:line="276" w:lineRule="auto"/>
      </w:pPr>
      <w:r>
        <w:rPr>
          <w:rFonts w:ascii="微软雅黑" w:hAnsi="微软雅黑" w:eastAsia="微软雅黑"/>
          <w:b/>
          <w:i/>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93"/>
                    <a:stretch>
                      <a:fillRect/>
                    </a:stretch>
                  </pic:blipFill>
                  <pic:spPr>
                    <a:xfrm>
                      <a:off x="0" y="0"/>
                      <a:ext cx="5852160" cy="1657000"/>
                    </a:xfrm>
                    <a:prstGeom prst="rect">
                      <a:avLst/>
                    </a:prstGeom>
                  </pic:spPr>
                </pic:pic>
              </a:graphicData>
            </a:graphic>
          </wp:inline>
        </w:drawing>
      </w:r>
    </w:p>
    <w:p w14:paraId="1848FB6B">
      <w:pPr>
        <w:pStyle w:val="15"/>
        <w:spacing w:after="120"/>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5"/>
        <w:spacing w:after="60" w:line="276" w:lineRule="auto"/>
      </w:pPr>
      <w:r>
        <w:rPr>
          <w:rFonts w:ascii="微软雅黑" w:hAnsi="微软雅黑" w:eastAsia="微软雅黑"/>
          <w:b/>
          <w:i/>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94"/>
                    <a:stretch>
                      <a:fillRect/>
                    </a:stretch>
                  </pic:blipFill>
                  <pic:spPr>
                    <a:xfrm>
                      <a:off x="0" y="0"/>
                      <a:ext cx="6395720" cy="2847340"/>
                    </a:xfrm>
                    <a:prstGeom prst="rect">
                      <a:avLst/>
                    </a:prstGeom>
                    <a:noFill/>
                    <a:ln>
                      <a:noFill/>
                    </a:ln>
                  </pic:spPr>
                </pic:pic>
              </a:graphicData>
            </a:graphic>
          </wp:inline>
        </w:drawing>
      </w:r>
    </w:p>
    <w:p w14:paraId="530F8B80">
      <w:pPr>
        <w:pStyle w:val="15"/>
        <w:spacing w:after="120"/>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4"/>
        <w:keepNext/>
        <w:spacing w:before="180" w:after="100" w:line="259" w:lineRule="auto"/>
      </w:pPr>
      <w:r>
        <w:rPr>
          <w:rFonts w:ascii="微软雅黑" w:hAnsi="微软雅黑" w:eastAsia="微软雅黑"/>
          <w:b/>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5"/>
        <w:spacing w:after="60" w:line="276" w:lineRule="auto"/>
      </w:pPr>
      <w:r>
        <w:rPr>
          <w:rFonts w:ascii="微软雅黑" w:hAnsi="微软雅黑" w:eastAsia="微软雅黑"/>
          <w:b/>
          <w:i/>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95"/>
                    <a:stretch>
                      <a:fillRect/>
                    </a:stretch>
                  </pic:blipFill>
                  <pic:spPr>
                    <a:xfrm>
                      <a:off x="0" y="0"/>
                      <a:ext cx="5852160" cy="2679560"/>
                    </a:xfrm>
                    <a:prstGeom prst="rect">
                      <a:avLst/>
                    </a:prstGeom>
                  </pic:spPr>
                </pic:pic>
              </a:graphicData>
            </a:graphic>
          </wp:inline>
        </w:drawing>
      </w:r>
    </w:p>
    <w:p w14:paraId="2343F715">
      <w:pPr>
        <w:pStyle w:val="15"/>
        <w:spacing w:after="120"/>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4"/>
        <w:keepNext/>
        <w:spacing w:before="180" w:after="100" w:line="259" w:lineRule="auto"/>
      </w:pPr>
      <w:r>
        <w:rPr>
          <w:rFonts w:ascii="微软雅黑" w:hAnsi="微软雅黑" w:eastAsia="微软雅黑"/>
          <w:b/>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4"/>
        <w:keepNext/>
        <w:spacing w:before="180" w:after="100" w:line="259" w:lineRule="auto"/>
      </w:pPr>
      <w:r>
        <w:rPr>
          <w:rFonts w:ascii="微软雅黑" w:hAnsi="微软雅黑" w:eastAsia="微软雅黑"/>
          <w:b/>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4"/>
        <w:keepNext/>
        <w:spacing w:before="180" w:after="100" w:line="259" w:lineRule="auto"/>
      </w:pPr>
      <w:r>
        <w:rPr>
          <w:rFonts w:ascii="微软雅黑" w:hAnsi="微软雅黑" w:eastAsia="微软雅黑"/>
          <w:b/>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color w:val="17365D"/>
          <w:sz w:val="40"/>
        </w:rPr>
        <w:t>九、游戏中心</w:t>
      </w:r>
    </w:p>
    <w:p w14:paraId="65EA5E4B">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96"/>
                    <a:stretch>
                      <a:fillRect/>
                    </a:stretch>
                  </pic:blipFill>
                  <pic:spPr>
                    <a:xfrm>
                      <a:off x="0" y="0"/>
                      <a:ext cx="5852160" cy="1626572"/>
                    </a:xfrm>
                    <a:prstGeom prst="rect">
                      <a:avLst/>
                    </a:prstGeom>
                  </pic:spPr>
                </pic:pic>
              </a:graphicData>
            </a:graphic>
          </wp:inline>
        </w:drawing>
      </w:r>
    </w:p>
    <w:p w14:paraId="430D4820">
      <w:pPr>
        <w:pStyle w:val="15"/>
        <w:spacing w:after="120"/>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5"/>
        <w:spacing w:after="60" w:line="276" w:lineRule="auto"/>
      </w:pPr>
      <w:r>
        <w:rPr>
          <w:rFonts w:ascii="微软雅黑" w:hAnsi="微软雅黑" w:eastAsia="微软雅黑"/>
          <w:b/>
          <w:i/>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97"/>
                    <a:stretch>
                      <a:fillRect/>
                    </a:stretch>
                  </pic:blipFill>
                  <pic:spPr>
                    <a:xfrm>
                      <a:off x="0" y="0"/>
                      <a:ext cx="4114800" cy="5361445"/>
                    </a:xfrm>
                    <a:prstGeom prst="rect">
                      <a:avLst/>
                    </a:prstGeom>
                  </pic:spPr>
                </pic:pic>
              </a:graphicData>
            </a:graphic>
          </wp:inline>
        </w:drawing>
      </w:r>
    </w:p>
    <w:p w14:paraId="3AA2E617">
      <w:pPr>
        <w:pStyle w:val="15"/>
        <w:spacing w:after="120"/>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98"/>
                    <a:stretch>
                      <a:fillRect/>
                    </a:stretch>
                  </pic:blipFill>
                  <pic:spPr>
                    <a:xfrm>
                      <a:off x="0" y="0"/>
                      <a:ext cx="5852160" cy="1795549"/>
                    </a:xfrm>
                    <a:prstGeom prst="rect">
                      <a:avLst/>
                    </a:prstGeom>
                  </pic:spPr>
                </pic:pic>
              </a:graphicData>
            </a:graphic>
          </wp:inline>
        </w:drawing>
      </w:r>
    </w:p>
    <w:p w14:paraId="4CAC486C">
      <w:pPr>
        <w:pStyle w:val="15"/>
        <w:spacing w:after="120"/>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5"/>
        <w:spacing w:after="60" w:line="276" w:lineRule="auto"/>
      </w:pPr>
      <w:r>
        <w:rPr>
          <w:rFonts w:ascii="微软雅黑" w:hAnsi="微软雅黑" w:eastAsia="微软雅黑"/>
          <w:b/>
          <w:i/>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99"/>
                    <a:stretch>
                      <a:fillRect/>
                    </a:stretch>
                  </pic:blipFill>
                  <pic:spPr>
                    <a:xfrm>
                      <a:off x="0" y="0"/>
                      <a:ext cx="4754880" cy="3734172"/>
                    </a:xfrm>
                    <a:prstGeom prst="rect">
                      <a:avLst/>
                    </a:prstGeom>
                  </pic:spPr>
                </pic:pic>
              </a:graphicData>
            </a:graphic>
          </wp:inline>
        </w:drawing>
      </w:r>
    </w:p>
    <w:p w14:paraId="20F9060F">
      <w:pPr>
        <w:pStyle w:val="15"/>
        <w:spacing w:after="120"/>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5"/>
        <w:spacing w:after="60" w:line="276" w:lineRule="auto"/>
      </w:pPr>
      <w:r>
        <w:rPr>
          <w:rFonts w:ascii="微软雅黑" w:hAnsi="微软雅黑" w:eastAsia="微软雅黑"/>
          <w:b/>
          <w:i/>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00"/>
                    <a:stretch>
                      <a:fillRect/>
                    </a:stretch>
                  </pic:blipFill>
                  <pic:spPr>
                    <a:xfrm>
                      <a:off x="0" y="0"/>
                      <a:ext cx="5852160" cy="3615035"/>
                    </a:xfrm>
                    <a:prstGeom prst="rect">
                      <a:avLst/>
                    </a:prstGeom>
                  </pic:spPr>
                </pic:pic>
              </a:graphicData>
            </a:graphic>
          </wp:inline>
        </w:drawing>
      </w:r>
    </w:p>
    <w:p w14:paraId="3DA9ADBF">
      <w:pPr>
        <w:pStyle w:val="15"/>
        <w:spacing w:after="120"/>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01"/>
                    <a:stretch>
                      <a:fillRect/>
                    </a:stretch>
                  </pic:blipFill>
                  <pic:spPr>
                    <a:xfrm>
                      <a:off x="0" y="0"/>
                      <a:ext cx="5852160" cy="2553926"/>
                    </a:xfrm>
                    <a:prstGeom prst="rect">
                      <a:avLst/>
                    </a:prstGeom>
                  </pic:spPr>
                </pic:pic>
              </a:graphicData>
            </a:graphic>
          </wp:inline>
        </w:drawing>
      </w:r>
    </w:p>
    <w:p w14:paraId="0F28EC0B">
      <w:pPr>
        <w:pStyle w:val="15"/>
        <w:spacing w:after="120"/>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5"/>
        <w:spacing w:after="60" w:line="276" w:lineRule="auto"/>
      </w:pPr>
      <w:r>
        <w:rPr>
          <w:rFonts w:ascii="微软雅黑" w:hAnsi="微软雅黑" w:eastAsia="微软雅黑"/>
          <w:b/>
          <w:i/>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02"/>
                    <a:stretch>
                      <a:fillRect/>
                    </a:stretch>
                  </pic:blipFill>
                  <pic:spPr>
                    <a:xfrm>
                      <a:off x="0" y="0"/>
                      <a:ext cx="4206240" cy="4801609"/>
                    </a:xfrm>
                    <a:prstGeom prst="rect">
                      <a:avLst/>
                    </a:prstGeom>
                  </pic:spPr>
                </pic:pic>
              </a:graphicData>
            </a:graphic>
          </wp:inline>
        </w:drawing>
      </w:r>
    </w:p>
    <w:p w14:paraId="435E8C0E">
      <w:pPr>
        <w:pStyle w:val="15"/>
        <w:spacing w:after="120"/>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03"/>
                    <a:stretch>
                      <a:fillRect/>
                    </a:stretch>
                  </pic:blipFill>
                  <pic:spPr>
                    <a:xfrm>
                      <a:off x="0" y="0"/>
                      <a:ext cx="5852160" cy="2609557"/>
                    </a:xfrm>
                    <a:prstGeom prst="rect">
                      <a:avLst/>
                    </a:prstGeom>
                  </pic:spPr>
                </pic:pic>
              </a:graphicData>
            </a:graphic>
          </wp:inline>
        </w:drawing>
      </w:r>
    </w:p>
    <w:p w14:paraId="10BD12E5">
      <w:pPr>
        <w:pStyle w:val="15"/>
        <w:spacing w:after="120"/>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04"/>
                    <a:stretch>
                      <a:fillRect/>
                    </a:stretch>
                  </pic:blipFill>
                  <pic:spPr>
                    <a:xfrm>
                      <a:off x="0" y="0"/>
                      <a:ext cx="5852160" cy="1666020"/>
                    </a:xfrm>
                    <a:prstGeom prst="rect">
                      <a:avLst/>
                    </a:prstGeom>
                  </pic:spPr>
                </pic:pic>
              </a:graphicData>
            </a:graphic>
          </wp:inline>
        </w:drawing>
      </w:r>
    </w:p>
    <w:p w14:paraId="24C9F9CF">
      <w:pPr>
        <w:pStyle w:val="15"/>
        <w:spacing w:after="120"/>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color w:val="17365D"/>
          <w:sz w:val="40"/>
        </w:rPr>
        <w:t>十、用户管理</w:t>
      </w:r>
    </w:p>
    <w:p w14:paraId="0859F249">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在线玩家列表</w:t>
      </w:r>
    </w:p>
    <w:p w14:paraId="6784B2DB">
      <w:pPr>
        <w:spacing w:after="60" w:line="276" w:lineRule="auto"/>
      </w:pPr>
      <w:r>
        <w:rPr>
          <w:rFonts w:ascii="微软雅黑" w:hAnsi="微软雅黑" w:eastAsia="微软雅黑"/>
          <w:b w:val="0"/>
          <w:sz w:val="20"/>
        </w:rPr>
        <w:t>在线玩家列表用于实时查看当前在线会员、在线位置、余额表现和打码状态，适合运营人员快速识别高余额在线玩家、异常停留用户和需重点关注的活跃账号。</w:t>
      </w:r>
    </w:p>
    <w:p w14:paraId="03EFD694">
      <w:pPr>
        <w:spacing w:after="40"/>
        <w:jc w:val="center"/>
      </w:pPr>
      <w:r>
        <w:drawing>
          <wp:inline distT="0" distB="0" distL="114300" distR="114300">
            <wp:extent cx="5852160" cy="2508250"/>
            <wp:effectExtent l="0" t="0" r="15240" b="63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pic:cNvPicPr>
                      <a:picLocks noChangeAspect="1"/>
                    </pic:cNvPicPr>
                  </pic:nvPicPr>
                  <pic:blipFill>
                    <a:blip r:embed="rId105"/>
                    <a:stretch>
                      <a:fillRect/>
                    </a:stretch>
                  </pic:blipFill>
                  <pic:spPr>
                    <a:xfrm>
                      <a:off x="0" y="0"/>
                      <a:ext cx="5852160" cy="2508579"/>
                    </a:xfrm>
                    <a:prstGeom prst="rect">
                      <a:avLst/>
                    </a:prstGeom>
                  </pic:spPr>
                </pic:pic>
              </a:graphicData>
            </a:graphic>
          </wp:inline>
        </w:drawing>
      </w:r>
    </w:p>
    <w:p w14:paraId="6613564E">
      <w:pPr>
        <w:pStyle w:val="15"/>
        <w:spacing w:after="120"/>
        <w:jc w:val="center"/>
      </w:pPr>
      <w:r>
        <w:rPr>
          <w:rFonts w:ascii="微软雅黑" w:hAnsi="微软雅黑" w:eastAsia="微软雅黑"/>
          <w:b w:val="0"/>
          <w:color w:val="707E92"/>
          <w:sz w:val="18"/>
        </w:rPr>
        <w:t>图：在线玩家列表页面，用于按玩家信息、余额范围、在线状态和网站位置筛选当前在线用户。</w:t>
      </w:r>
    </w:p>
    <w:p w14:paraId="4DF0A1F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：页面支持按玩家 ID、余额范围、玩家类型、在线状态、网站位置、游戏类型和登录 IP 组合筛选，适合在活动期间或异常排查时快速缩小范围。</w:t>
      </w:r>
    </w:p>
    <w:p w14:paraId="07084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：列表集中展示玩家 ID、玩家名称、类型、余额、所在位置、今日充值、最近充值、累计充值、在线时长、登录 IP 和赎回打码状态，便于同步查看用户在线行为与资金状态。</w:t>
      </w:r>
    </w:p>
    <w:p w14:paraId="55ED54DB">
      <w:pPr>
        <w:pStyle w:val="16"/>
        <w:spacing w:after="60" w:line="276" w:lineRule="auto"/>
      </w:pPr>
      <w:r>
        <w:rPr>
          <w:rFonts w:ascii="微软雅黑" w:hAnsi="微软雅黑" w:eastAsia="微软雅黑"/>
          <w:b/>
          <w:color w:val="2F5597"/>
          <w:sz w:val="20"/>
        </w:rPr>
        <w:t>所在位置</w:t>
      </w:r>
      <w:r>
        <w:rPr>
          <w:rFonts w:ascii="微软雅黑" w:hAnsi="微软雅黑" w:eastAsia="微软雅黑"/>
          <w:b w:val="0"/>
          <w:sz w:val="20"/>
        </w:rPr>
        <w:t>：所在位置会显示玩家当前停留的站内页面或游戏位置，可用于判断玩家是在首页、优惠页、充值页还是具体游戏内停留，便于运营跟进当前行为。</w:t>
      </w:r>
    </w:p>
    <w:p w14:paraId="1637B22C">
      <w:pPr>
        <w:pStyle w:val="16"/>
        <w:spacing w:after="60" w:line="276" w:lineRule="auto"/>
      </w:pPr>
      <w:r>
        <w:rPr>
          <w:rFonts w:ascii="微软雅黑" w:hAnsi="微软雅黑" w:eastAsia="微软雅黑"/>
          <w:b/>
          <w:color w:val="2F5597"/>
          <w:sz w:val="20"/>
        </w:rPr>
        <w:t>打码状态</w:t>
      </w:r>
      <w:r>
        <w:rPr>
          <w:rFonts w:ascii="微软雅黑" w:hAnsi="微软雅黑" w:eastAsia="微软雅黑"/>
          <w:b w:val="0"/>
          <w:sz w:val="20"/>
        </w:rPr>
        <w:t>：赎回和打码状态用于区分当前是否满足提款或奖励相关流水要求。处理高余额在线用户时，建议结合该字段判断是否需要继续跟踪后续资金动作。</w:t>
      </w:r>
    </w:p>
    <w:p w14:paraId="12BC5E90">
      <w:pPr>
        <w:pStyle w:val="16"/>
        <w:spacing w:after="60" w:line="276" w:lineRule="auto"/>
      </w:pPr>
      <w:r>
        <w:rPr>
          <w:rFonts w:ascii="微软雅黑" w:hAnsi="微软雅黑" w:eastAsia="微软雅黑"/>
          <w:b/>
          <w:color w:val="2F5597"/>
          <w:sz w:val="20"/>
        </w:rPr>
        <w:t>详情与操作</w:t>
      </w:r>
      <w:r>
        <w:rPr>
          <w:rFonts w:ascii="微软雅黑" w:hAnsi="微软雅黑" w:eastAsia="微软雅黑"/>
          <w:b w:val="0"/>
          <w:sz w:val="20"/>
        </w:rPr>
        <w:t>：列表右侧通常提供详情和封禁等操作入口。执行限制类操作前，应先核对会员身份、在线位置和最近资金行为，避免误处理正常玩家。</w:t>
      </w:r>
    </w:p>
    <w:p w14:paraId="5636EE7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：该页面更适合实时运营观察和在线风险巡检。发现异常在线时长、异常余额或集中停留时，可继续联查所有会员、账变记录或游戏记录。</w:t>
      </w:r>
    </w:p>
    <w:p w14:paraId="7114301A">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所有会员</w:t>
      </w:r>
    </w:p>
    <w:p w14:paraId="15166C74">
      <w:pPr>
        <w:spacing w:after="60" w:line="276" w:lineRule="auto"/>
      </w:pPr>
      <w:r>
        <w:rPr>
          <w:rFonts w:ascii="微软雅黑" w:hAnsi="微软雅黑" w:eastAsia="微软雅黑"/>
          <w:b w:val="0"/>
          <w:sz w:val="20"/>
        </w:rPr>
        <w:t>所有会员用于查询和管理会员基础资料、在线状态、资金概况和会员详情，是处理会员问题、核对账号信息和执行基础账号操作的核心入口。</w:t>
      </w:r>
    </w:p>
    <w:p w14:paraId="17C8A778">
      <w:pPr>
        <w:pStyle w:val="5"/>
        <w:spacing w:after="60" w:line="276" w:lineRule="auto"/>
      </w:pPr>
      <w:r>
        <w:rPr>
          <w:rFonts w:ascii="微软雅黑" w:hAnsi="微软雅黑" w:eastAsia="微软雅黑"/>
          <w:b/>
          <w:i/>
          <w:color w:val="2F5597"/>
          <w:sz w:val="21"/>
        </w:rPr>
        <w:t>会员列表</w:t>
      </w:r>
    </w:p>
    <w:p w14:paraId="5C0B228F">
      <w:pPr>
        <w:spacing w:after="60" w:line="276" w:lineRule="auto"/>
      </w:pPr>
      <w:r>
        <w:rPr>
          <w:rFonts w:ascii="微软雅黑" w:hAnsi="微软雅黑" w:eastAsia="微软雅黑"/>
          <w:b w:val="0"/>
          <w:sz w:val="20"/>
        </w:rPr>
        <w:t>列表页用于按会员信息快速定位目标账号，并查看账号状态、上级代理、在线情况和基础资金表现。页面支持创建玩家、进入会员详情和执行账号操作。</w:t>
      </w:r>
    </w:p>
    <w:p w14:paraId="320D6ED6">
      <w:pPr>
        <w:spacing w:after="40"/>
        <w:jc w:val="center"/>
      </w:pPr>
      <w:r>
        <w:drawing>
          <wp:inline distT="0" distB="0" distL="114300" distR="114300">
            <wp:extent cx="5852160" cy="2056130"/>
            <wp:effectExtent l="0" t="0" r="15240" b="127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pic:cNvPicPr>
                      <a:picLocks noChangeAspect="1"/>
                    </pic:cNvPicPr>
                  </pic:nvPicPr>
                  <pic:blipFill>
                    <a:blip r:embed="rId106"/>
                    <a:stretch>
                      <a:fillRect/>
                    </a:stretch>
                  </pic:blipFill>
                  <pic:spPr>
                    <a:xfrm>
                      <a:off x="0" y="0"/>
                      <a:ext cx="5852160" cy="2056164"/>
                    </a:xfrm>
                    <a:prstGeom prst="rect">
                      <a:avLst/>
                    </a:prstGeom>
                  </pic:spPr>
                </pic:pic>
              </a:graphicData>
            </a:graphic>
          </wp:inline>
        </w:drawing>
      </w:r>
    </w:p>
    <w:p w14:paraId="2F4BEF54">
      <w:pPr>
        <w:pStyle w:val="15"/>
        <w:spacing w:after="120"/>
        <w:jc w:val="center"/>
      </w:pPr>
      <w:r>
        <w:rPr>
          <w:rFonts w:ascii="微软雅黑" w:hAnsi="微软雅黑" w:eastAsia="微软雅黑"/>
          <w:b w:val="0"/>
          <w:color w:val="707E92"/>
          <w:sz w:val="18"/>
        </w:rPr>
        <w:t>图：所有会员列表页，用于筛选会员账号、查看会员状态，并进入详情或执行基础操作。</w:t>
      </w:r>
    </w:p>
    <w:p w14:paraId="36419FE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ID、用户名、手机号、用户代码、账户状态和是否在线筛选，适合客服、运营和风控在处理会员咨询时快速定位账号。</w:t>
      </w:r>
    </w:p>
    <w:p w14:paraId="4EA5FE6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：列表展示站点 ID、会员 ID、用户名、状态、用户编码、渠道编码、上级代理、注册时间、最后登录 IP、钱包余额、总充值金额、总提现金额、VIP 等级和 R 等级等信息。</w:t>
      </w:r>
    </w:p>
    <w:p w14:paraId="1D6CF090">
      <w:pPr>
        <w:pStyle w:val="16"/>
        <w:spacing w:after="60" w:line="276" w:lineRule="auto"/>
      </w:pPr>
      <w:r>
        <w:rPr>
          <w:rFonts w:ascii="微软雅黑" w:hAnsi="微软雅黑" w:eastAsia="微软雅黑"/>
          <w:b/>
          <w:color w:val="2F5597"/>
          <w:sz w:val="20"/>
        </w:rPr>
        <w:t>状态与在线信息</w:t>
      </w:r>
      <w:r>
        <w:rPr>
          <w:rFonts w:ascii="微软雅黑" w:hAnsi="微软雅黑" w:eastAsia="微软雅黑"/>
          <w:b w:val="0"/>
          <w:sz w:val="20"/>
        </w:rPr>
        <w:t>：账户状态和是否在线可用于快速区分启用、禁用、在线和离线会员。处理异常登录、资金咨询或活动领取问题时，建议先核对这两个字段。</w:t>
      </w:r>
    </w:p>
    <w:p w14:paraId="79E584DC">
      <w:pPr>
        <w:pStyle w:val="16"/>
        <w:spacing w:after="60" w:line="276" w:lineRule="auto"/>
      </w:pPr>
      <w:r>
        <w:rPr>
          <w:rFonts w:ascii="微软雅黑" w:hAnsi="微软雅黑" w:eastAsia="微软雅黑"/>
          <w:b/>
          <w:color w:val="2F5597"/>
          <w:sz w:val="20"/>
        </w:rPr>
        <w:t>导出与创建</w:t>
      </w:r>
      <w:r>
        <w:rPr>
          <w:rFonts w:ascii="微软雅黑" w:hAnsi="微软雅黑" w:eastAsia="微软雅黑"/>
          <w:b w:val="0"/>
          <w:sz w:val="20"/>
        </w:rPr>
        <w:t>：页面右上角支持导出报表和创建玩家。导出适合批量复核会员数据，创建玩家适合补录指定会员账号或按业务需要新增账号。</w:t>
      </w:r>
    </w:p>
    <w:p w14:paraId="3C8E96E4">
      <w:pPr>
        <w:pStyle w:val="5"/>
        <w:spacing w:after="60" w:line="276" w:lineRule="auto"/>
      </w:pPr>
      <w:r>
        <w:rPr>
          <w:rFonts w:ascii="微软雅黑" w:hAnsi="微软雅黑" w:eastAsia="微软雅黑"/>
          <w:b/>
          <w:i/>
          <w:color w:val="2F5597"/>
          <w:sz w:val="21"/>
        </w:rPr>
        <w:t>创建玩家</w:t>
      </w:r>
    </w:p>
    <w:p w14:paraId="74D46E09">
      <w:pPr>
        <w:spacing w:after="60" w:line="276" w:lineRule="auto"/>
      </w:pPr>
      <w:r>
        <w:t>创建玩家弹窗用于手工新增会员账号，适合补录指定会员资料或按业务需要创建新账号。</w:t>
      </w:r>
    </w:p>
    <w:p w14:paraId="3E04D55C">
      <w:pPr>
        <w:spacing w:after="40"/>
        <w:jc w:val="center"/>
      </w:pPr>
      <w:r>
        <w:drawing>
          <wp:inline distT="0" distB="0" distL="114300" distR="114300">
            <wp:extent cx="5852160" cy="4584065"/>
            <wp:effectExtent l="0" t="0" r="15240" b="698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a:picLocks noChangeAspect="1"/>
                    </pic:cNvPicPr>
                  </pic:nvPicPr>
                  <pic:blipFill>
                    <a:blip r:embed="rId107"/>
                    <a:stretch>
                      <a:fillRect/>
                    </a:stretch>
                  </pic:blipFill>
                  <pic:spPr>
                    <a:xfrm>
                      <a:off x="0" y="0"/>
                      <a:ext cx="5852160" cy="4584643"/>
                    </a:xfrm>
                    <a:prstGeom prst="rect">
                      <a:avLst/>
                    </a:prstGeom>
                  </pic:spPr>
                </pic:pic>
              </a:graphicData>
            </a:graphic>
          </wp:inline>
        </w:drawing>
      </w:r>
    </w:p>
    <w:p w14:paraId="0E2325B8">
      <w:pPr>
        <w:pStyle w:val="15"/>
        <w:spacing w:after="120"/>
        <w:jc w:val="center"/>
      </w:pPr>
      <w:r>
        <w:rPr>
          <w:rFonts w:ascii="微软雅黑" w:hAnsi="微软雅黑" w:eastAsia="微软雅黑"/>
          <w:b w:val="0"/>
          <w:color w:val="707E92"/>
          <w:sz w:val="18"/>
        </w:rPr>
        <w:t>图：创建玩家弹窗，用于填写用户名、手机号、密码和渠道信息。</w:t>
      </w:r>
    </w:p>
    <w:p w14:paraId="26F4640F">
      <w:pPr>
        <w:pStyle w:val="16"/>
        <w:spacing w:after="60" w:line="276" w:lineRule="auto"/>
      </w:pPr>
      <w:r>
        <w:rPr>
          <w:rFonts w:ascii="微软雅黑" w:hAnsi="微软雅黑" w:eastAsia="微软雅黑"/>
          <w:b/>
          <w:color w:val="2F5597"/>
          <w:sz w:val="20"/>
        </w:rPr>
        <w:t>用户名与手机号</w:t>
      </w:r>
      <w:r>
        <w:rPr>
          <w:rFonts w:ascii="微软雅黑" w:hAnsi="微软雅黑" w:eastAsia="微软雅黑"/>
          <w:b w:val="0"/>
          <w:sz w:val="20"/>
        </w:rPr>
        <w:t>：用户名和手机号至少填写一项。填写前应确认命名规则、手机号格式和是否与现有会员重复，避免创建后无法区分账号来源。</w:t>
      </w:r>
    </w:p>
    <w:p w14:paraId="2573013E">
      <w:pPr>
        <w:pStyle w:val="16"/>
        <w:spacing w:after="60" w:line="276" w:lineRule="auto"/>
      </w:pPr>
      <w:r>
        <w:rPr>
          <w:rFonts w:ascii="微软雅黑" w:hAnsi="微软雅黑" w:eastAsia="微软雅黑"/>
          <w:b/>
          <w:color w:val="2F5597"/>
          <w:sz w:val="20"/>
        </w:rPr>
        <w:t>登录密码</w:t>
      </w:r>
      <w:r>
        <w:rPr>
          <w:rFonts w:ascii="微软雅黑" w:hAnsi="微软雅黑" w:eastAsia="微软雅黑"/>
          <w:b w:val="0"/>
          <w:sz w:val="20"/>
        </w:rPr>
        <w:t>：密码用于会员首次登录。建议按站点安全要求设置初始密码，并在需要时通过后续账号安全功能引导会员修改。</w:t>
      </w:r>
    </w:p>
    <w:p w14:paraId="39480E34">
      <w:pPr>
        <w:pStyle w:val="16"/>
        <w:spacing w:after="60" w:line="276" w:lineRule="auto"/>
      </w:pPr>
      <w:r>
        <w:rPr>
          <w:rFonts w:ascii="微软雅黑" w:hAnsi="微软雅黑" w:eastAsia="微软雅黑"/>
          <w:b/>
          <w:color w:val="2F5597"/>
          <w:sz w:val="20"/>
        </w:rPr>
        <w:t>渠道</w:t>
      </w:r>
      <w:r>
        <w:rPr>
          <w:rFonts w:ascii="微软雅黑" w:hAnsi="微软雅黑" w:eastAsia="微软雅黑"/>
          <w:b w:val="0"/>
          <w:sz w:val="20"/>
        </w:rPr>
        <w:t>：渠道字段用于标识账号归属来源，适合推广、代理或活动投放场景区分后续数据口径。</w:t>
      </w:r>
    </w:p>
    <w:p w14:paraId="7AC811B5">
      <w:pPr>
        <w:pStyle w:val="5"/>
        <w:spacing w:after="60" w:line="276" w:lineRule="auto"/>
      </w:pPr>
      <w:r>
        <w:rPr>
          <w:rFonts w:ascii="微软雅黑" w:hAnsi="微软雅黑" w:eastAsia="微软雅黑"/>
          <w:b/>
          <w:i/>
          <w:color w:val="2F5597"/>
          <w:sz w:val="21"/>
        </w:rPr>
        <w:t>创建结果</w:t>
      </w:r>
    </w:p>
    <w:p w14:paraId="3268E7B9">
      <w:pPr>
        <w:spacing w:after="60" w:line="276" w:lineRule="auto"/>
      </w:pPr>
      <w:r>
        <w:rPr>
          <w:rFonts w:ascii="微软雅黑" w:hAnsi="微软雅黑" w:eastAsia="微软雅黑"/>
          <w:b w:val="0"/>
          <w:sz w:val="20"/>
        </w:rPr>
        <w:t>提交成功后，系统会返回新建账号和初始密码，便于运营立即登记或发送给指定使用人员。</w:t>
      </w:r>
    </w:p>
    <w:p w14:paraId="3AEF4201">
      <w:pPr>
        <w:spacing w:after="40"/>
        <w:jc w:val="center"/>
      </w:pPr>
      <w:r>
        <w:drawing>
          <wp:inline distT="0" distB="0" distL="114300" distR="114300">
            <wp:extent cx="5852160" cy="3764915"/>
            <wp:effectExtent l="0" t="0" r="15240" b="698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pic:cNvPicPr>
                  </pic:nvPicPr>
                  <pic:blipFill>
                    <a:blip r:embed="rId108"/>
                    <a:stretch>
                      <a:fillRect/>
                    </a:stretch>
                  </pic:blipFill>
                  <pic:spPr>
                    <a:xfrm>
                      <a:off x="0" y="0"/>
                      <a:ext cx="5852160" cy="3765026"/>
                    </a:xfrm>
                    <a:prstGeom prst="rect">
                      <a:avLst/>
                    </a:prstGeom>
                  </pic:spPr>
                </pic:pic>
              </a:graphicData>
            </a:graphic>
          </wp:inline>
        </w:drawing>
      </w:r>
    </w:p>
    <w:p w14:paraId="021EE70A">
      <w:pPr>
        <w:pStyle w:val="15"/>
        <w:spacing w:after="120"/>
        <w:jc w:val="center"/>
      </w:pPr>
      <w:r>
        <w:rPr>
          <w:rFonts w:ascii="微软雅黑" w:hAnsi="微软雅黑" w:eastAsia="微软雅黑"/>
          <w:b w:val="0"/>
          <w:color w:val="707E92"/>
          <w:sz w:val="18"/>
        </w:rPr>
        <w:t>图：账号创建结果弹窗，用于查看新建账号和初始密码，并复制账号密码。</w:t>
      </w:r>
    </w:p>
    <w:p w14:paraId="424D5AE5">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：结果页会展示生成后的账号和密码。关闭弹窗前建议先完成登记或复制，避免后续再次回查增加沟通成本。</w:t>
      </w:r>
    </w:p>
    <w:p w14:paraId="37C51C98">
      <w:pPr>
        <w:pStyle w:val="16"/>
        <w:spacing w:after="60" w:line="276" w:lineRule="auto"/>
      </w:pPr>
      <w:r>
        <w:rPr>
          <w:rFonts w:ascii="微软雅黑" w:hAnsi="微软雅黑" w:eastAsia="微软雅黑"/>
          <w:b/>
          <w:color w:val="2F5597"/>
          <w:sz w:val="20"/>
        </w:rPr>
        <w:t>复制账号密码</w:t>
      </w:r>
      <w:r>
        <w:rPr>
          <w:rFonts w:ascii="微软雅黑" w:hAnsi="微软雅黑" w:eastAsia="微软雅黑"/>
          <w:b w:val="0"/>
          <w:sz w:val="20"/>
        </w:rPr>
        <w:t>：复制功能适合快速发送给客服或相关业务对接人员。若账号涉及真实用户使用，应同步提醒对方首次登录后尽快修改密码。</w:t>
      </w:r>
    </w:p>
    <w:p w14:paraId="279F5540">
      <w:pPr>
        <w:pStyle w:val="5"/>
        <w:spacing w:after="60" w:line="276" w:lineRule="auto"/>
      </w:pPr>
      <w:r>
        <w:rPr>
          <w:rFonts w:ascii="微软雅黑" w:hAnsi="微软雅黑" w:eastAsia="微软雅黑"/>
          <w:b/>
          <w:i/>
          <w:color w:val="2F5597"/>
          <w:sz w:val="21"/>
        </w:rPr>
        <w:t>会员详情</w:t>
      </w:r>
    </w:p>
    <w:p w14:paraId="03E3C5A8">
      <w:pPr>
        <w:spacing w:after="60" w:line="276" w:lineRule="auto"/>
      </w:pPr>
      <w:r>
        <w:rPr>
          <w:rFonts w:ascii="微软雅黑" w:hAnsi="微软雅黑" w:eastAsia="微软雅黑"/>
          <w:b w:val="0"/>
          <w:sz w:val="20"/>
        </w:rPr>
        <w:t>会员详情用于集中查看会员基础信息、资金信息、充值提现表现、账号安全和扩展页签信息，是处理会员问题时的主要核查界面。</w:t>
      </w:r>
    </w:p>
    <w:p w14:paraId="53EEB1A2">
      <w:pPr>
        <w:spacing w:after="40"/>
        <w:jc w:val="center"/>
      </w:pPr>
      <w:r>
        <w:drawing>
          <wp:inline distT="0" distB="0" distL="114300" distR="114300">
            <wp:extent cx="5852160" cy="4138295"/>
            <wp:effectExtent l="0" t="0" r="15240" b="14605"/>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pic:cNvPicPr>
                  </pic:nvPicPr>
                  <pic:blipFill>
                    <a:blip r:embed="rId109"/>
                    <a:stretch>
                      <a:fillRect/>
                    </a:stretch>
                  </pic:blipFill>
                  <pic:spPr>
                    <a:xfrm>
                      <a:off x="0" y="0"/>
                      <a:ext cx="5852160" cy="4138847"/>
                    </a:xfrm>
                    <a:prstGeom prst="rect">
                      <a:avLst/>
                    </a:prstGeom>
                  </pic:spPr>
                </pic:pic>
              </a:graphicData>
            </a:graphic>
          </wp:inline>
        </w:drawing>
      </w:r>
    </w:p>
    <w:p w14:paraId="17993F5C">
      <w:pPr>
        <w:pStyle w:val="15"/>
        <w:spacing w:after="120"/>
        <w:jc w:val="center"/>
      </w:pPr>
      <w:r>
        <w:rPr>
          <w:rFonts w:ascii="微软雅黑" w:hAnsi="微软雅黑" w:eastAsia="微软雅黑"/>
          <w:b w:val="0"/>
          <w:color w:val="707E92"/>
          <w:sz w:val="18"/>
        </w:rPr>
        <w:t>图：会员详情弹窗，用于查看会员信息、资金概况、账户安全和各类明细页签。</w:t>
      </w:r>
    </w:p>
    <w:p w14:paraId="21C4FCCB">
      <w:pPr>
        <w:pStyle w:val="16"/>
        <w:spacing w:after="60" w:line="276" w:lineRule="auto"/>
      </w:pPr>
      <w:r>
        <w:rPr>
          <w:rFonts w:ascii="微软雅黑" w:hAnsi="微软雅黑" w:eastAsia="微软雅黑"/>
          <w:b/>
          <w:color w:val="2F5597"/>
          <w:sz w:val="20"/>
        </w:rPr>
        <w:t>会员信息</w:t>
      </w:r>
      <w:r>
        <w:rPr>
          <w:rFonts w:ascii="微软雅黑" w:hAnsi="微软雅黑" w:eastAsia="微软雅黑"/>
          <w:b w:val="0"/>
          <w:sz w:val="20"/>
        </w:rPr>
        <w:t>：会员信息页签集中展示会员账号、会员 ID、上级代理、会员等级、账号状态、注册时间、注册 IP 和最后登录信息，适合先做身份确认。</w:t>
      </w:r>
    </w:p>
    <w:p w14:paraId="7B06B58F">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资金与充值信息</w:t>
      </w:r>
      <w:r>
        <w:rPr>
          <w:rFonts w:ascii="微软雅黑" w:hAnsi="微软雅黑" w:eastAsia="微软雅黑"/>
          <w:b w:val="0"/>
          <w:sz w:val="20"/>
        </w:rPr>
        <w:t>：右侧卡片会展示会员余额、充值次数、充值金额、提现次数、提现金额、今日充值、今日提现和充提差额，可用于快速判断会员当前资金特征。</w:t>
      </w:r>
    </w:p>
    <w:p w14:paraId="0DB66EC2">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操作信息</w:t>
      </w:r>
      <w:r>
        <w:rPr>
          <w:rFonts w:ascii="微软雅黑" w:hAnsi="微软雅黑" w:eastAsia="微软雅黑"/>
          <w:b w:val="0"/>
          <w:sz w:val="20"/>
        </w:rPr>
        <w:t>：操作信息包含总有效投注、今日有效投注、总输赢、今日输赢、代理佣金和活动奖励等数据，适合联查会员活跃度和活动收益情况。</w:t>
      </w:r>
    </w:p>
    <w:p w14:paraId="1AF9E8A5">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账户安全</w:t>
      </w:r>
      <w:r>
        <w:rPr>
          <w:rFonts w:ascii="微软雅黑" w:hAnsi="微软雅黑" w:eastAsia="微软雅黑"/>
          <w:b w:val="0"/>
          <w:sz w:val="20"/>
        </w:rPr>
        <w:t>：账户安全区域可处理登录密码和提现密码相关操作。调整前应确认当前需求来源，避免误改真实会员的安全信息。</w:t>
      </w:r>
    </w:p>
    <w:p w14:paraId="76CD38C9">
      <w:pPr>
        <w:pStyle w:val="16"/>
        <w:spacing w:after="60" w:line="276" w:lineRule="auto"/>
      </w:pPr>
      <w:r>
        <w:rPr>
          <w:rFonts w:ascii="微软雅黑" w:hAnsi="微软雅黑" w:eastAsia="微软雅黑"/>
          <w:b/>
          <w:color w:val="2F5597"/>
          <w:sz w:val="20"/>
        </w:rPr>
        <w:t>提现账户</w:t>
      </w:r>
      <w:r>
        <w:rPr>
          <w:rFonts w:ascii="微软雅黑" w:hAnsi="微软雅黑" w:eastAsia="微软雅黑"/>
          <w:b w:val="0"/>
          <w:sz w:val="20"/>
        </w:rPr>
        <w:t>：提现账户页签用于查看会员已绑定的支付方式、收款账号、创建时间和更改时间，可用于核对银行卡、USDT、PIX 等出款账户资料，处理提现异常或会员换卡问题时应优先查看此页。</w:t>
      </w:r>
    </w:p>
    <w:p w14:paraId="7FBABE84">
      <w:pPr>
        <w:pStyle w:val="16"/>
        <w:spacing w:after="60" w:line="276" w:lineRule="auto"/>
      </w:pPr>
      <w:r>
        <w:rPr>
          <w:rFonts w:ascii="微软雅黑" w:hAnsi="微软雅黑" w:eastAsia="微软雅黑"/>
          <w:b/>
          <w:color w:val="2F5597"/>
          <w:sz w:val="20"/>
        </w:rPr>
        <w:t>账户交易</w:t>
      </w:r>
      <w:r>
        <w:rPr>
          <w:rFonts w:ascii="微软雅黑" w:hAnsi="微软雅黑" w:eastAsia="微软雅黑"/>
          <w:b w:val="0"/>
          <w:sz w:val="20"/>
        </w:rPr>
        <w:t>：账户交易页签用于查询会员余额变动明细，支持按时间范围和交易类型筛选，并查看单号、交易时间、类型、变动前余额、变动金额、变动后余额和来源，适合排查账变争议和资金异常。</w:t>
      </w:r>
    </w:p>
    <w:p w14:paraId="413B3470">
      <w:pPr>
        <w:pStyle w:val="16"/>
        <w:spacing w:after="60" w:line="276" w:lineRule="auto"/>
      </w:pPr>
      <w:r>
        <w:rPr>
          <w:rFonts w:ascii="微软雅黑" w:hAnsi="微软雅黑" w:eastAsia="微软雅黑"/>
          <w:b/>
          <w:color w:val="2F5597"/>
          <w:sz w:val="20"/>
        </w:rPr>
        <w:t>投注统计</w:t>
      </w:r>
      <w:r>
        <w:rPr>
          <w:rFonts w:ascii="微软雅黑" w:hAnsi="微软雅黑" w:eastAsia="微软雅黑"/>
          <w:b w:val="0"/>
          <w:sz w:val="20"/>
        </w:rPr>
        <w:t>：投注统计页签用于汇总会员在各游戏类型和供应商下的注单数量、投注金额和会员输赢，同时展示占单量与获利比，适合判断玩家偏好的产品类型、近期活跃度和整体盈亏表现。</w:t>
      </w:r>
    </w:p>
    <w:p w14:paraId="48914FDB">
      <w:pPr>
        <w:pStyle w:val="16"/>
        <w:spacing w:after="60" w:line="276" w:lineRule="auto"/>
      </w:pPr>
      <w:r>
        <w:rPr>
          <w:rFonts w:ascii="微软雅黑" w:hAnsi="微软雅黑" w:eastAsia="微软雅黑"/>
          <w:b/>
          <w:color w:val="2F5597"/>
          <w:sz w:val="20"/>
        </w:rPr>
        <w:t>会员消息</w:t>
      </w:r>
      <w:r>
        <w:rPr>
          <w:rFonts w:ascii="微软雅黑" w:hAnsi="微软雅黑" w:eastAsia="微软雅黑"/>
          <w:b w:val="0"/>
          <w:sz w:val="20"/>
        </w:rPr>
        <w:t>：会员消息页签用于查看或新增发送给该会员的系统消息、资金通知和活动通知，可核对消息标题、内容、已读未读状态和发送时间，适合处理会员未收到通知或活动提醒的咨询。</w:t>
      </w:r>
    </w:p>
    <w:p w14:paraId="4E22E4CB">
      <w:pPr>
        <w:pStyle w:val="16"/>
        <w:spacing w:after="60" w:line="276" w:lineRule="auto"/>
      </w:pPr>
      <w:r>
        <w:rPr>
          <w:rFonts w:ascii="微软雅黑" w:hAnsi="微软雅黑" w:eastAsia="微软雅黑"/>
          <w:b/>
          <w:color w:val="2F5597"/>
          <w:sz w:val="20"/>
        </w:rPr>
        <w:t>关联账号</w:t>
      </w:r>
      <w:r>
        <w:rPr>
          <w:rFonts w:ascii="微软雅黑" w:hAnsi="微软雅黑" w:eastAsia="微软雅黑"/>
          <w:b w:val="0"/>
          <w:sz w:val="20"/>
        </w:rPr>
        <w:t>：关联账号页签用于查看设备、IP 等维度命中的关联记录，重点字段包括关联时间、关联类型、风险值、同关联人数、关联用户名称和触发方式，适合风控排查批量关联、限制领取优惠和限制提现等场景。</w:t>
      </w:r>
    </w:p>
    <w:p w14:paraId="0B48461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：定位会员后，建议先在详情页完成身份、状态和资金总览核对，再继续进入账变、充值、提现或活动明细，减少跨页面反复检索。</w:t>
      </w:r>
    </w:p>
    <w:p w14:paraId="053421E3">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VIP设置</w:t>
      </w:r>
    </w:p>
    <w:p w14:paraId="3A7249E9">
      <w:pPr>
        <w:spacing w:after="60" w:line="276" w:lineRule="auto"/>
      </w:pPr>
      <w:r>
        <w:rPr>
          <w:rFonts w:ascii="微软雅黑" w:hAnsi="微软雅黑" w:eastAsia="微软雅黑"/>
          <w:b w:val="0"/>
          <w:sz w:val="20"/>
        </w:rPr>
        <w:t>VIP设置用于维护会员等级规则、保级与降级条件、各档位俸禄以及大 R 分层标准，是统一管理会员成长体系和高价值用户分层策略的核心页面。</w:t>
      </w:r>
    </w:p>
    <w:p w14:paraId="1C0529F2">
      <w:pPr>
        <w:pStyle w:val="5"/>
        <w:spacing w:after="60" w:line="276" w:lineRule="auto"/>
      </w:pPr>
      <w:r>
        <w:rPr>
          <w:rFonts w:ascii="微软雅黑" w:hAnsi="微软雅黑" w:eastAsia="微软雅黑"/>
          <w:b/>
          <w:i/>
          <w:color w:val="2F5597"/>
          <w:sz w:val="21"/>
        </w:rPr>
        <w:t>VIP晋级条件</w:t>
      </w:r>
    </w:p>
    <w:p w14:paraId="48F2BAF4">
      <w:pPr>
        <w:spacing w:after="60" w:line="276" w:lineRule="auto"/>
      </w:pPr>
      <w:r>
        <w:rPr>
          <w:rFonts w:ascii="微软雅黑" w:hAnsi="微软雅黑" w:eastAsia="微软雅黑"/>
          <w:b w:val="0"/>
          <w:sz w:val="20"/>
        </w:rPr>
        <w:t>VIP晋级条件页签用于定义会员从 VIP1 到更高等级的累计充值、打码条件和升级奖励金额。</w:t>
      </w:r>
    </w:p>
    <w:p w14:paraId="6457E5DB">
      <w:pPr>
        <w:spacing w:after="40"/>
        <w:jc w:val="center"/>
      </w:pPr>
      <w:r>
        <w:drawing>
          <wp:inline distT="0" distB="0" distL="114300" distR="114300">
            <wp:extent cx="5852160" cy="2402205"/>
            <wp:effectExtent l="0" t="0" r="15240" b="1714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pic:cNvPicPr>
                  </pic:nvPicPr>
                  <pic:blipFill>
                    <a:blip r:embed="rId110"/>
                    <a:stretch>
                      <a:fillRect/>
                    </a:stretch>
                  </pic:blipFill>
                  <pic:spPr>
                    <a:xfrm>
                      <a:off x="0" y="0"/>
                      <a:ext cx="5852160" cy="2402828"/>
                    </a:xfrm>
                    <a:prstGeom prst="rect">
                      <a:avLst/>
                    </a:prstGeom>
                  </pic:spPr>
                </pic:pic>
              </a:graphicData>
            </a:graphic>
          </wp:inline>
        </w:drawing>
      </w:r>
    </w:p>
    <w:p w14:paraId="6CE6BDFE">
      <w:pPr>
        <w:pStyle w:val="15"/>
        <w:spacing w:after="120"/>
        <w:jc w:val="center"/>
      </w:pPr>
      <w:r>
        <w:rPr>
          <w:rFonts w:ascii="微软雅黑" w:hAnsi="微软雅黑" w:eastAsia="微软雅黑"/>
          <w:b w:val="0"/>
          <w:color w:val="707E92"/>
          <w:sz w:val="18"/>
        </w:rPr>
        <w:t>图：VIP 晋级条件页签，用于配置各 VIP 等级的累计充值、打码要求和奖励金额。</w:t>
      </w:r>
    </w:p>
    <w:p w14:paraId="4070A904">
      <w:pPr>
        <w:pStyle w:val="16"/>
        <w:spacing w:after="60" w:line="276" w:lineRule="auto"/>
      </w:pPr>
      <w:r>
        <w:rPr>
          <w:rFonts w:ascii="微软雅黑" w:hAnsi="微软雅黑" w:eastAsia="微软雅黑"/>
          <w:b/>
          <w:color w:val="2F5597"/>
          <w:sz w:val="20"/>
        </w:rPr>
        <w:t>累计充值</w:t>
      </w:r>
      <w:r>
        <w:rPr>
          <w:rFonts w:ascii="微软雅黑" w:hAnsi="微软雅黑" w:eastAsia="微软雅黑"/>
          <w:b w:val="0"/>
          <w:sz w:val="20"/>
        </w:rPr>
        <w:t>：用于定义会员晋级到当前 VIP 等级前需要达到的充值门槛，应与站点会员成长策略保持一致。</w:t>
      </w:r>
    </w:p>
    <w:p w14:paraId="405466B2">
      <w:pPr>
        <w:pStyle w:val="16"/>
        <w:spacing w:after="60" w:line="276" w:lineRule="auto"/>
      </w:pPr>
      <w:r>
        <w:rPr>
          <w:rFonts w:ascii="微软雅黑" w:hAnsi="微软雅黑" w:eastAsia="微软雅黑"/>
          <w:b/>
          <w:color w:val="2F5597"/>
          <w:sz w:val="20"/>
        </w:rPr>
        <w:t>打码条件</w:t>
      </w:r>
      <w:r>
        <w:rPr>
          <w:rFonts w:ascii="微软雅黑" w:hAnsi="微软雅黑" w:eastAsia="微软雅黑"/>
          <w:b w:val="0"/>
          <w:sz w:val="20"/>
        </w:rPr>
        <w:t>：用于限制会员在满足充值后，还需完成对应打码量才可升级。调整时应同步评估活动赠送、返水和提现规则的联动影响。</w:t>
      </w:r>
    </w:p>
    <w:p w14:paraId="061F6633">
      <w:pPr>
        <w:pStyle w:val="16"/>
        <w:spacing w:after="60" w:line="276" w:lineRule="auto"/>
      </w:pPr>
      <w:r>
        <w:rPr>
          <w:rFonts w:ascii="微软雅黑" w:hAnsi="微软雅黑" w:eastAsia="微软雅黑"/>
          <w:b/>
          <w:color w:val="2F5597"/>
          <w:sz w:val="20"/>
        </w:rPr>
        <w:t>奖励金额</w:t>
      </w:r>
      <w:r>
        <w:rPr>
          <w:rFonts w:ascii="微软雅黑" w:hAnsi="微软雅黑" w:eastAsia="微软雅黑"/>
          <w:b w:val="0"/>
          <w:sz w:val="20"/>
        </w:rPr>
        <w:t>：升级奖励用于定义会员达到等级后的权益金额。保存前应确认预算口径，避免奖励配置与活动计划冲突。</w:t>
      </w:r>
    </w:p>
    <w:p w14:paraId="0C3B3DEC">
      <w:pPr>
        <w:pStyle w:val="5"/>
        <w:spacing w:after="60" w:line="276" w:lineRule="auto"/>
      </w:pPr>
      <w:r>
        <w:rPr>
          <w:rFonts w:ascii="微软雅黑" w:hAnsi="微软雅黑" w:eastAsia="微软雅黑"/>
          <w:b/>
          <w:i/>
          <w:color w:val="2F5597"/>
          <w:sz w:val="21"/>
        </w:rPr>
        <w:t>VIP降级配置</w:t>
      </w:r>
    </w:p>
    <w:p w14:paraId="0C46990E">
      <w:pPr>
        <w:spacing w:after="60" w:line="276" w:lineRule="auto"/>
      </w:pPr>
      <w:r>
        <w:rPr>
          <w:rFonts w:ascii="微软雅黑" w:hAnsi="微软雅黑" w:eastAsia="微软雅黑"/>
          <w:b w:val="0"/>
          <w:sz w:val="20"/>
        </w:rPr>
        <w:t>VIP降级配置页签用于维护保级充值、保级打码和未达标后的降级结果，同时可通过开关控制该配置是否生效。</w:t>
      </w:r>
    </w:p>
    <w:p w14:paraId="2C40994C">
      <w:pPr>
        <w:spacing w:after="40"/>
        <w:jc w:val="center"/>
      </w:pPr>
      <w:r>
        <w:drawing>
          <wp:inline distT="0" distB="0" distL="114300" distR="114300">
            <wp:extent cx="5852160" cy="2906395"/>
            <wp:effectExtent l="0" t="0" r="15240" b="825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91"/>
                    <pic:cNvPicPr>
                      <a:picLocks noChangeAspect="1"/>
                    </pic:cNvPicPr>
                  </pic:nvPicPr>
                  <pic:blipFill>
                    <a:blip r:embed="rId111"/>
                    <a:stretch>
                      <a:fillRect/>
                    </a:stretch>
                  </pic:blipFill>
                  <pic:spPr>
                    <a:xfrm>
                      <a:off x="0" y="0"/>
                      <a:ext cx="5852160" cy="2906418"/>
                    </a:xfrm>
                    <a:prstGeom prst="rect">
                      <a:avLst/>
                    </a:prstGeom>
                  </pic:spPr>
                </pic:pic>
              </a:graphicData>
            </a:graphic>
          </wp:inline>
        </w:drawing>
      </w:r>
    </w:p>
    <w:p w14:paraId="39700F48">
      <w:pPr>
        <w:pStyle w:val="15"/>
        <w:spacing w:after="120"/>
        <w:jc w:val="center"/>
      </w:pPr>
      <w:r>
        <w:rPr>
          <w:rFonts w:ascii="微软雅黑" w:hAnsi="微软雅黑" w:eastAsia="微软雅黑"/>
          <w:b w:val="0"/>
          <w:color w:val="707E92"/>
          <w:sz w:val="18"/>
        </w:rPr>
        <w:t>图：VIP 降级配置页签，用于设置保级条件、降级规则和启用状态。</w:t>
      </w:r>
    </w:p>
    <w:p w14:paraId="1C4D03A8">
      <w:pPr>
        <w:pStyle w:val="16"/>
        <w:spacing w:after="60" w:line="276" w:lineRule="auto"/>
      </w:pPr>
      <w:r>
        <w:rPr>
          <w:rFonts w:ascii="微软雅黑" w:hAnsi="微软雅黑" w:eastAsia="微软雅黑"/>
          <w:b/>
          <w:color w:val="2F5597"/>
          <w:sz w:val="20"/>
        </w:rPr>
        <w:t>保级充值条件</w:t>
      </w:r>
      <w:r>
        <w:rPr>
          <w:rFonts w:ascii="微软雅黑" w:hAnsi="微软雅黑" w:eastAsia="微软雅黑"/>
          <w:b w:val="0"/>
          <w:sz w:val="20"/>
        </w:rPr>
        <w:t>：用于定义会员保持当前 VIP 等级需要完成的充值门槛，适合周期性维持会员等级体系。</w:t>
      </w:r>
    </w:p>
    <w:p w14:paraId="27A213F5">
      <w:pPr>
        <w:pStyle w:val="16"/>
        <w:spacing w:after="60" w:line="276" w:lineRule="auto"/>
      </w:pPr>
      <w:r>
        <w:rPr>
          <w:rFonts w:ascii="微软雅黑" w:hAnsi="微软雅黑" w:eastAsia="微软雅黑"/>
          <w:b/>
          <w:color w:val="2F5597"/>
          <w:sz w:val="20"/>
        </w:rPr>
        <w:t>保级打码条件</w:t>
      </w:r>
      <w:r>
        <w:rPr>
          <w:rFonts w:ascii="微软雅黑" w:hAnsi="微软雅黑" w:eastAsia="微软雅黑"/>
          <w:b w:val="0"/>
          <w:sz w:val="20"/>
        </w:rPr>
        <w:t>：用于定义保级所需完成的流水要求。若站点重视活跃质量，可结合充值门槛一起控制等级留存。</w:t>
      </w:r>
    </w:p>
    <w:p w14:paraId="0C6449CE">
      <w:pPr>
        <w:pStyle w:val="16"/>
        <w:spacing w:after="60" w:line="276" w:lineRule="auto"/>
      </w:pPr>
      <w:r>
        <w:rPr>
          <w:rFonts w:ascii="微软雅黑" w:hAnsi="微软雅黑" w:eastAsia="微软雅黑"/>
          <w:b/>
          <w:color w:val="2F5597"/>
          <w:sz w:val="20"/>
        </w:rPr>
        <w:t>未达标降至</w:t>
      </w:r>
      <w:r>
        <w:rPr>
          <w:rFonts w:ascii="微软雅黑" w:hAnsi="微软雅黑" w:eastAsia="微软雅黑"/>
          <w:b w:val="0"/>
          <w:sz w:val="20"/>
        </w:rPr>
        <w:t>：用于设置会员未满足保级条件时应下调到的目标等级，保存前应确认不会造成大批会员等级异常波动。</w:t>
      </w:r>
    </w:p>
    <w:p w14:paraId="17D62554">
      <w:pPr>
        <w:pStyle w:val="16"/>
        <w:spacing w:after="60" w:line="276" w:lineRule="auto"/>
      </w:pPr>
      <w:r>
        <w:rPr>
          <w:rFonts w:ascii="微软雅黑" w:hAnsi="微软雅黑" w:eastAsia="微软雅黑"/>
          <w:b/>
          <w:color w:val="2F5597"/>
          <w:sz w:val="20"/>
        </w:rPr>
        <w:t>配置开关</w:t>
      </w:r>
      <w:r>
        <w:rPr>
          <w:rFonts w:ascii="微软雅黑" w:hAnsi="微软雅黑" w:eastAsia="微软雅黑"/>
          <w:b w:val="0"/>
          <w:sz w:val="20"/>
        </w:rPr>
        <w:t>：开关用于控制当前降级规则是否生效。正式启用前应先同步客服和运营口径，避免会员咨询时说明不一致。</w:t>
      </w:r>
    </w:p>
    <w:p w14:paraId="3BF91F6D">
      <w:pPr>
        <w:pStyle w:val="5"/>
        <w:spacing w:after="60" w:line="276" w:lineRule="auto"/>
      </w:pPr>
      <w:r>
        <w:rPr>
          <w:rFonts w:ascii="微软雅黑" w:hAnsi="微软雅黑" w:eastAsia="微软雅黑"/>
          <w:b/>
          <w:i/>
          <w:color w:val="2F5597"/>
          <w:sz w:val="21"/>
        </w:rPr>
        <w:t>日俸禄</w:t>
      </w:r>
    </w:p>
    <w:p w14:paraId="402CA02C">
      <w:pPr>
        <w:spacing w:after="60" w:line="276" w:lineRule="auto"/>
      </w:pPr>
      <w:r>
        <w:rPr>
          <w:rFonts w:ascii="微软雅黑" w:hAnsi="微软雅黑" w:eastAsia="微软雅黑"/>
          <w:b w:val="0"/>
          <w:sz w:val="20"/>
        </w:rPr>
        <w:t>日俸禄页签用于定义各 VIP 等级按日发放的奖励条件和金额，并可独立控制是否启用。</w:t>
      </w:r>
    </w:p>
    <w:p w14:paraId="6A932107">
      <w:pPr>
        <w:spacing w:after="40"/>
        <w:jc w:val="center"/>
      </w:pPr>
      <w:r>
        <w:drawing>
          <wp:inline distT="0" distB="0" distL="114300" distR="114300">
            <wp:extent cx="5852160" cy="2818765"/>
            <wp:effectExtent l="0" t="0" r="15240" b="63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112"/>
                    <a:stretch>
                      <a:fillRect/>
                    </a:stretch>
                  </pic:blipFill>
                  <pic:spPr>
                    <a:xfrm>
                      <a:off x="0" y="0"/>
                      <a:ext cx="5852160" cy="2818767"/>
                    </a:xfrm>
                    <a:prstGeom prst="rect">
                      <a:avLst/>
                    </a:prstGeom>
                  </pic:spPr>
                </pic:pic>
              </a:graphicData>
            </a:graphic>
          </wp:inline>
        </w:drawing>
      </w:r>
    </w:p>
    <w:p w14:paraId="51A04FF3">
      <w:pPr>
        <w:pStyle w:val="15"/>
        <w:spacing w:after="120"/>
        <w:jc w:val="center"/>
      </w:pPr>
      <w:r>
        <w:rPr>
          <w:rFonts w:ascii="微软雅黑" w:hAnsi="微软雅黑" w:eastAsia="微软雅黑"/>
          <w:b w:val="0"/>
          <w:color w:val="707E92"/>
          <w:sz w:val="18"/>
        </w:rPr>
        <w:t>图：日俸禄页签，用于配置各 VIP 等级的日奖励门槛、打码条件和俸禄金额。</w:t>
      </w:r>
    </w:p>
    <w:p w14:paraId="58AA2729">
      <w:pPr>
        <w:pStyle w:val="16"/>
        <w:spacing w:after="60" w:line="276" w:lineRule="auto"/>
      </w:pPr>
      <w:r>
        <w:rPr>
          <w:rFonts w:ascii="微软雅黑" w:hAnsi="微软雅黑" w:eastAsia="微软雅黑"/>
          <w:b/>
          <w:color w:val="2F5597"/>
          <w:sz w:val="20"/>
        </w:rPr>
        <w:t>奖励门槛</w:t>
      </w:r>
      <w:r>
        <w:rPr>
          <w:rFonts w:ascii="微软雅黑" w:hAnsi="微软雅黑" w:eastAsia="微软雅黑"/>
          <w:b w:val="0"/>
          <w:sz w:val="20"/>
        </w:rPr>
        <w:t>：按 VIP 等级分别配置累计充值和打码条件，用于限定会员满足条件后才能领取日俸禄。</w:t>
      </w:r>
    </w:p>
    <w:p w14:paraId="0F841B15">
      <w:pPr>
        <w:pStyle w:val="16"/>
        <w:spacing w:after="60" w:line="276" w:lineRule="auto"/>
      </w:pPr>
      <w:r>
        <w:rPr>
          <w:rFonts w:ascii="微软雅黑" w:hAnsi="微软雅黑" w:eastAsia="微软雅黑"/>
          <w:b/>
          <w:color w:val="2F5597"/>
          <w:sz w:val="20"/>
        </w:rPr>
        <w:t>俸禄金额</w:t>
      </w:r>
      <w:r>
        <w:rPr>
          <w:rFonts w:ascii="微软雅黑" w:hAnsi="微软雅黑" w:eastAsia="微软雅黑"/>
          <w:b w:val="0"/>
          <w:sz w:val="20"/>
        </w:rPr>
        <w:t>：定义每日可领取金额，适合用于增强高活跃会员的日常留存。调整时建议同步评估预算消耗。</w:t>
      </w:r>
    </w:p>
    <w:p w14:paraId="02A95D7E">
      <w:pPr>
        <w:pStyle w:val="5"/>
        <w:spacing w:after="60" w:line="276" w:lineRule="auto"/>
      </w:pPr>
      <w:r>
        <w:rPr>
          <w:rFonts w:ascii="微软雅黑" w:hAnsi="微软雅黑" w:eastAsia="微软雅黑"/>
          <w:b/>
          <w:i/>
          <w:color w:val="2F5597"/>
          <w:sz w:val="21"/>
        </w:rPr>
        <w:t>周俸禄</w:t>
      </w:r>
    </w:p>
    <w:p w14:paraId="2242E0DB">
      <w:pPr>
        <w:spacing w:after="60" w:line="276" w:lineRule="auto"/>
      </w:pPr>
      <w:r>
        <w:rPr>
          <w:rFonts w:ascii="微软雅黑" w:hAnsi="微软雅黑" w:eastAsia="微软雅黑"/>
          <w:b w:val="0"/>
          <w:sz w:val="20"/>
        </w:rPr>
        <w:t>周俸禄页签用于维护按周结算的奖励门槛与俸禄金额，并支持单独开关控制。</w:t>
      </w:r>
    </w:p>
    <w:p w14:paraId="45E697E5">
      <w:pPr>
        <w:spacing w:after="40"/>
        <w:jc w:val="center"/>
      </w:pPr>
      <w:r>
        <w:drawing>
          <wp:inline distT="0" distB="0" distL="114300" distR="114300">
            <wp:extent cx="5852160" cy="2874645"/>
            <wp:effectExtent l="0" t="0" r="1524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113"/>
                    <a:stretch>
                      <a:fillRect/>
                    </a:stretch>
                  </pic:blipFill>
                  <pic:spPr>
                    <a:xfrm>
                      <a:off x="0" y="0"/>
                      <a:ext cx="5852160" cy="2875128"/>
                    </a:xfrm>
                    <a:prstGeom prst="rect">
                      <a:avLst/>
                    </a:prstGeom>
                  </pic:spPr>
                </pic:pic>
              </a:graphicData>
            </a:graphic>
          </wp:inline>
        </w:drawing>
      </w:r>
    </w:p>
    <w:p w14:paraId="359D48BF">
      <w:pPr>
        <w:pStyle w:val="15"/>
        <w:spacing w:after="120"/>
        <w:jc w:val="center"/>
      </w:pPr>
      <w:r>
        <w:rPr>
          <w:rFonts w:ascii="微软雅黑" w:hAnsi="微软雅黑" w:eastAsia="微软雅黑"/>
          <w:b w:val="0"/>
          <w:color w:val="707E92"/>
          <w:sz w:val="18"/>
        </w:rPr>
        <w:t>图：周俸禄页签，用于配置各 VIP 等级的周奖励门槛和金额。</w:t>
      </w:r>
    </w:p>
    <w:p w14:paraId="1319DB85">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：页面会显示当前周俸禄开关状态。关闭后，周俸禄设置不生效，适合活动阶段性停发。</w:t>
      </w:r>
    </w:p>
    <w:p w14:paraId="0B99358B">
      <w:pPr>
        <w:pStyle w:val="16"/>
        <w:spacing w:after="60" w:line="276" w:lineRule="auto"/>
      </w:pPr>
      <w:r>
        <w:rPr>
          <w:rFonts w:ascii="微软雅黑" w:hAnsi="微软雅黑" w:eastAsia="微软雅黑"/>
          <w:b/>
          <w:color w:val="2F5597"/>
          <w:sz w:val="20"/>
        </w:rPr>
        <w:t>周奖励规则</w:t>
      </w:r>
      <w:r>
        <w:rPr>
          <w:rFonts w:ascii="微软雅黑" w:hAnsi="微软雅黑" w:eastAsia="微软雅黑"/>
          <w:b w:val="0"/>
          <w:sz w:val="20"/>
        </w:rPr>
        <w:t>：各 VIP 档位可分别配置累计充值、打码条件和俸禄金额，用于形成更高档位的周期性奖励梯度。</w:t>
      </w:r>
    </w:p>
    <w:p w14:paraId="4EF80AD7">
      <w:pPr>
        <w:pStyle w:val="5"/>
        <w:spacing w:after="60" w:line="276" w:lineRule="auto"/>
      </w:pPr>
      <w:r>
        <w:rPr>
          <w:rFonts w:ascii="微软雅黑" w:hAnsi="微软雅黑" w:eastAsia="微软雅黑"/>
          <w:b/>
          <w:i/>
          <w:color w:val="2F5597"/>
          <w:sz w:val="21"/>
        </w:rPr>
        <w:t>月俸禄</w:t>
      </w:r>
    </w:p>
    <w:p w14:paraId="79AC5274">
      <w:pPr>
        <w:spacing w:after="60" w:line="276" w:lineRule="auto"/>
      </w:pPr>
      <w:r>
        <w:rPr>
          <w:rFonts w:ascii="微软雅黑" w:hAnsi="微软雅黑" w:eastAsia="微软雅黑"/>
          <w:b w:val="0"/>
          <w:sz w:val="20"/>
        </w:rPr>
        <w:t>月俸禄页签用于配置按月发放的 VIP 奖励规则，适合维护高等级会员的长期活跃激励。</w:t>
      </w:r>
    </w:p>
    <w:p w14:paraId="79FE468F">
      <w:pPr>
        <w:spacing w:after="40"/>
        <w:jc w:val="center"/>
      </w:pPr>
      <w:r>
        <w:drawing>
          <wp:inline distT="0" distB="0" distL="114300" distR="114300">
            <wp:extent cx="5852160" cy="2825750"/>
            <wp:effectExtent l="0" t="0" r="15240" b="1270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pic:cNvPicPr>
                  </pic:nvPicPr>
                  <pic:blipFill>
                    <a:blip r:embed="rId114"/>
                    <a:stretch>
                      <a:fillRect/>
                    </a:stretch>
                  </pic:blipFill>
                  <pic:spPr>
                    <a:xfrm>
                      <a:off x="0" y="0"/>
                      <a:ext cx="5852160" cy="2826286"/>
                    </a:xfrm>
                    <a:prstGeom prst="rect">
                      <a:avLst/>
                    </a:prstGeom>
                  </pic:spPr>
                </pic:pic>
              </a:graphicData>
            </a:graphic>
          </wp:inline>
        </w:drawing>
      </w:r>
    </w:p>
    <w:p w14:paraId="444BB258">
      <w:pPr>
        <w:pStyle w:val="15"/>
        <w:spacing w:after="120"/>
        <w:jc w:val="center"/>
      </w:pPr>
      <w:r>
        <w:rPr>
          <w:rFonts w:ascii="微软雅黑" w:hAnsi="微软雅黑" w:eastAsia="微软雅黑"/>
          <w:b w:val="0"/>
          <w:color w:val="707E92"/>
          <w:sz w:val="18"/>
        </w:rPr>
        <w:t>图：月俸禄页签，用于配置各 VIP 等级的月奖励门槛和俸禄金额。</w:t>
      </w:r>
    </w:p>
    <w:p w14:paraId="7BD2CE3A">
      <w:pPr>
        <w:pStyle w:val="16"/>
        <w:spacing w:after="60" w:line="276" w:lineRule="auto"/>
      </w:pPr>
      <w:r>
        <w:rPr>
          <w:rFonts w:ascii="微软雅黑" w:hAnsi="微软雅黑" w:eastAsia="微软雅黑"/>
          <w:b/>
          <w:color w:val="2F5597"/>
          <w:sz w:val="20"/>
        </w:rPr>
        <w:t>月度门槛</w:t>
      </w:r>
      <w:r>
        <w:rPr>
          <w:rFonts w:ascii="微软雅黑" w:hAnsi="微软雅黑" w:eastAsia="微软雅黑"/>
          <w:b w:val="0"/>
          <w:sz w:val="20"/>
        </w:rPr>
        <w:t>：月俸禄通常要求更高的累计充值和打码量，应与站点月度运营策略和会员分层目标同步调整。</w:t>
      </w:r>
    </w:p>
    <w:p w14:paraId="67F10C0B">
      <w:pPr>
        <w:pStyle w:val="16"/>
        <w:spacing w:after="60" w:line="276" w:lineRule="auto"/>
      </w:pPr>
      <w:r>
        <w:rPr>
          <w:rFonts w:ascii="微软雅黑" w:hAnsi="微软雅黑" w:eastAsia="微软雅黑"/>
          <w:b/>
          <w:color w:val="2F5597"/>
          <w:sz w:val="20"/>
        </w:rPr>
        <w:t>金额设置</w:t>
      </w:r>
      <w:r>
        <w:rPr>
          <w:rFonts w:ascii="微软雅黑" w:hAnsi="微软雅黑" w:eastAsia="微软雅黑"/>
          <w:b w:val="0"/>
          <w:sz w:val="20"/>
        </w:rPr>
        <w:t>：俸禄金额直接影响会员月度奖励预期，修改前建议先评估高等级会员数量和预算影响。</w:t>
      </w:r>
    </w:p>
    <w:p w14:paraId="6276C9C2">
      <w:pPr>
        <w:pStyle w:val="5"/>
        <w:spacing w:after="60" w:line="276" w:lineRule="auto"/>
      </w:pPr>
      <w:r>
        <w:rPr>
          <w:rFonts w:ascii="微软雅黑" w:hAnsi="微软雅黑" w:eastAsia="微软雅黑"/>
          <w:b/>
          <w:i/>
          <w:color w:val="2F5597"/>
          <w:sz w:val="21"/>
        </w:rPr>
        <w:t>大R等级定义</w:t>
      </w:r>
    </w:p>
    <w:p w14:paraId="485EA4BB">
      <w:pPr>
        <w:spacing w:after="60" w:line="276" w:lineRule="auto"/>
      </w:pPr>
      <w:r>
        <w:rPr>
          <w:rFonts w:ascii="微软雅黑" w:hAnsi="微软雅黑" w:eastAsia="微软雅黑"/>
          <w:b w:val="0"/>
          <w:sz w:val="20"/>
        </w:rPr>
        <w:t>大R等级定义页签用于按累计充值金额对高价值会员进行额外分层，便于运营针对小 R、中 R、大 R 用户制定差异化策略。</w:t>
      </w:r>
    </w:p>
    <w:p w14:paraId="604D2F71">
      <w:pPr>
        <w:spacing w:after="40"/>
        <w:jc w:val="center"/>
      </w:pPr>
      <w:r>
        <w:drawing>
          <wp:inline distT="0" distB="0" distL="114300" distR="114300">
            <wp:extent cx="5852160" cy="1258570"/>
            <wp:effectExtent l="0" t="0" r="15240" b="177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pic:cNvPicPr>
                  </pic:nvPicPr>
                  <pic:blipFill>
                    <a:blip r:embed="rId115"/>
                    <a:stretch>
                      <a:fillRect/>
                    </a:stretch>
                  </pic:blipFill>
                  <pic:spPr>
                    <a:xfrm>
                      <a:off x="0" y="0"/>
                      <a:ext cx="5852160" cy="1258572"/>
                    </a:xfrm>
                    <a:prstGeom prst="rect">
                      <a:avLst/>
                    </a:prstGeom>
                  </pic:spPr>
                </pic:pic>
              </a:graphicData>
            </a:graphic>
          </wp:inline>
        </w:drawing>
      </w:r>
    </w:p>
    <w:p w14:paraId="48F855E1">
      <w:pPr>
        <w:pStyle w:val="15"/>
        <w:spacing w:after="120"/>
        <w:jc w:val="center"/>
      </w:pPr>
      <w:r>
        <w:rPr>
          <w:rFonts w:ascii="微软雅黑" w:hAnsi="微软雅黑" w:eastAsia="微软雅黑"/>
          <w:b w:val="0"/>
          <w:color w:val="707E92"/>
          <w:sz w:val="18"/>
        </w:rPr>
        <w:t>图：大 R 等级定义页签，用于配置不同大 R 类型对应的累计充值门槛。</w:t>
      </w:r>
    </w:p>
    <w:p w14:paraId="2D4C0C7C">
      <w:pPr>
        <w:pStyle w:val="16"/>
        <w:spacing w:after="60" w:line="276" w:lineRule="auto"/>
      </w:pPr>
      <w:r>
        <w:rPr>
          <w:rFonts w:ascii="微软雅黑" w:hAnsi="微软雅黑" w:eastAsia="微软雅黑"/>
          <w:b/>
          <w:color w:val="2F5597"/>
          <w:sz w:val="20"/>
        </w:rPr>
        <w:t>类型划分</w:t>
      </w:r>
      <w:r>
        <w:rPr>
          <w:rFonts w:ascii="微软雅黑" w:hAnsi="微软雅黑" w:eastAsia="微软雅黑"/>
          <w:b w:val="0"/>
          <w:sz w:val="20"/>
        </w:rPr>
        <w:t>：当前页面通常以小 R 玩家、中 R 玩家和大 R 玩家分类展示，便于后台在列表和详情中直接识别会员价值层级。</w:t>
      </w:r>
    </w:p>
    <w:p w14:paraId="7F8E5DF0">
      <w:pPr>
        <w:pStyle w:val="16"/>
        <w:spacing w:after="60" w:line="276" w:lineRule="auto"/>
      </w:pPr>
      <w:r>
        <w:rPr>
          <w:rFonts w:ascii="微软雅黑" w:hAnsi="微软雅黑" w:eastAsia="微软雅黑"/>
          <w:b/>
          <w:color w:val="2F5597"/>
          <w:sz w:val="20"/>
        </w:rPr>
        <w:t>累计充值门槛</w:t>
      </w:r>
      <w:r>
        <w:rPr>
          <w:rFonts w:ascii="微软雅黑" w:hAnsi="微软雅黑" w:eastAsia="微软雅黑"/>
          <w:b w:val="0"/>
          <w:sz w:val="20"/>
        </w:rPr>
        <w:t>：累计充值字段用于定义每一档大 R 类型的划分标准。保存后会影响后台相关会员标签和运营分层口径。</w:t>
      </w:r>
    </w:p>
    <w:p w14:paraId="2509016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：调整大 R 标准前，建议先确认当前站点的 VIP 分层、活动预算和专属服务策略，避免会员被频繁切换分组。</w:t>
      </w:r>
    </w:p>
    <w:p w14:paraId="7DC6CA3D">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有奖反馈</w:t>
      </w:r>
    </w:p>
    <w:p w14:paraId="2BAE48C9">
      <w:pPr>
        <w:spacing w:after="60" w:line="276" w:lineRule="auto"/>
      </w:pPr>
      <w:r>
        <w:rPr>
          <w:rFonts w:ascii="微软雅黑" w:hAnsi="微软雅黑" w:eastAsia="微软雅黑"/>
          <w:b w:val="0"/>
          <w:sz w:val="20"/>
        </w:rPr>
        <w:t>有奖反馈用于收集会员意见、查看处理状态、发放采纳奖励并记录回复内容，适合运营团队统一处理建议反馈、投诉补充和活动体验优化意见。</w:t>
      </w:r>
    </w:p>
    <w:p w14:paraId="20F87A1B">
      <w:pPr>
        <w:pStyle w:val="5"/>
        <w:spacing w:after="60" w:line="276" w:lineRule="auto"/>
      </w:pPr>
      <w:r>
        <w:rPr>
          <w:rFonts w:ascii="微软雅黑" w:hAnsi="微软雅黑" w:eastAsia="微软雅黑"/>
          <w:b/>
          <w:i/>
          <w:color w:val="2F5597"/>
          <w:sz w:val="21"/>
        </w:rPr>
        <w:t>反馈列表</w:t>
      </w:r>
    </w:p>
    <w:p w14:paraId="297D5E06">
      <w:pPr>
        <w:spacing w:after="60" w:line="276" w:lineRule="auto"/>
      </w:pPr>
      <w:r>
        <w:rPr>
          <w:rFonts w:ascii="微软雅黑" w:hAnsi="微软雅黑" w:eastAsia="微软雅黑"/>
          <w:b w:val="0"/>
          <w:sz w:val="20"/>
        </w:rPr>
        <w:t>反馈列表页用于按状态查看待处理和全部反馈记录，并筛选会员、时间范围和状态后定位目标反馈。</w:t>
      </w:r>
    </w:p>
    <w:p w14:paraId="00807AD9">
      <w:pPr>
        <w:spacing w:after="40"/>
        <w:jc w:val="center"/>
      </w:pPr>
      <w:r>
        <w:drawing>
          <wp:inline distT="0" distB="0" distL="114300" distR="114300">
            <wp:extent cx="5852160" cy="2245360"/>
            <wp:effectExtent l="0" t="0" r="1524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116"/>
                    <a:stretch>
                      <a:fillRect/>
                    </a:stretch>
                  </pic:blipFill>
                  <pic:spPr>
                    <a:xfrm>
                      <a:off x="0" y="0"/>
                      <a:ext cx="5852160" cy="2245926"/>
                    </a:xfrm>
                    <a:prstGeom prst="rect">
                      <a:avLst/>
                    </a:prstGeom>
                  </pic:spPr>
                </pic:pic>
              </a:graphicData>
            </a:graphic>
          </wp:inline>
        </w:drawing>
      </w:r>
    </w:p>
    <w:p w14:paraId="3D41E7E8">
      <w:pPr>
        <w:pStyle w:val="15"/>
        <w:spacing w:after="120"/>
        <w:jc w:val="center"/>
      </w:pPr>
      <w:r>
        <w:rPr>
          <w:rFonts w:ascii="微软雅黑" w:hAnsi="微软雅黑" w:eastAsia="微软雅黑"/>
          <w:b w:val="0"/>
          <w:color w:val="707E92"/>
          <w:sz w:val="18"/>
        </w:rPr>
        <w:t>图：有奖反馈列表页，用于筛选反馈记录、查看处理状态和进入处理弹窗。</w:t>
      </w:r>
    </w:p>
    <w:p w14:paraId="7BE8C460">
      <w:pPr>
        <w:pStyle w:val="16"/>
        <w:spacing w:after="60" w:line="276" w:lineRule="auto"/>
      </w:pPr>
      <w:r>
        <w:rPr>
          <w:rFonts w:ascii="微软雅黑" w:hAnsi="微软雅黑" w:eastAsia="微软雅黑"/>
          <w:b/>
          <w:color w:val="2F5597"/>
          <w:sz w:val="20"/>
        </w:rPr>
        <w:t>状态页签</w:t>
      </w:r>
      <w:r>
        <w:rPr>
          <w:rFonts w:ascii="微软雅黑" w:hAnsi="微软雅黑" w:eastAsia="微软雅黑"/>
          <w:b w:val="0"/>
          <w:sz w:val="20"/>
        </w:rPr>
        <w:t>：页面通常区分待处理和全部反馈两个页签。待处理更适合处理当前积压事项，全部反馈适合做历史复盘和发奖回查。</w:t>
      </w:r>
    </w:p>
    <w:p w14:paraId="789DCDC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ID、反馈时间和状态筛选，适合在投诉、活动问题或产品建议增多时快速定位同类反馈。</w:t>
      </w:r>
    </w:p>
    <w:p w14:paraId="3C074D8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：列表展示反馈账号、反馈账号 ID、状态、反馈时间、反馈类型、反馈内容、附件、回复内容、采纳奖金、操作人和操作时间等字段。</w:t>
      </w:r>
    </w:p>
    <w:p w14:paraId="5F493A5D">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：待处理记录通常可直接点击处理进入弹窗，已处理记录可查看处理结果。处理前建议先完整阅读反馈内容和附件。</w:t>
      </w:r>
    </w:p>
    <w:p w14:paraId="720D4C4F">
      <w:pPr>
        <w:pStyle w:val="5"/>
        <w:spacing w:after="60" w:line="276" w:lineRule="auto"/>
      </w:pPr>
      <w:r>
        <w:rPr>
          <w:rFonts w:ascii="微软雅黑" w:hAnsi="微软雅黑" w:eastAsia="微软雅黑"/>
          <w:b/>
          <w:i/>
          <w:color w:val="2F5597"/>
          <w:sz w:val="21"/>
        </w:rPr>
        <w:t>处理反馈</w:t>
      </w:r>
    </w:p>
    <w:p w14:paraId="66B85A99">
      <w:pPr>
        <w:spacing w:after="60" w:line="276" w:lineRule="auto"/>
      </w:pPr>
      <w:r>
        <w:rPr>
          <w:rFonts w:ascii="微软雅黑" w:hAnsi="微软雅黑" w:eastAsia="微软雅黑"/>
          <w:b w:val="0"/>
          <w:sz w:val="20"/>
        </w:rPr>
        <w:t>处理反馈弹窗用于查看会员提交的反馈内容和附件，并录入处理结果、采纳奖励和回复说明。</w:t>
      </w:r>
    </w:p>
    <w:p w14:paraId="2D07B97C">
      <w:pPr>
        <w:spacing w:after="40"/>
        <w:jc w:val="center"/>
      </w:pPr>
      <w:r>
        <w:drawing>
          <wp:inline distT="0" distB="0" distL="114300" distR="114300">
            <wp:extent cx="5014595" cy="5608955"/>
            <wp:effectExtent l="0" t="0" r="14605" b="1079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117"/>
                    <a:stretch>
                      <a:fillRect/>
                    </a:stretch>
                  </pic:blipFill>
                  <pic:spPr>
                    <a:xfrm>
                      <a:off x="0" y="0"/>
                      <a:ext cx="5014595" cy="5608955"/>
                    </a:xfrm>
                    <a:prstGeom prst="rect">
                      <a:avLst/>
                    </a:prstGeom>
                  </pic:spPr>
                </pic:pic>
              </a:graphicData>
            </a:graphic>
          </wp:inline>
        </w:drawing>
      </w:r>
    </w:p>
    <w:p w14:paraId="5A49ED50">
      <w:pPr>
        <w:pStyle w:val="15"/>
        <w:spacing w:after="120"/>
        <w:jc w:val="center"/>
      </w:pPr>
      <w:r>
        <w:rPr>
          <w:rFonts w:ascii="微软雅黑" w:hAnsi="微软雅黑" w:eastAsia="微软雅黑"/>
          <w:b w:val="0"/>
          <w:color w:val="707E92"/>
          <w:sz w:val="18"/>
        </w:rPr>
        <w:t>图：处理反馈弹窗，用于填写奖励类型、赠送金额和回复内容，并确认采纳结果。</w:t>
      </w:r>
    </w:p>
    <w:p w14:paraId="04F51212">
      <w:pPr>
        <w:pStyle w:val="16"/>
        <w:spacing w:after="60" w:line="276" w:lineRule="auto"/>
      </w:pPr>
      <w:r>
        <w:rPr>
          <w:rFonts w:ascii="微软雅黑" w:hAnsi="微软雅黑" w:eastAsia="微软雅黑"/>
          <w:b/>
          <w:color w:val="2F5597"/>
          <w:sz w:val="20"/>
        </w:rPr>
        <w:t>反馈内容与附件</w:t>
      </w:r>
      <w:r>
        <w:rPr>
          <w:rFonts w:ascii="微软雅黑" w:hAnsi="微软雅黑" w:eastAsia="微软雅黑"/>
          <w:b w:val="0"/>
          <w:sz w:val="20"/>
        </w:rPr>
        <w:t>：弹窗上方会展示会员原始反馈内容和附件图片。处理前应先核对是否属于真实问题、重复提交或无效建议。</w:t>
      </w:r>
    </w:p>
    <w:p w14:paraId="26D88D02">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：可选择建议类型或采纳方式，用于标记本次反馈的处理结论。选择前应遵循当前站点的奖励规则。</w:t>
      </w:r>
    </w:p>
    <w:p w14:paraId="58DA915B">
      <w:pPr>
        <w:pStyle w:val="16"/>
        <w:spacing w:after="60" w:line="276" w:lineRule="auto"/>
      </w:pPr>
      <w:r>
        <w:rPr>
          <w:rFonts w:ascii="微软雅黑" w:hAnsi="微软雅黑" w:eastAsia="微软雅黑"/>
          <w:b/>
          <w:color w:val="2F5597"/>
          <w:sz w:val="20"/>
        </w:rPr>
        <w:t>赠送金额</w:t>
      </w:r>
      <w:r>
        <w:rPr>
          <w:rFonts w:ascii="微软雅黑" w:hAnsi="微软雅黑" w:eastAsia="微软雅黑"/>
          <w:b w:val="0"/>
          <w:sz w:val="20"/>
        </w:rPr>
        <w:t>：采纳并发奖时需要填写赠送金额。金额应与活动或反馈奖励规范一致，避免超额发放。</w:t>
      </w:r>
    </w:p>
    <w:p w14:paraId="0A6B6470">
      <w:pPr>
        <w:pStyle w:val="16"/>
        <w:spacing w:after="60" w:line="276" w:lineRule="auto"/>
      </w:pPr>
      <w:r>
        <w:rPr>
          <w:rFonts w:ascii="微软雅黑" w:hAnsi="微软雅黑" w:eastAsia="微软雅黑"/>
          <w:b/>
          <w:color w:val="2F5597"/>
          <w:sz w:val="20"/>
        </w:rPr>
        <w:t>回复内容</w:t>
      </w:r>
      <w:r>
        <w:rPr>
          <w:rFonts w:ascii="微软雅黑" w:hAnsi="微软雅黑" w:eastAsia="微软雅黑"/>
          <w:b w:val="0"/>
          <w:sz w:val="20"/>
        </w:rPr>
        <w:t>：回复内容用于记录后台处理说明，建议明确反馈结论、发奖情况和后续处理结果，便于客服回访。</w:t>
      </w:r>
    </w:p>
    <w:p w14:paraId="16617021">
      <w:pPr>
        <w:pStyle w:val="16"/>
        <w:spacing w:after="60" w:line="276" w:lineRule="auto"/>
      </w:pPr>
      <w:r>
        <w:rPr>
          <w:rFonts w:ascii="微软雅黑" w:hAnsi="微软雅黑" w:eastAsia="微软雅黑"/>
          <w:b/>
          <w:color w:val="2F5597"/>
          <w:sz w:val="20"/>
        </w:rPr>
        <w:t>采纳操作</w:t>
      </w:r>
      <w:r>
        <w:rPr>
          <w:rFonts w:ascii="微软雅黑" w:hAnsi="微软雅黑" w:eastAsia="微软雅黑"/>
          <w:b w:val="0"/>
          <w:sz w:val="20"/>
        </w:rPr>
        <w:t>：点击采纳后会按当前处理结果更新反馈状态。正式提交前建议再次确认奖励金额、附件内容和回复文案。</w:t>
      </w:r>
    </w:p>
    <w:p w14:paraId="6557F0E8">
      <w:pPr>
        <w:pStyle w:val="3"/>
        <w:keepNext/>
        <w:spacing w:before="360" w:after="240" w:line="276" w:lineRule="auto"/>
      </w:pPr>
      <w:r>
        <w:rPr>
          <w:rFonts w:ascii="微软雅黑" w:hAnsi="微软雅黑" w:eastAsia="微软雅黑"/>
          <w:b/>
          <w:color w:val="17365D"/>
          <w:sz w:val="40"/>
        </w:rPr>
        <w:t>十一、代理中心</w:t>
      </w:r>
    </w:p>
    <w:p w14:paraId="0314494A">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代理列表</w:t>
      </w:r>
    </w:p>
    <w:p w14:paraId="303800C5">
      <w:pPr>
        <w:spacing w:after="60" w:line="276" w:lineRule="auto"/>
      </w:pPr>
      <w:r>
        <w:rPr>
          <w:rFonts w:ascii="微软雅黑" w:hAnsi="微软雅黑" w:eastAsia="微软雅黑"/>
          <w:b w:val="0"/>
          <w:sz w:val="20"/>
        </w:rPr>
        <w:t>代理列表用于查询和管理代理账号，适合运营人员查看代理层级、业绩和佣金余额，并快速定位需要跟进的代理账号。</w:t>
      </w:r>
    </w:p>
    <w:p w14:paraId="4AD6F8C6">
      <w:pPr>
        <w:spacing w:after="40"/>
        <w:jc w:val="center"/>
      </w:pPr>
      <w:r>
        <w:drawing>
          <wp:inline distT="0" distB="0" distL="114300" distR="114300">
            <wp:extent cx="5852160" cy="2534285"/>
            <wp:effectExtent l="0" t="0" r="15240" b="1841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118"/>
                    <a:stretch>
                      <a:fillRect/>
                    </a:stretch>
                  </pic:blipFill>
                  <pic:spPr>
                    <a:xfrm>
                      <a:off x="0" y="0"/>
                      <a:ext cx="5852160" cy="2534625"/>
                    </a:xfrm>
                    <a:prstGeom prst="rect">
                      <a:avLst/>
                    </a:prstGeom>
                  </pic:spPr>
                </pic:pic>
              </a:graphicData>
            </a:graphic>
          </wp:inline>
        </w:drawing>
      </w:r>
    </w:p>
    <w:p w14:paraId="70AC931F">
      <w:pPr>
        <w:pStyle w:val="15"/>
        <w:spacing w:after="120"/>
        <w:jc w:val="center"/>
      </w:pPr>
      <w:r>
        <w:rPr>
          <w:rFonts w:ascii="微软雅黑" w:hAnsi="微软雅黑" w:eastAsia="微软雅黑"/>
          <w:b w:val="0"/>
          <w:color w:val="707E92"/>
          <w:sz w:val="18"/>
        </w:rPr>
        <w:t>图：代理列表页面，用于按代理账号、状态和时间条件筛选代理账号并查看业绩数据。</w:t>
      </w:r>
    </w:p>
    <w:p w14:paraId="56C1FF8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：页面支持按代理账号、代理ID、代理编码、上级代理账号等字段检索；结合状态或时间条件使用时，便于快速缩小目标范围。</w:t>
      </w:r>
    </w:p>
    <w:p w14:paraId="12D3188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：列表展示代理ID、代理编码、代理账号、上级代理账号、标签、直属成员数、直属充值总额、其他成员数、历史累计佣金、已领取佣金、未领取佣金和钱包余额。</w:t>
      </w:r>
    </w:p>
    <w:p w14:paraId="18788AEF">
      <w:pPr>
        <w:pStyle w:val="16"/>
        <w:spacing w:after="60" w:line="276" w:lineRule="auto"/>
      </w:pPr>
      <w:r>
        <w:rPr>
          <w:rFonts w:ascii="微软雅黑" w:hAnsi="微软雅黑" w:eastAsia="微软雅黑"/>
          <w:b/>
          <w:color w:val="2F5597"/>
          <w:sz w:val="20"/>
        </w:rPr>
        <w:t>数据含义</w:t>
      </w:r>
      <w:r>
        <w:rPr>
          <w:rFonts w:ascii="微软雅黑" w:hAnsi="微软雅黑" w:eastAsia="微软雅黑"/>
          <w:b w:val="0"/>
          <w:sz w:val="20"/>
        </w:rPr>
        <w:t>：直属成员数和直属充值总额用于查看当前代理的直接贡献，历史累计佣金、已领取佣金和未领取佣金用于判断佣金结算进度与余额状态。</w:t>
      </w:r>
    </w:p>
    <w:p w14:paraId="2E267F8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：底部支持翻页和切换每页条数，适合按批次查看代理列表；记录总数可用于判断当前筛选范围是否命中预期代理。</w:t>
      </w:r>
    </w:p>
    <w:p w14:paraId="7B2F927C">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代理配置</w:t>
      </w:r>
    </w:p>
    <w:p w14:paraId="4036B9F5">
      <w:pPr>
        <w:spacing w:after="60" w:line="276" w:lineRule="auto"/>
      </w:pPr>
      <w:r>
        <w:rPr>
          <w:rFonts w:ascii="微软雅黑" w:hAnsi="微软雅黑" w:eastAsia="微软雅黑"/>
          <w:b w:val="0"/>
          <w:sz w:val="20"/>
        </w:rPr>
        <w:t>代理配置用于维护不同游戏类型的返佣档位和业绩计算规则，是代理收益、结算口径和等级策略的核心配置页。</w:t>
      </w:r>
    </w:p>
    <w:p w14:paraId="69E693AA">
      <w:pPr>
        <w:spacing w:after="40"/>
        <w:jc w:val="center"/>
      </w:pPr>
      <w:r>
        <w:drawing>
          <wp:inline distT="0" distB="0" distL="114300" distR="114300">
            <wp:extent cx="5852160" cy="2557145"/>
            <wp:effectExtent l="0" t="0" r="15240" b="1460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119"/>
                    <a:stretch>
                      <a:fillRect/>
                    </a:stretch>
                  </pic:blipFill>
                  <pic:spPr>
                    <a:xfrm>
                      <a:off x="0" y="0"/>
                      <a:ext cx="5852160" cy="2557689"/>
                    </a:xfrm>
                    <a:prstGeom prst="rect">
                      <a:avLst/>
                    </a:prstGeom>
                  </pic:spPr>
                </pic:pic>
              </a:graphicData>
            </a:graphic>
          </wp:inline>
        </w:drawing>
      </w:r>
    </w:p>
    <w:p w14:paraId="3EBE8CF2">
      <w:pPr>
        <w:pStyle w:val="15"/>
        <w:spacing w:after="120"/>
        <w:jc w:val="center"/>
      </w:pPr>
      <w:r>
        <w:rPr>
          <w:rFonts w:ascii="微软雅黑" w:hAnsi="微软雅黑" w:eastAsia="微软雅黑"/>
          <w:b w:val="0"/>
          <w:color w:val="707E92"/>
          <w:sz w:val="18"/>
        </w:rPr>
        <w:t>图：代理配置页面，用于按游戏类型配置返佣档位，并调整业绩计算规则。</w:t>
      </w:r>
    </w:p>
    <w:p w14:paraId="00A4B521">
      <w:pPr>
        <w:pStyle w:val="16"/>
        <w:spacing w:after="60" w:line="276" w:lineRule="auto"/>
      </w:pPr>
      <w:r>
        <w:rPr>
          <w:rFonts w:ascii="微软雅黑" w:hAnsi="微软雅黑" w:eastAsia="微软雅黑"/>
          <w:b/>
          <w:color w:val="2F5597"/>
          <w:sz w:val="20"/>
        </w:rPr>
        <w:t>佣金类型</w:t>
      </w:r>
      <w:r>
        <w:rPr>
          <w:rFonts w:ascii="微软雅黑" w:hAnsi="微软雅黑" w:eastAsia="微软雅黑"/>
          <w:b w:val="0"/>
          <w:sz w:val="20"/>
        </w:rPr>
        <w:t>：页面顶部按棋牌、捕鱼、电子、体育、视讯、彩票和区块链等类型分栏配置返佣比例，切换页签后会同步查看对应类型的档位数据。</w:t>
      </w:r>
    </w:p>
    <w:p w14:paraId="1758E2CF">
      <w:pPr>
        <w:pStyle w:val="16"/>
        <w:spacing w:after="60" w:line="276" w:lineRule="auto"/>
      </w:pPr>
      <w:r>
        <w:rPr>
          <w:rFonts w:ascii="微软雅黑" w:hAnsi="微软雅黑" w:eastAsia="微软雅黑"/>
          <w:b/>
          <w:color w:val="2F5597"/>
          <w:sz w:val="20"/>
        </w:rPr>
        <w:t>档位字段</w:t>
      </w:r>
      <w:r>
        <w:rPr>
          <w:rFonts w:ascii="微软雅黑" w:hAnsi="微软雅黑" w:eastAsia="微软雅黑"/>
          <w:b w:val="0"/>
          <w:sz w:val="20"/>
        </w:rPr>
        <w:t>：表格展示序号、有效人数、有效投注业绩（单位：万）和每万返佣（比例），用于按阶梯条件控制代理返佣档位。</w:t>
      </w:r>
    </w:p>
    <w:p w14:paraId="623B62D5">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：页面支持新增档位、修改档位和删除档位；编辑时需重点复核有效人数、业绩门槛和返佣比例，避免档位重叠或跳档。</w:t>
      </w:r>
    </w:p>
    <w:p w14:paraId="6EBB7A9F">
      <w:pPr>
        <w:pStyle w:val="16"/>
        <w:spacing w:after="60" w:line="276" w:lineRule="auto"/>
      </w:pPr>
      <w:r>
        <w:rPr>
          <w:rFonts w:ascii="微软雅黑" w:hAnsi="微软雅黑" w:eastAsia="微软雅黑"/>
          <w:b/>
          <w:color w:val="2F5597"/>
          <w:sz w:val="20"/>
        </w:rPr>
        <w:t>配置说明</w:t>
      </w:r>
      <w:r>
        <w:rPr>
          <w:rFonts w:ascii="微软雅黑" w:hAnsi="微软雅黑" w:eastAsia="微软雅黑"/>
          <w:b w:val="0"/>
          <w:sz w:val="20"/>
        </w:rPr>
        <w:t>：提示信息说明有效投注业绩按历史总计结算，当前页面以“有效人数”和“有效投注业绩”</w:t>
      </w:r>
      <w:r>
        <w:rPr>
          <w:rFonts w:ascii="微软雅黑" w:hAnsi="微软雅黑" w:eastAsia="微软雅黑"/>
          <w:b/>
          <w:bCs/>
          <w:sz w:val="20"/>
        </w:rPr>
        <w:t>同时</w:t>
      </w:r>
      <w:r>
        <w:rPr>
          <w:rFonts w:ascii="微软雅黑" w:hAnsi="微软雅黑" w:eastAsia="微软雅黑"/>
          <w:b w:val="0"/>
          <w:sz w:val="20"/>
        </w:rPr>
        <w:t>满足条件后取最高档返佣比例。</w:t>
      </w:r>
    </w:p>
    <w:p w14:paraId="682B8B11">
      <w:pPr>
        <w:pStyle w:val="16"/>
        <w:spacing w:after="60" w:line="276" w:lineRule="auto"/>
      </w:pPr>
      <w:r>
        <w:rPr>
          <w:rFonts w:ascii="微软雅黑" w:hAnsi="微软雅黑" w:eastAsia="微软雅黑"/>
          <w:b/>
          <w:color w:val="2F5597"/>
          <w:sz w:val="20"/>
        </w:rPr>
        <w:t>业绩计算</w:t>
      </w:r>
      <w:r>
        <w:rPr>
          <w:rFonts w:ascii="微软雅黑" w:hAnsi="微软雅黑" w:eastAsia="微软雅黑"/>
          <w:b w:val="0"/>
          <w:sz w:val="20"/>
        </w:rPr>
        <w:t>：下方业绩计算区用于设置周期内总有效投注和周期内总存款门槛，调整后会影响哪些下级产生的有效投注可计入代理业绩。</w:t>
      </w:r>
    </w:p>
    <w:p w14:paraId="2592F483">
      <w:pPr>
        <w:pStyle w:val="16"/>
        <w:numPr>
          <w:ilvl w:val="2"/>
          <w:numId w:val="3"/>
        </w:numPr>
        <w:tabs>
          <w:tab w:val="clear" w:pos="1260"/>
        </w:tabs>
        <w:spacing w:after="60" w:line="276" w:lineRule="auto"/>
        <w:ind w:left="1260" w:leftChars="0" w:hanging="420" w:firstLineChars="0"/>
      </w:pPr>
      <w:r>
        <w:rPr>
          <w:rFonts w:hint="eastAsia"/>
          <w:lang w:val="en-US" w:eastAsia="zh-CN"/>
        </w:rPr>
        <w:t>满足此配置的玩家才会记为有效人数</w:t>
      </w:r>
    </w:p>
    <w:p w14:paraId="4321832A">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：保存前建议先核算各游戏类型的返佣成本，再检查业绩门槛是否与站点规则一致，避免影响代理收益和后续结算。</w:t>
      </w:r>
    </w:p>
    <w:p w14:paraId="7A8BCCC2">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代理领取记录</w:t>
      </w:r>
    </w:p>
    <w:p w14:paraId="4E51650C">
      <w:pPr>
        <w:spacing w:after="60" w:line="276" w:lineRule="auto"/>
      </w:pPr>
      <w:r>
        <w:rPr>
          <w:rFonts w:ascii="微软雅黑" w:hAnsi="微软雅黑" w:eastAsia="微软雅黑"/>
          <w:b w:val="0"/>
          <w:sz w:val="20"/>
        </w:rPr>
        <w:t>代理领取记录用于查询代理奖励或佣金的领取情况，适合财务、运营和代理管理人员复核领取金额、领取时间和处理结果。</w:t>
      </w:r>
    </w:p>
    <w:p w14:paraId="4955A6FE">
      <w:pPr>
        <w:spacing w:after="40"/>
        <w:jc w:val="center"/>
      </w:pPr>
      <w:r>
        <w:drawing>
          <wp:inline distT="0" distB="0" distL="114300" distR="114300">
            <wp:extent cx="5852160" cy="1722755"/>
            <wp:effectExtent l="0" t="0" r="15240" b="1079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20"/>
                    <a:stretch>
                      <a:fillRect/>
                    </a:stretch>
                  </pic:blipFill>
                  <pic:spPr>
                    <a:xfrm>
                      <a:off x="0" y="0"/>
                      <a:ext cx="5852160" cy="1723078"/>
                    </a:xfrm>
                    <a:prstGeom prst="rect">
                      <a:avLst/>
                    </a:prstGeom>
                  </pic:spPr>
                </pic:pic>
              </a:graphicData>
            </a:graphic>
          </wp:inline>
        </w:drawing>
      </w:r>
    </w:p>
    <w:p w14:paraId="3BC16008">
      <w:pPr>
        <w:pStyle w:val="15"/>
        <w:spacing w:after="120"/>
        <w:jc w:val="center"/>
      </w:pPr>
      <w:r>
        <w:rPr>
          <w:rFonts w:ascii="微软雅黑" w:hAnsi="微软雅黑" w:eastAsia="微软雅黑"/>
          <w:b w:val="0"/>
          <w:color w:val="707E92"/>
          <w:sz w:val="18"/>
        </w:rPr>
        <w:t>图：代理领取记录页面，用于按日期和代理账号查询领取记录并导出报表。</w:t>
      </w:r>
    </w:p>
    <w:p w14:paraId="4F1255F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：页面支持按开始日期、结束日期和代理账号筛选，便于按结算周期、指定代理或时间范围快速查看领取记录。</w:t>
      </w:r>
    </w:p>
    <w:p w14:paraId="36F5F9D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：页面提供搜索、重置和导出报表按钮，适合在复核领取差异时直接导出明细保存。</w:t>
      </w:r>
    </w:p>
    <w:p w14:paraId="0A51EEC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：列表展示订单号、领取时间、代理ID、代理账号和领取金额，便于与结算明细和账变记录交叉核对。</w:t>
      </w:r>
    </w:p>
    <w:p w14:paraId="4E568810">
      <w:pPr>
        <w:pStyle w:val="16"/>
        <w:spacing w:after="60" w:line="276" w:lineRule="auto"/>
      </w:pPr>
      <w:r>
        <w:rPr>
          <w:rFonts w:ascii="微软雅黑" w:hAnsi="微软雅黑" w:eastAsia="微软雅黑"/>
          <w:b/>
          <w:color w:val="2F5597"/>
          <w:sz w:val="20"/>
        </w:rPr>
        <w:t>数据口径</w:t>
      </w:r>
      <w:r>
        <w:rPr>
          <w:rFonts w:ascii="微软雅黑" w:hAnsi="微软雅黑" w:eastAsia="微软雅黑"/>
          <w:b w:val="0"/>
          <w:sz w:val="20"/>
        </w:rPr>
        <w:t>：页面提示数据更新时间为隔天，说明领取记录并非实时刷新，查看当日收益时应先确认统计延迟。</w:t>
      </w:r>
    </w:p>
    <w:p w14:paraId="255D258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：出现领取金额异常时，建议先确认代理账号、时间范围和对应结算周期，再联查代理结算明细与账变记录。</w:t>
      </w:r>
    </w:p>
    <w:p w14:paraId="03B26D9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代理数据查询</w:t>
      </w:r>
    </w:p>
    <w:p w14:paraId="7389F05B">
      <w:pPr>
        <w:spacing w:after="60" w:line="276" w:lineRule="auto"/>
      </w:pPr>
      <w:r>
        <w:rPr>
          <w:rFonts w:ascii="微软雅黑" w:hAnsi="微软雅黑" w:eastAsia="微软雅黑"/>
          <w:b w:val="0"/>
          <w:sz w:val="20"/>
        </w:rPr>
        <w:t>代理数据查询用于查看代理维度的经营数据，适合分析代理拉新、充值、投注、输赢和佣金表现，也可作为结算核对的辅助页面。</w:t>
      </w:r>
    </w:p>
    <w:p w14:paraId="56179AB5">
      <w:pPr>
        <w:spacing w:after="40"/>
        <w:jc w:val="center"/>
      </w:pPr>
      <w:r>
        <w:drawing>
          <wp:inline distT="0" distB="0" distL="114300" distR="114300">
            <wp:extent cx="5852160" cy="2466340"/>
            <wp:effectExtent l="0" t="0" r="15240" b="1016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121"/>
                    <a:stretch>
                      <a:fillRect/>
                    </a:stretch>
                  </pic:blipFill>
                  <pic:spPr>
                    <a:xfrm>
                      <a:off x="0" y="0"/>
                      <a:ext cx="5852160" cy="2466642"/>
                    </a:xfrm>
                    <a:prstGeom prst="rect">
                      <a:avLst/>
                    </a:prstGeom>
                  </pic:spPr>
                </pic:pic>
              </a:graphicData>
            </a:graphic>
          </wp:inline>
        </w:drawing>
      </w:r>
    </w:p>
    <w:p w14:paraId="5A635C41">
      <w:pPr>
        <w:pStyle w:val="15"/>
        <w:spacing w:after="120"/>
        <w:jc w:val="center"/>
      </w:pPr>
      <w:r>
        <w:rPr>
          <w:rFonts w:ascii="微软雅黑" w:hAnsi="微软雅黑" w:eastAsia="微软雅黑"/>
          <w:b w:val="0"/>
          <w:color w:val="707E92"/>
          <w:sz w:val="18"/>
        </w:rPr>
        <w:t>图：代理数据查询页面，用于按代理编码、代理账号和日期条件查看代理经营数据。</w:t>
      </w:r>
    </w:p>
    <w:p w14:paraId="0E043DF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：页面支持按开始日期、结束日期、代理编码和代理账号筛选，适合按代理层级或时间范围查看经营数据变化。</w:t>
      </w:r>
    </w:p>
    <w:p w14:paraId="1A5A8DF8">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：页面提供搜索、重置和导出报表按钮，便于快速查数、还原筛选条件和导出分析结果。</w:t>
      </w:r>
    </w:p>
    <w:p w14:paraId="2F890AA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代理编码、代理账号、上级代理账号、上级代理编码、新增直属人数、直属充值金额、累计直属人数、当日下级首充人数/金额、直属充值人数、直属投注人数、直属输赢、个人充值金额、个人提现金额、个人输赢、投注金额、有效投注、预估贡献值、佣金、累计总下级人数、累计佣金和下级累计投注。</w:t>
      </w:r>
    </w:p>
    <w:p w14:paraId="1A25324A">
      <w:pPr>
        <w:pStyle w:val="16"/>
        <w:spacing w:after="60" w:line="276" w:lineRule="auto"/>
      </w:pPr>
      <w:r>
        <w:rPr>
          <w:rFonts w:ascii="微软雅黑" w:hAnsi="微软雅黑" w:eastAsia="微软雅黑"/>
          <w:b/>
          <w:color w:val="2F5597"/>
          <w:sz w:val="20"/>
        </w:rPr>
        <w:t>口径说明</w:t>
      </w:r>
      <w:r>
        <w:rPr>
          <w:rFonts w:ascii="微软雅黑" w:hAnsi="微软雅黑" w:eastAsia="微软雅黑"/>
          <w:b w:val="0"/>
          <w:sz w:val="20"/>
        </w:rPr>
        <w:t>：页面右侧和下方的汇总字段同时反映直属与累计数据，适合区分当日新增、直属业绩和累计贡献，查看时要统一时间范围。</w:t>
      </w:r>
    </w:p>
    <w:p w14:paraId="1B698302">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：页面提示数据更新时间为5分钟，说明查询结果会按短周期刷新，做运营分析时应留意查询时点。</w:t>
      </w:r>
    </w:p>
    <w:p w14:paraId="7C998CF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：当日下级首充人数/金额、佣金和下级累计投注等字段适合联查代理配置、领取记录和结算明细，用于判断数据是否与结算口径一致。</w:t>
      </w:r>
    </w:p>
    <w:p w14:paraId="474D3D42">
      <w:pPr>
        <w:pStyle w:val="3"/>
        <w:keepNext/>
        <w:numPr>
          <w:ilvl w:val="0"/>
          <w:numId w:val="7"/>
        </w:numPr>
        <w:spacing w:before="360" w:after="240" w:line="276" w:lineRule="auto"/>
        <w:rPr>
          <w:rFonts w:ascii="微软雅黑" w:hAnsi="微软雅黑" w:eastAsia="微软雅黑"/>
          <w:b/>
          <w:color w:val="17365D"/>
          <w:sz w:val="40"/>
        </w:rPr>
      </w:pPr>
      <w:r>
        <w:rPr>
          <w:rFonts w:hint="eastAsia" w:ascii="微软雅黑" w:hAnsi="微软雅黑" w:eastAsia="微软雅黑"/>
          <w:b/>
          <w:color w:val="17365D"/>
          <w:sz w:val="40"/>
          <w:lang w:val="en-US" w:eastAsia="zh-CN"/>
        </w:rPr>
        <w:t>投放管理</w:t>
      </w:r>
    </w:p>
    <w:p w14:paraId="409CA573">
      <w:pPr>
        <w:pStyle w:val="4"/>
        <w:rPr>
          <w:rFonts w:hint="eastAsia"/>
          <w:b/>
          <w:color w:val="2F5597"/>
          <w:sz w:val="25"/>
          <w:lang w:val="en-US" w:eastAsia="zh-CN"/>
        </w:rPr>
      </w:pPr>
      <w:r>
        <w:rPr>
          <w:rFonts w:hint="eastAsia"/>
          <w:b/>
          <w:color w:val="2F5597"/>
          <w:sz w:val="25"/>
          <w:lang w:val="en-US" w:eastAsia="zh-CN"/>
        </w:rPr>
        <w:t>广告消耗数据</w:t>
      </w:r>
    </w:p>
    <w:p w14:paraId="58A00AE1">
      <w:pPr>
        <w:pStyle w:val="4"/>
        <w:rPr>
          <w:rFonts w:hint="eastAsia"/>
          <w:b/>
          <w:color w:val="2F5597"/>
          <w:sz w:val="25"/>
          <w:lang w:val="en-US" w:eastAsia="zh-CN"/>
        </w:rPr>
      </w:pPr>
      <w:r>
        <w:rPr>
          <w:rFonts w:hint="eastAsia"/>
          <w:b/>
          <w:color w:val="2F5597"/>
          <w:sz w:val="25"/>
          <w:lang w:val="en-US" w:eastAsia="zh-CN"/>
        </w:rPr>
        <w:t>投放数据报表</w:t>
      </w:r>
    </w:p>
    <w:p w14:paraId="6B69458B">
      <w:pPr>
        <w:pStyle w:val="4"/>
        <w:rPr>
          <w:rFonts w:hint="eastAsia"/>
          <w:b/>
          <w:color w:val="2F5597"/>
          <w:sz w:val="25"/>
          <w:lang w:val="en-US" w:eastAsia="zh-CN"/>
        </w:rPr>
      </w:pPr>
      <w:r>
        <w:rPr>
          <w:rFonts w:hint="eastAsia"/>
          <w:b/>
          <w:color w:val="2F5597"/>
          <w:sz w:val="25"/>
          <w:lang w:val="en-US" w:eastAsia="zh-CN"/>
        </w:rPr>
        <w:t>渠道报表</w:t>
      </w:r>
    </w:p>
    <w:p w14:paraId="6082D7B2">
      <w:pPr>
        <w:pStyle w:val="4"/>
        <w:rPr>
          <w:rFonts w:hint="default"/>
          <w:b/>
          <w:color w:val="2F5597"/>
          <w:sz w:val="25"/>
          <w:lang w:val="en-US" w:eastAsia="zh-CN"/>
        </w:rPr>
      </w:pPr>
      <w:r>
        <w:rPr>
          <w:rFonts w:hint="eastAsia"/>
          <w:b/>
          <w:color w:val="2F5597"/>
          <w:sz w:val="25"/>
          <w:lang w:val="en-US" w:eastAsia="zh-CN"/>
        </w:rPr>
        <w:t>渠道报表明细</w:t>
      </w:r>
    </w:p>
    <w:p w14:paraId="67E9896D">
      <w:pPr>
        <w:pStyle w:val="3"/>
        <w:keepNext/>
        <w:numPr>
          <w:ilvl w:val="0"/>
          <w:numId w:val="7"/>
        </w:numPr>
        <w:spacing w:before="360" w:after="240" w:line="276" w:lineRule="auto"/>
        <w:rPr>
          <w:rFonts w:ascii="微软雅黑" w:hAnsi="微软雅黑" w:eastAsia="微软雅黑"/>
          <w:b/>
          <w:color w:val="17365D"/>
          <w:sz w:val="40"/>
        </w:rPr>
      </w:pPr>
      <w:r>
        <w:rPr>
          <w:rFonts w:ascii="微软雅黑" w:hAnsi="微软雅黑" w:eastAsia="微软雅黑"/>
          <w:b/>
          <w:color w:val="17365D"/>
          <w:sz w:val="40"/>
        </w:rPr>
        <w:t>风险中心</w:t>
      </w:r>
    </w:p>
    <w:p w14:paraId="6AC7DCE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黑名单</w:t>
      </w:r>
    </w:p>
    <w:p w14:paraId="7946FC3B">
      <w:pPr>
        <w:spacing w:after="60" w:line="276" w:lineRule="auto"/>
      </w:pPr>
      <w:r>
        <w:rPr>
          <w:rFonts w:ascii="微软雅黑" w:hAnsi="微软雅黑" w:eastAsia="微软雅黑"/>
          <w:b w:val="0"/>
          <w:sz w:val="20"/>
        </w:rPr>
        <w:t>黑名单用于管理受限制的玩家或风险对象，页面分为会员黑名单和 IP/设备黑名单两类，适合按登录、领取优惠和提现限制分别维护。</w:t>
      </w:r>
    </w:p>
    <w:p w14:paraId="4C51AD6D">
      <w:pPr>
        <w:pStyle w:val="6"/>
        <w:spacing w:after="60" w:line="276" w:lineRule="auto"/>
      </w:pPr>
      <w:r>
        <w:rPr>
          <w:rFonts w:ascii="微软雅黑" w:hAnsi="微软雅黑" w:eastAsia="微软雅黑"/>
          <w:b/>
          <w:i/>
          <w:color w:val="2F5597"/>
          <w:sz w:val="21"/>
        </w:rPr>
        <w:t>会员黑名单列表</w:t>
      </w:r>
    </w:p>
    <w:p w14:paraId="7A8DBB35">
      <w:pPr>
        <w:spacing w:after="60" w:line="276" w:lineRule="auto"/>
      </w:pPr>
      <w:r>
        <w:rPr>
          <w:rFonts w:ascii="微软雅黑" w:hAnsi="微软雅黑" w:eastAsia="微软雅黑"/>
          <w:b w:val="0"/>
          <w:sz w:val="20"/>
        </w:rPr>
        <w:t>会员黑名单列表用于查看已加入黑名单的会员及其限制类型，便于按会员 ID 快速查询、补充备注和移除限制。</w:t>
      </w:r>
    </w:p>
    <w:p w14:paraId="720A322D">
      <w:pPr>
        <w:spacing w:after="40"/>
        <w:jc w:val="center"/>
      </w:pPr>
      <w:r>
        <w:drawing>
          <wp:inline distT="0" distB="0" distL="114300" distR="114300">
            <wp:extent cx="5852160" cy="2104390"/>
            <wp:effectExtent l="0" t="0" r="15240" b="1016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218"/>
                    <pic:cNvPicPr>
                      <a:picLocks noChangeAspect="1"/>
                    </pic:cNvPicPr>
                  </pic:nvPicPr>
                  <pic:blipFill>
                    <a:blip r:embed="rId122"/>
                    <a:stretch>
                      <a:fillRect/>
                    </a:stretch>
                  </pic:blipFill>
                  <pic:spPr>
                    <a:xfrm>
                      <a:off x="0" y="0"/>
                      <a:ext cx="5852160" cy="2104694"/>
                    </a:xfrm>
                    <a:prstGeom prst="rect">
                      <a:avLst/>
                    </a:prstGeom>
                  </pic:spPr>
                </pic:pic>
              </a:graphicData>
            </a:graphic>
          </wp:inline>
        </w:drawing>
      </w:r>
    </w:p>
    <w:p w14:paraId="2DE58824">
      <w:pPr>
        <w:pStyle w:val="15"/>
        <w:spacing w:after="120"/>
        <w:jc w:val="center"/>
      </w:pPr>
      <w:r>
        <w:rPr>
          <w:rFonts w:ascii="微软雅黑" w:hAnsi="微软雅黑" w:eastAsia="微软雅黑"/>
          <w:b w:val="0"/>
          <w:color w:val="707E92"/>
          <w:sz w:val="18"/>
        </w:rPr>
        <w:t>图：会员黑名单列表，用于查看会员限制类型、备注和操作记录。</w:t>
      </w:r>
    </w:p>
    <w:p w14:paraId="3E92E16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：页面可按会员 ID 和限制类型筛选，搜索用于定位目标会员，重置可清空条件，导出报表可留存当前名单。</w:t>
      </w:r>
    </w:p>
    <w:p w14:paraId="7A359E4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：表格展示会员 ID、用户名、充提差额、总余额、限制类型、最后登录 IP、操作人、手机号、备注和操作时间，便于核对命中依据。</w:t>
      </w:r>
    </w:p>
    <w:p w14:paraId="6AF35C3B">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：每行支持修改和移除黑名单，顶部支持新增与批量移除黑名单；批量操作前需要先勾选记录。</w:t>
      </w:r>
    </w:p>
    <w:p w14:paraId="3781786F">
      <w:pPr>
        <w:pStyle w:val="6"/>
        <w:spacing w:after="60" w:line="276" w:lineRule="auto"/>
      </w:pPr>
      <w:r>
        <w:rPr>
          <w:rFonts w:ascii="微软雅黑" w:hAnsi="微软雅黑" w:eastAsia="微软雅黑"/>
          <w:b/>
          <w:i/>
          <w:color w:val="2F5597"/>
          <w:sz w:val="21"/>
        </w:rPr>
        <w:t>新增黑名单弹窗</w:t>
      </w:r>
    </w:p>
    <w:p w14:paraId="380B6A86">
      <w:pPr>
        <w:spacing w:after="60" w:line="276" w:lineRule="auto"/>
      </w:pPr>
      <w:r>
        <w:rPr>
          <w:rFonts w:ascii="微软雅黑" w:hAnsi="微软雅黑" w:eastAsia="微软雅黑"/>
          <w:b w:val="0"/>
          <w:sz w:val="20"/>
        </w:rPr>
        <w:t>新增黑名单弹窗用于录入会员限制信息，提交后会把会员加入黑名单并按选中的限制类型生效。</w:t>
      </w:r>
    </w:p>
    <w:p w14:paraId="7828C8FE">
      <w:pPr>
        <w:spacing w:after="40"/>
        <w:jc w:val="center"/>
      </w:pPr>
      <w:r>
        <w:drawing>
          <wp:inline distT="0" distB="0" distL="114300" distR="114300">
            <wp:extent cx="5852160" cy="3544570"/>
            <wp:effectExtent l="0" t="0" r="15240" b="1778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219"/>
                    <pic:cNvPicPr>
                      <a:picLocks noChangeAspect="1"/>
                    </pic:cNvPicPr>
                  </pic:nvPicPr>
                  <pic:blipFill>
                    <a:blip r:embed="rId123"/>
                    <a:stretch>
                      <a:fillRect/>
                    </a:stretch>
                  </pic:blipFill>
                  <pic:spPr>
                    <a:xfrm>
                      <a:off x="0" y="0"/>
                      <a:ext cx="5852160" cy="3545184"/>
                    </a:xfrm>
                    <a:prstGeom prst="rect">
                      <a:avLst/>
                    </a:prstGeom>
                  </pic:spPr>
                </pic:pic>
              </a:graphicData>
            </a:graphic>
          </wp:inline>
        </w:drawing>
      </w:r>
    </w:p>
    <w:p w14:paraId="4FEA2FBB">
      <w:pPr>
        <w:pStyle w:val="15"/>
        <w:spacing w:after="120"/>
        <w:jc w:val="center"/>
      </w:pPr>
      <w:r>
        <w:rPr>
          <w:rFonts w:ascii="微软雅黑" w:hAnsi="微软雅黑" w:eastAsia="微软雅黑"/>
          <w:b w:val="0"/>
          <w:color w:val="707E92"/>
          <w:sz w:val="18"/>
        </w:rPr>
        <w:t>图：新增黑名单弹窗，用于填写会员 ID、限制类型和备注。</w:t>
      </w:r>
    </w:p>
    <w:p w14:paraId="5C884E04">
      <w:pPr>
        <w:pStyle w:val="16"/>
        <w:spacing w:after="60" w:line="276" w:lineRule="auto"/>
      </w:pPr>
      <w:r>
        <w:rPr>
          <w:rFonts w:ascii="微软雅黑" w:hAnsi="微软雅黑" w:eastAsia="微软雅黑"/>
          <w:b/>
          <w:color w:val="2F5597"/>
          <w:sz w:val="20"/>
        </w:rPr>
        <w:t>填写内容</w:t>
      </w:r>
      <w:r>
        <w:rPr>
          <w:rFonts w:ascii="微软雅黑" w:hAnsi="微软雅黑" w:eastAsia="微软雅黑"/>
          <w:b w:val="0"/>
          <w:sz w:val="20"/>
        </w:rPr>
        <w:t>：弹窗需要填写会员 ID、勾选限制类型并补充备注，限制类型可同时选择冻结、禁止领取优惠和禁止提现。</w:t>
      </w:r>
    </w:p>
    <w:p w14:paraId="7F0DA430">
      <w:pPr>
        <w:pStyle w:val="16"/>
        <w:spacing w:after="60" w:line="276" w:lineRule="auto"/>
      </w:pPr>
      <w:r>
        <w:rPr>
          <w:rFonts w:ascii="微软雅黑" w:hAnsi="微软雅黑" w:eastAsia="微软雅黑"/>
          <w:b/>
          <w:color w:val="2F5597"/>
          <w:sz w:val="20"/>
        </w:rPr>
        <w:t>备注规则</w:t>
      </w:r>
      <w:r>
        <w:rPr>
          <w:rFonts w:ascii="微软雅黑" w:hAnsi="微软雅黑" w:eastAsia="微软雅黑"/>
          <w:b w:val="0"/>
          <w:sz w:val="20"/>
        </w:rPr>
        <w:t>：备注最多 255 字，建议写明限制原因、处理人和生效背景，方便后续复核或解除。</w:t>
      </w:r>
    </w:p>
    <w:p w14:paraId="0D01A68F">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：取消可放弃本次录入，确定用于提交新增黑名单；保存前应确认会员 ID 和限制范围没有填错。</w:t>
      </w:r>
    </w:p>
    <w:p w14:paraId="23078F76">
      <w:pPr>
        <w:pStyle w:val="6"/>
        <w:spacing w:after="60" w:line="276" w:lineRule="auto"/>
      </w:pPr>
      <w:r>
        <w:rPr>
          <w:rFonts w:ascii="微软雅黑" w:hAnsi="微软雅黑" w:eastAsia="微软雅黑"/>
          <w:b/>
          <w:i/>
          <w:color w:val="2F5597"/>
          <w:sz w:val="21"/>
        </w:rPr>
        <w:t>IP/设备黑名单列表</w:t>
      </w:r>
    </w:p>
    <w:p w14:paraId="7934B9B9">
      <w:pPr>
        <w:spacing w:after="60" w:line="276" w:lineRule="auto"/>
      </w:pPr>
      <w:r>
        <w:rPr>
          <w:rFonts w:ascii="微软雅黑" w:hAnsi="微软雅黑" w:eastAsia="微软雅黑"/>
          <w:b w:val="0"/>
          <w:sz w:val="20"/>
        </w:rPr>
        <w:t>IP/设备黑名单列表用于按地址或设备查看限制对象，适合处理同设备、同 IP 关联风险。</w:t>
      </w:r>
    </w:p>
    <w:p w14:paraId="2B6A8138">
      <w:pPr>
        <w:spacing w:after="40"/>
        <w:jc w:val="center"/>
      </w:pPr>
      <w:r>
        <w:drawing>
          <wp:inline distT="0" distB="0" distL="114300" distR="114300">
            <wp:extent cx="5852160" cy="995680"/>
            <wp:effectExtent l="0" t="0" r="15240" b="1397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220"/>
                    <pic:cNvPicPr>
                      <a:picLocks noChangeAspect="1"/>
                    </pic:cNvPicPr>
                  </pic:nvPicPr>
                  <pic:blipFill>
                    <a:blip r:embed="rId124"/>
                    <a:stretch>
                      <a:fillRect/>
                    </a:stretch>
                  </pic:blipFill>
                  <pic:spPr>
                    <a:xfrm>
                      <a:off x="0" y="0"/>
                      <a:ext cx="5852160" cy="996112"/>
                    </a:xfrm>
                    <a:prstGeom prst="rect">
                      <a:avLst/>
                    </a:prstGeom>
                  </pic:spPr>
                </pic:pic>
              </a:graphicData>
            </a:graphic>
          </wp:inline>
        </w:drawing>
      </w:r>
    </w:p>
    <w:p w14:paraId="6B0288B8">
      <w:pPr>
        <w:pStyle w:val="15"/>
        <w:spacing w:after="120"/>
        <w:jc w:val="center"/>
      </w:pPr>
      <w:r>
        <w:rPr>
          <w:rFonts w:ascii="微软雅黑" w:hAnsi="微软雅黑" w:eastAsia="微软雅黑"/>
          <w:b w:val="0"/>
          <w:color w:val="707E92"/>
          <w:sz w:val="18"/>
        </w:rPr>
        <w:t>图：IP/设备黑名单列表，用于查看限制地址、限制类型和操作记录。</w:t>
      </w:r>
    </w:p>
    <w:p w14:paraId="4DE17B2A">
      <w:pPr>
        <w:pStyle w:val="16"/>
        <w:spacing w:after="60" w:line="276" w:lineRule="auto"/>
      </w:pPr>
      <w:r>
        <w:rPr>
          <w:rFonts w:ascii="微软雅黑" w:hAnsi="微软雅黑" w:eastAsia="微软雅黑"/>
          <w:b/>
          <w:color w:val="2F5597"/>
          <w:sz w:val="20"/>
        </w:rPr>
        <w:t>页面结构</w:t>
      </w:r>
      <w:r>
        <w:rPr>
          <w:rFonts w:ascii="微软雅黑" w:hAnsi="微软雅黑" w:eastAsia="微软雅黑"/>
          <w:b w:val="0"/>
          <w:sz w:val="20"/>
        </w:rPr>
        <w:t>：顶部保留导出报表、新增和批量移除黑名单按钮，列表支持勾选后批量处理。</w:t>
      </w:r>
    </w:p>
    <w:p w14:paraId="6743364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 ID、黑名单类型、限制地址、限制类型、备注、操作人、操作时间和操作入口，便于按地址追踪限制结果。</w:t>
      </w:r>
    </w:p>
    <w:p w14:paraId="2E239397">
      <w:pPr>
        <w:pStyle w:val="16"/>
        <w:spacing w:after="60" w:line="276" w:lineRule="auto"/>
      </w:pPr>
      <w:r>
        <w:rPr>
          <w:rFonts w:ascii="微软雅黑" w:hAnsi="微软雅黑" w:eastAsia="微软雅黑"/>
          <w:b/>
          <w:color w:val="2F5597"/>
          <w:sz w:val="20"/>
        </w:rPr>
        <w:t>处理方式</w:t>
      </w:r>
      <w:r>
        <w:rPr>
          <w:rFonts w:ascii="微软雅黑" w:hAnsi="微软雅黑" w:eastAsia="微软雅黑"/>
          <w:b w:val="0"/>
          <w:sz w:val="20"/>
        </w:rPr>
        <w:t>：已命中的 IP 或设备可通过修改调整限制类型，或直接移除黑名单恢复访问。</w:t>
      </w:r>
    </w:p>
    <w:p w14:paraId="687BCC88">
      <w:pPr>
        <w:pStyle w:val="6"/>
        <w:spacing w:after="60" w:line="276" w:lineRule="auto"/>
      </w:pPr>
      <w:r>
        <w:rPr>
          <w:rFonts w:ascii="微软雅黑" w:hAnsi="微软雅黑" w:eastAsia="微软雅黑"/>
          <w:b/>
          <w:i/>
          <w:color w:val="2F5597"/>
          <w:sz w:val="21"/>
        </w:rPr>
        <w:t>新增 IP/设备黑名单弹窗</w:t>
      </w:r>
    </w:p>
    <w:p w14:paraId="7A7CC07E">
      <w:pPr>
        <w:spacing w:after="60" w:line="276" w:lineRule="auto"/>
      </w:pPr>
      <w:r>
        <w:rPr>
          <w:rFonts w:ascii="微软雅黑" w:hAnsi="微软雅黑" w:eastAsia="微软雅黑"/>
          <w:b w:val="0"/>
          <w:sz w:val="20"/>
        </w:rPr>
        <w:t>新增 IP/设备黑名单弹窗用于按 IP 或设备号新增限制对象，并选择对应的处罚范围。</w:t>
      </w:r>
    </w:p>
    <w:p w14:paraId="2E44FE06">
      <w:pPr>
        <w:spacing w:after="40"/>
        <w:jc w:val="center"/>
      </w:pPr>
      <w:r>
        <w:drawing>
          <wp:inline distT="0" distB="0" distL="114300" distR="114300">
            <wp:extent cx="5852160" cy="4205605"/>
            <wp:effectExtent l="0" t="0" r="15240" b="4445"/>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221"/>
                    <pic:cNvPicPr>
                      <a:picLocks noChangeAspect="1"/>
                    </pic:cNvPicPr>
                  </pic:nvPicPr>
                  <pic:blipFill>
                    <a:blip r:embed="rId125"/>
                    <a:stretch>
                      <a:fillRect/>
                    </a:stretch>
                  </pic:blipFill>
                  <pic:spPr>
                    <a:xfrm>
                      <a:off x="0" y="0"/>
                      <a:ext cx="5852160" cy="4205838"/>
                    </a:xfrm>
                    <a:prstGeom prst="rect">
                      <a:avLst/>
                    </a:prstGeom>
                  </pic:spPr>
                </pic:pic>
              </a:graphicData>
            </a:graphic>
          </wp:inline>
        </w:drawing>
      </w:r>
    </w:p>
    <w:p w14:paraId="734A6839">
      <w:pPr>
        <w:pStyle w:val="15"/>
        <w:spacing w:after="120"/>
        <w:jc w:val="center"/>
      </w:pPr>
      <w:r>
        <w:rPr>
          <w:rFonts w:ascii="微软雅黑" w:hAnsi="微软雅黑" w:eastAsia="微软雅黑"/>
          <w:b w:val="0"/>
          <w:color w:val="707E92"/>
          <w:sz w:val="18"/>
        </w:rPr>
        <w:t>图：新增 IP/设备黑名单弹窗，用于录入黑名单值和限制类型。</w:t>
      </w:r>
    </w:p>
    <w:p w14:paraId="0FC6ED4D">
      <w:pPr>
        <w:pStyle w:val="16"/>
        <w:spacing w:after="60" w:line="276" w:lineRule="auto"/>
      </w:pPr>
      <w:r>
        <w:rPr>
          <w:rFonts w:ascii="微软雅黑" w:hAnsi="微软雅黑" w:eastAsia="微软雅黑"/>
          <w:b/>
          <w:color w:val="2F5597"/>
          <w:sz w:val="20"/>
        </w:rPr>
        <w:t>添加类型</w:t>
      </w:r>
      <w:r>
        <w:rPr>
          <w:rFonts w:ascii="微软雅黑" w:hAnsi="微软雅黑" w:eastAsia="微软雅黑"/>
          <w:b w:val="0"/>
          <w:sz w:val="20"/>
        </w:rPr>
        <w:t>：弹窗可在 IP 和设备之间切换，黑名单值会随所选类型一起保存。</w:t>
      </w:r>
    </w:p>
    <w:p w14:paraId="6C72A32C">
      <w:pPr>
        <w:pStyle w:val="16"/>
        <w:spacing w:after="60" w:line="276" w:lineRule="auto"/>
      </w:pPr>
      <w:r>
        <w:rPr>
          <w:rFonts w:ascii="微软雅黑" w:hAnsi="微软雅黑" w:eastAsia="微软雅黑"/>
          <w:b/>
          <w:color w:val="2F5597"/>
          <w:sz w:val="20"/>
        </w:rPr>
        <w:t>限制类型</w:t>
      </w:r>
      <w:r>
        <w:rPr>
          <w:rFonts w:ascii="微软雅黑" w:hAnsi="微软雅黑" w:eastAsia="微软雅黑"/>
          <w:b w:val="0"/>
          <w:sz w:val="20"/>
        </w:rPr>
        <w:t>：限制类型支持勾选全部、冻结和禁止注册，提交前应确认与当前风控策略一致。</w:t>
      </w:r>
    </w:p>
    <w:p w14:paraId="6F7A47D0">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：备注最多 255 字，建议记录命中原因、关联账号和处理依据；点击确定后提交新增记录。</w:t>
      </w:r>
    </w:p>
    <w:p w14:paraId="4F6DF181">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刷子监控</w:t>
      </w:r>
    </w:p>
    <w:p w14:paraId="292F361A">
      <w:pPr>
        <w:spacing w:after="60" w:line="276" w:lineRule="auto"/>
      </w:pPr>
      <w:r>
        <w:rPr>
          <w:rFonts w:ascii="微软雅黑" w:hAnsi="微软雅黑" w:eastAsia="微软雅黑"/>
          <w:b w:val="0"/>
          <w:sz w:val="20"/>
        </w:rPr>
        <w:t>刷子监控用于识别同关联账号、同 IP、同设备等异常批量行为，页面分为同关联监控和同关联处罚记录两部分，适合风控按风险对象持续跟踪。</w:t>
      </w:r>
    </w:p>
    <w:p w14:paraId="0CFA7B08">
      <w:pPr>
        <w:pStyle w:val="6"/>
        <w:spacing w:after="60" w:line="276" w:lineRule="auto"/>
      </w:pPr>
      <w:r>
        <w:rPr>
          <w:rFonts w:ascii="微软雅黑" w:hAnsi="微软雅黑" w:eastAsia="微软雅黑"/>
          <w:b/>
          <w:i/>
          <w:color w:val="2F5597"/>
          <w:sz w:val="21"/>
        </w:rPr>
        <w:t>同关联监控</w:t>
      </w:r>
    </w:p>
    <w:p w14:paraId="0B2CB579">
      <w:pPr>
        <w:spacing w:after="60" w:line="276" w:lineRule="auto"/>
      </w:pPr>
      <w:r>
        <w:rPr>
          <w:rFonts w:ascii="微软雅黑" w:hAnsi="微软雅黑" w:eastAsia="微软雅黑"/>
          <w:b w:val="0"/>
          <w:sz w:val="20"/>
        </w:rPr>
        <w:t>同关联监控用于查看命中风险规则的关联对象，页面支持按时间、风险类型和关联标识值筛选，并可继续做拉黑或处罚处理。</w:t>
      </w:r>
    </w:p>
    <w:p w14:paraId="6E43137F">
      <w:pPr>
        <w:spacing w:after="40"/>
        <w:jc w:val="center"/>
      </w:pPr>
      <w:r>
        <w:drawing>
          <wp:inline distT="0" distB="0" distL="114300" distR="114300">
            <wp:extent cx="5852160" cy="2078990"/>
            <wp:effectExtent l="0" t="0" r="15240" b="1651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222"/>
                    <pic:cNvPicPr>
                      <a:picLocks noChangeAspect="1"/>
                    </pic:cNvPicPr>
                  </pic:nvPicPr>
                  <pic:blipFill>
                    <a:blip r:embed="rId126"/>
                    <a:stretch>
                      <a:fillRect/>
                    </a:stretch>
                  </pic:blipFill>
                  <pic:spPr>
                    <a:xfrm>
                      <a:off x="0" y="0"/>
                      <a:ext cx="5852160" cy="2079197"/>
                    </a:xfrm>
                    <a:prstGeom prst="rect">
                      <a:avLst/>
                    </a:prstGeom>
                  </pic:spPr>
                </pic:pic>
              </a:graphicData>
            </a:graphic>
          </wp:inline>
        </w:drawing>
      </w:r>
    </w:p>
    <w:p w14:paraId="2E84FC54">
      <w:pPr>
        <w:pStyle w:val="15"/>
        <w:spacing w:after="120"/>
        <w:jc w:val="center"/>
      </w:pPr>
      <w:r>
        <w:rPr>
          <w:rFonts w:ascii="微软雅黑" w:hAnsi="微软雅黑" w:eastAsia="微软雅黑"/>
          <w:b w:val="0"/>
          <w:color w:val="707E92"/>
          <w:sz w:val="18"/>
        </w:rPr>
        <w:t>图：同关联监控列表，用于查看风险类型、风险值和同关联数量。</w:t>
      </w:r>
    </w:p>
    <w:p w14:paraId="7F7FE2A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：页面可按时间范围、风险类型和关联标识值查询，点击搜索刷新列表，重置恢复默认条件。</w:t>
      </w:r>
    </w:p>
    <w:p w14:paraId="171A947E">
      <w:pPr>
        <w:pStyle w:val="16"/>
        <w:spacing w:after="60" w:line="276" w:lineRule="auto"/>
      </w:pPr>
      <w:r>
        <w:rPr>
          <w:rFonts w:ascii="微软雅黑" w:hAnsi="微软雅黑" w:eastAsia="微软雅黑"/>
          <w:b/>
          <w:color w:val="2F5597"/>
          <w:sz w:val="20"/>
        </w:rPr>
        <w:t>监控按钮</w:t>
      </w:r>
      <w:r>
        <w:rPr>
          <w:rFonts w:ascii="微软雅黑" w:hAnsi="微软雅黑" w:eastAsia="微软雅黑"/>
          <w:b w:val="0"/>
          <w:sz w:val="20"/>
        </w:rPr>
        <w:t>：默认自动规则可查看同 IP、同设备号和同提现名称的处罚阈值与限制人数，便于统一风控口径。</w:t>
      </w:r>
    </w:p>
    <w:p w14:paraId="3051DCE3">
      <w:pPr>
        <w:pStyle w:val="16"/>
        <w:spacing w:after="60" w:line="276" w:lineRule="auto"/>
      </w:pPr>
      <w:r>
        <w:rPr>
          <w:rFonts w:ascii="微软雅黑" w:hAnsi="微软雅黑" w:eastAsia="微软雅黑"/>
          <w:b/>
          <w:color w:val="2F5597"/>
          <w:sz w:val="20"/>
        </w:rPr>
        <w:t>列表说明</w:t>
      </w:r>
      <w:r>
        <w:rPr>
          <w:rFonts w:ascii="微软雅黑" w:hAnsi="微软雅黑" w:eastAsia="微软雅黑"/>
          <w:b w:val="0"/>
          <w:sz w:val="20"/>
        </w:rPr>
        <w:t>：表格展示风险类型、风险值、同关联数量、触发方式、创建时间和更新时间，用于快速判断关联规模和命中来源。</w:t>
      </w:r>
    </w:p>
    <w:p w14:paraId="4876E9BF">
      <w:pPr>
        <w:pStyle w:val="6"/>
        <w:spacing w:after="60" w:line="276" w:lineRule="auto"/>
      </w:pPr>
      <w:r>
        <w:rPr>
          <w:rFonts w:ascii="微软雅黑" w:hAnsi="微软雅黑" w:eastAsia="微软雅黑"/>
          <w:b/>
          <w:i/>
          <w:color w:val="2F5597"/>
          <w:sz w:val="21"/>
        </w:rPr>
        <w:t>同关联处罚记录</w:t>
      </w:r>
    </w:p>
    <w:p w14:paraId="138995AF">
      <w:pPr>
        <w:spacing w:after="60" w:line="276" w:lineRule="auto"/>
      </w:pPr>
      <w:r>
        <w:rPr>
          <w:rFonts w:ascii="微软雅黑" w:hAnsi="微软雅黑" w:eastAsia="微软雅黑"/>
          <w:b w:val="0"/>
          <w:sz w:val="20"/>
        </w:rPr>
        <w:t>同关联处罚记录用于查看已经执行过的处罚结果，适合回溯触发会员、被处罚会员和处罚范围。</w:t>
      </w:r>
    </w:p>
    <w:p w14:paraId="133EFB66">
      <w:pPr>
        <w:spacing w:after="40"/>
        <w:jc w:val="center"/>
      </w:pPr>
      <w:r>
        <w:drawing>
          <wp:inline distT="0" distB="0" distL="114300" distR="114300">
            <wp:extent cx="5852160" cy="2280920"/>
            <wp:effectExtent l="0" t="0" r="15240" b="508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a:picLocks noChangeAspect="1"/>
                    </pic:cNvPicPr>
                  </pic:nvPicPr>
                  <pic:blipFill>
                    <a:blip r:embed="rId127"/>
                    <a:stretch>
                      <a:fillRect/>
                    </a:stretch>
                  </pic:blipFill>
                  <pic:spPr>
                    <a:xfrm>
                      <a:off x="0" y="0"/>
                      <a:ext cx="5852160" cy="2281112"/>
                    </a:xfrm>
                    <a:prstGeom prst="rect">
                      <a:avLst/>
                    </a:prstGeom>
                  </pic:spPr>
                </pic:pic>
              </a:graphicData>
            </a:graphic>
          </wp:inline>
        </w:drawing>
      </w:r>
    </w:p>
    <w:p w14:paraId="58B494B7">
      <w:pPr>
        <w:pStyle w:val="15"/>
        <w:spacing w:after="120"/>
        <w:jc w:val="center"/>
      </w:pPr>
      <w:r>
        <w:rPr>
          <w:rFonts w:ascii="微软雅黑" w:hAnsi="微软雅黑" w:eastAsia="微软雅黑"/>
          <w:b w:val="0"/>
          <w:color w:val="707E92"/>
          <w:sz w:val="18"/>
        </w:rPr>
        <w:t>图：同关联处罚记录列表，用于查看处罚结果、触发方式和备注。</w:t>
      </w:r>
    </w:p>
    <w:p w14:paraId="11856D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：页面支持按时间范围、风控类型、处罚类型、触发会员 ID 和被处罚会员 ID 查询，便于按案件回溯处理结果。</w:t>
      </w:r>
    </w:p>
    <w:p w14:paraId="0337C3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：表格展示商户 ID、触发会员 ID、触发会员、被处罚会员 ID、被处罚会员、风险类型、风险值、同关联数量、触发方式、处罚范围、操作员、备注、创建时间和操作。</w:t>
      </w:r>
    </w:p>
    <w:p w14:paraId="674BFE00">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：每行可继续发起手动风控处罚，适合对新增异常对象补充人工处理结论。</w:t>
      </w:r>
    </w:p>
    <w:p w14:paraId="29A82894">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游戏获利监控</w:t>
      </w:r>
    </w:p>
    <w:p w14:paraId="1CAD621F">
      <w:pPr>
        <w:spacing w:after="60" w:line="276" w:lineRule="auto"/>
      </w:pPr>
      <w:r>
        <w:rPr>
          <w:rFonts w:ascii="微软雅黑" w:hAnsi="微软雅黑" w:eastAsia="微软雅黑"/>
          <w:b w:val="0"/>
          <w:sz w:val="20"/>
        </w:rPr>
        <w:t>游戏获利监控用于查看玩家中奖、获利比和风控提醒的命中情况，适合对大额中奖、高倍爆奖等异常获利行为做持续核查。</w:t>
      </w:r>
    </w:p>
    <w:p w14:paraId="2E6F9DF2">
      <w:pPr>
        <w:pStyle w:val="6"/>
        <w:spacing w:after="60" w:line="276" w:lineRule="auto"/>
      </w:pPr>
      <w:r>
        <w:rPr>
          <w:rFonts w:ascii="微软雅黑" w:hAnsi="微软雅黑" w:eastAsia="微软雅黑"/>
          <w:b/>
          <w:i/>
          <w:color w:val="2F5597"/>
          <w:sz w:val="21"/>
        </w:rPr>
        <w:t>监控列表</w:t>
      </w:r>
    </w:p>
    <w:p w14:paraId="4DA30A7E">
      <w:pPr>
        <w:spacing w:after="60" w:line="276" w:lineRule="auto"/>
      </w:pPr>
      <w:r>
        <w:rPr>
          <w:rFonts w:ascii="微软雅黑" w:hAnsi="微软雅黑" w:eastAsia="微软雅黑"/>
          <w:b w:val="0"/>
          <w:sz w:val="20"/>
        </w:rPr>
        <w:t>监控列表用于查看当前命中的玩家记录，页面可直接进入审核，也可点击查看数据确认实际参数。</w:t>
      </w:r>
    </w:p>
    <w:p w14:paraId="1D48A583">
      <w:pPr>
        <w:spacing w:after="40"/>
        <w:jc w:val="center"/>
      </w:pPr>
      <w:r>
        <w:drawing>
          <wp:inline distT="0" distB="0" distL="114300" distR="114300">
            <wp:extent cx="5852160" cy="1933575"/>
            <wp:effectExtent l="0" t="0" r="15240" b="9525"/>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224"/>
                    <pic:cNvPicPr>
                      <a:picLocks noChangeAspect="1"/>
                    </pic:cNvPicPr>
                  </pic:nvPicPr>
                  <pic:blipFill>
                    <a:blip r:embed="rId128"/>
                    <a:stretch>
                      <a:fillRect/>
                    </a:stretch>
                  </pic:blipFill>
                  <pic:spPr>
                    <a:xfrm>
                      <a:off x="0" y="0"/>
                      <a:ext cx="5852160" cy="1933945"/>
                    </a:xfrm>
                    <a:prstGeom prst="rect">
                      <a:avLst/>
                    </a:prstGeom>
                  </pic:spPr>
                </pic:pic>
              </a:graphicData>
            </a:graphic>
          </wp:inline>
        </w:drawing>
      </w:r>
    </w:p>
    <w:p w14:paraId="281023EF">
      <w:pPr>
        <w:pStyle w:val="15"/>
        <w:spacing w:after="120"/>
        <w:jc w:val="center"/>
      </w:pPr>
      <w:r>
        <w:rPr>
          <w:rFonts w:ascii="微软雅黑" w:hAnsi="微软雅黑" w:eastAsia="微软雅黑"/>
          <w:b w:val="0"/>
          <w:color w:val="707E92"/>
          <w:sz w:val="18"/>
        </w:rPr>
        <w:t>图：游戏获利监控列表，用于查看监控状态、监控类型和操作入口。</w:t>
      </w:r>
    </w:p>
    <w:p w14:paraId="47A5F07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：页面支持按时间范围、会员 ID、监控类型和状态筛选，搜索可定位待处理记录，重置恢复默认条件。</w:t>
      </w:r>
    </w:p>
    <w:p w14:paraId="2A6445E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：表格展示触发会员 ID、触发会员账号、状态、监控类型、操作人、实际参数、备注、更新时间和操作，适合直接查看命中结果。</w:t>
      </w:r>
    </w:p>
    <w:p w14:paraId="7BBB2902">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：列表提供监控参数、导出会员账号和审核入口；实际参数可进一步核对下注金额、游戏编码、游戏类型和中奖金额。</w:t>
      </w:r>
    </w:p>
    <w:p w14:paraId="05BA3070">
      <w:pPr>
        <w:pStyle w:val="6"/>
        <w:spacing w:after="60" w:line="276" w:lineRule="auto"/>
      </w:pPr>
      <w:r>
        <w:rPr>
          <w:rFonts w:ascii="微软雅黑" w:hAnsi="微软雅黑" w:eastAsia="微软雅黑"/>
          <w:b/>
          <w:i/>
          <w:color w:val="2F5597"/>
          <w:sz w:val="21"/>
        </w:rPr>
        <w:t>监控参数弹窗</w:t>
      </w:r>
    </w:p>
    <w:p w14:paraId="667E88D4">
      <w:pPr>
        <w:spacing w:after="60" w:line="276" w:lineRule="auto"/>
      </w:pPr>
      <w:r>
        <w:rPr>
          <w:rFonts w:ascii="微软雅黑" w:hAnsi="微软雅黑" w:eastAsia="微软雅黑"/>
          <w:b w:val="0"/>
          <w:sz w:val="20"/>
        </w:rPr>
        <w:t>监控参数弹窗用于维护高倍爆奖、获利比和风控提醒阈值，修改后会影响后续命中规则。</w:t>
      </w:r>
    </w:p>
    <w:p w14:paraId="3CACF75D">
      <w:pPr>
        <w:spacing w:after="40"/>
        <w:jc w:val="center"/>
      </w:pPr>
      <w:r>
        <w:drawing>
          <wp:inline distT="0" distB="0" distL="114300" distR="114300">
            <wp:extent cx="5852160" cy="2713990"/>
            <wp:effectExtent l="0" t="0" r="15240" b="1016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a:picLocks noChangeAspect="1"/>
                    </pic:cNvPicPr>
                  </pic:nvPicPr>
                  <pic:blipFill>
                    <a:blip r:embed="rId129"/>
                    <a:stretch>
                      <a:fillRect/>
                    </a:stretch>
                  </pic:blipFill>
                  <pic:spPr>
                    <a:xfrm>
                      <a:off x="0" y="0"/>
                      <a:ext cx="5852160" cy="2714045"/>
                    </a:xfrm>
                    <a:prstGeom prst="rect">
                      <a:avLst/>
                    </a:prstGeom>
                  </pic:spPr>
                </pic:pic>
              </a:graphicData>
            </a:graphic>
          </wp:inline>
        </w:drawing>
      </w:r>
    </w:p>
    <w:p w14:paraId="25737975">
      <w:pPr>
        <w:pStyle w:val="15"/>
        <w:spacing w:after="120"/>
        <w:jc w:val="center"/>
      </w:pPr>
      <w:r>
        <w:rPr>
          <w:rFonts w:ascii="微软雅黑" w:hAnsi="微软雅黑" w:eastAsia="微软雅黑"/>
          <w:b w:val="0"/>
          <w:color w:val="707E92"/>
          <w:sz w:val="18"/>
        </w:rPr>
        <w:t>图：监控参数弹窗，用于配置高倍爆奖、获利比和提醒间隔。</w:t>
      </w:r>
    </w:p>
    <w:p w14:paraId="7CD4A004">
      <w:pPr>
        <w:pStyle w:val="16"/>
        <w:spacing w:after="60" w:line="276" w:lineRule="auto"/>
      </w:pPr>
      <w:r>
        <w:rPr>
          <w:rFonts w:ascii="微软雅黑" w:hAnsi="微软雅黑" w:eastAsia="微软雅黑"/>
          <w:b/>
          <w:color w:val="2F5597"/>
          <w:sz w:val="20"/>
        </w:rPr>
        <w:t>高倍爆奖</w:t>
      </w:r>
      <w:r>
        <w:rPr>
          <w:rFonts w:ascii="微软雅黑" w:hAnsi="微软雅黑" w:eastAsia="微软雅黑"/>
          <w:b w:val="0"/>
          <w:sz w:val="20"/>
        </w:rPr>
        <w:t>：可设置高倍爆奖开关、爆奖倍数和中奖金额；开启后会按阈值识别异常中奖记录。</w:t>
      </w:r>
    </w:p>
    <w:p w14:paraId="4DBE274C">
      <w:pPr>
        <w:pStyle w:val="16"/>
        <w:spacing w:after="60" w:line="276" w:lineRule="auto"/>
      </w:pPr>
      <w:r>
        <w:rPr>
          <w:rFonts w:ascii="微软雅黑" w:hAnsi="微软雅黑" w:eastAsia="微软雅黑"/>
          <w:b/>
          <w:color w:val="2F5597"/>
          <w:sz w:val="20"/>
        </w:rPr>
        <w:t>获利比</w:t>
      </w:r>
      <w:r>
        <w:rPr>
          <w:rFonts w:ascii="微软雅黑" w:hAnsi="微软雅黑" w:eastAsia="微软雅黑"/>
          <w:b w:val="0"/>
          <w:sz w:val="20"/>
        </w:rPr>
        <w:t>：获利比开关开启后，可维护当日会员获利比和触发额度值，用于控制高收益玩家的监控强度。</w:t>
      </w:r>
    </w:p>
    <w:p w14:paraId="466B56B0">
      <w:pPr>
        <w:pStyle w:val="16"/>
        <w:spacing w:after="60" w:line="276" w:lineRule="auto"/>
      </w:pPr>
      <w:r>
        <w:rPr>
          <w:rFonts w:ascii="微软雅黑" w:hAnsi="微软雅黑" w:eastAsia="微软雅黑"/>
          <w:b/>
          <w:color w:val="2F5597"/>
          <w:sz w:val="20"/>
        </w:rPr>
        <w:t>风控提醒</w:t>
      </w:r>
      <w:r>
        <w:rPr>
          <w:rFonts w:ascii="微软雅黑" w:hAnsi="微软雅黑" w:eastAsia="微软雅黑"/>
          <w:b w:val="0"/>
          <w:sz w:val="20"/>
        </w:rPr>
        <w:t>：风控提醒开关与提醒间隔时间共同决定通知频率，提交前应确认与当前风控策略一致。</w:t>
      </w:r>
    </w:p>
    <w:p w14:paraId="39A02A3E">
      <w:pPr>
        <w:pStyle w:val="3"/>
        <w:keepNext/>
        <w:spacing w:before="360" w:after="240" w:line="276" w:lineRule="auto"/>
      </w:pPr>
      <w:r>
        <w:rPr>
          <w:rFonts w:ascii="微软雅黑" w:hAnsi="微软雅黑" w:eastAsia="微软雅黑"/>
          <w:b/>
          <w:color w:val="17365D"/>
          <w:sz w:val="40"/>
        </w:rPr>
        <w:t>十三、商户中心</w:t>
      </w:r>
    </w:p>
    <w:p w14:paraId="0BD38823">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商户信息</w:t>
      </w:r>
    </w:p>
    <w:p w14:paraId="6767D18E">
      <w:pPr>
        <w:spacing w:after="60" w:line="276" w:lineRule="auto"/>
      </w:pPr>
      <w:r>
        <w:rPr>
          <w:rFonts w:ascii="微软雅黑" w:hAnsi="微软雅黑" w:eastAsia="微软雅黑"/>
          <w:b w:val="0"/>
          <w:sz w:val="20"/>
        </w:rPr>
        <w:t>商户信息用于查看当前商户的基础资料、费用设置、账户白名单、站点费率和游戏费率，是商户中心核对经营参数与联系信息的主入口。</w:t>
      </w:r>
    </w:p>
    <w:p w14:paraId="04026D7B">
      <w:pPr>
        <w:pStyle w:val="5"/>
        <w:spacing w:after="60" w:line="276" w:lineRule="auto"/>
      </w:pPr>
      <w:r>
        <w:rPr>
          <w:rFonts w:ascii="微软雅黑" w:hAnsi="微软雅黑" w:eastAsia="微软雅黑"/>
          <w:b/>
          <w:i/>
          <w:color w:val="2F5597"/>
          <w:sz w:val="21"/>
        </w:rPr>
        <w:t>基本信息页签</w:t>
      </w:r>
    </w:p>
    <w:p w14:paraId="1AE0B75C">
      <w:pPr>
        <w:spacing w:after="60" w:line="276" w:lineRule="auto"/>
      </w:pPr>
      <w:r>
        <w:rPr>
          <w:rFonts w:ascii="微软雅黑" w:hAnsi="微软雅黑" w:eastAsia="微软雅黑"/>
          <w:b w:val="0"/>
          <w:sz w:val="20"/>
        </w:rPr>
        <w:t>基本信息页签用于查看商户主体资料、钱包信息和当前配置状态，适合在账号开通、资料核对或状态排查时优先查看。</w:t>
      </w:r>
    </w:p>
    <w:p w14:paraId="46AB8A15">
      <w:pPr>
        <w:spacing w:after="40"/>
        <w:jc w:val="center"/>
      </w:pPr>
      <w:r>
        <w:drawing>
          <wp:inline distT="0" distB="0" distL="114300" distR="114300">
            <wp:extent cx="5852160" cy="1964690"/>
            <wp:effectExtent l="0" t="0" r="15240" b="1651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pic:cNvPicPr>
                      <a:picLocks noChangeAspect="1"/>
                    </pic:cNvPicPr>
                  </pic:nvPicPr>
                  <pic:blipFill>
                    <a:blip r:embed="rId130"/>
                    <a:stretch>
                      <a:fillRect/>
                    </a:stretch>
                  </pic:blipFill>
                  <pic:spPr>
                    <a:xfrm>
                      <a:off x="0" y="0"/>
                      <a:ext cx="5852160" cy="1964907"/>
                    </a:xfrm>
                    <a:prstGeom prst="rect">
                      <a:avLst/>
                    </a:prstGeom>
                  </pic:spPr>
                </pic:pic>
              </a:graphicData>
            </a:graphic>
          </wp:inline>
        </w:drawing>
      </w:r>
    </w:p>
    <w:p w14:paraId="177F2853">
      <w:pPr>
        <w:pStyle w:val="15"/>
        <w:spacing w:after="120"/>
        <w:jc w:val="center"/>
      </w:pPr>
      <w:r>
        <w:rPr>
          <w:rFonts w:ascii="微软雅黑" w:hAnsi="微软雅黑" w:eastAsia="微软雅黑"/>
          <w:b w:val="0"/>
          <w:color w:val="707E92"/>
          <w:sz w:val="18"/>
        </w:rPr>
        <w:t>图：商户信息-基本信息页签，用于查看商户基础资料、钱包余额和配置状态。</w:t>
      </w:r>
    </w:p>
    <w:p w14:paraId="167FEA24">
      <w:pPr>
        <w:pStyle w:val="16"/>
        <w:spacing w:after="60" w:line="276" w:lineRule="auto"/>
      </w:pPr>
      <w:r>
        <w:rPr>
          <w:rFonts w:ascii="微软雅黑" w:hAnsi="微软雅黑" w:eastAsia="微软雅黑"/>
          <w:b/>
          <w:color w:val="2F5597"/>
          <w:sz w:val="20"/>
        </w:rPr>
        <w:t>资料字段</w:t>
      </w:r>
      <w:r>
        <w:rPr>
          <w:rFonts w:ascii="微软雅黑" w:hAnsi="微软雅黑" w:eastAsia="微软雅黑"/>
          <w:b w:val="0"/>
          <w:sz w:val="20"/>
        </w:rPr>
        <w:t>：页面展示商户ID、商户名称、经营国家、币种、时区、商户等级、创建时间和语言，适合核对当前商户主体信息是否与开通资料一致。</w:t>
      </w:r>
    </w:p>
    <w:p w14:paraId="4CE24A98">
      <w:pPr>
        <w:pStyle w:val="16"/>
        <w:spacing w:after="60" w:line="276" w:lineRule="auto"/>
      </w:pPr>
      <w:r>
        <w:rPr>
          <w:rFonts w:ascii="微软雅黑" w:hAnsi="微软雅黑" w:eastAsia="微软雅黑"/>
          <w:b/>
          <w:color w:val="2F5597"/>
          <w:sz w:val="20"/>
        </w:rPr>
        <w:t>钱包信息</w:t>
      </w:r>
      <w:r>
        <w:rPr>
          <w:rFonts w:ascii="微软雅黑" w:hAnsi="微软雅黑" w:eastAsia="微软雅黑"/>
          <w:b w:val="0"/>
          <w:sz w:val="20"/>
        </w:rPr>
        <w:t>：钱包区域可查看钱包余额、授信额度和支付IP；排查额度、到账或访问限制问题时，可先核对这几项数据。</w:t>
      </w:r>
    </w:p>
    <w:p w14:paraId="777EB098">
      <w:pPr>
        <w:pStyle w:val="16"/>
        <w:spacing w:after="60" w:line="276" w:lineRule="auto"/>
      </w:pPr>
      <w:r>
        <w:rPr>
          <w:rFonts w:ascii="微软雅黑" w:hAnsi="微软雅黑" w:eastAsia="微软雅黑"/>
          <w:b/>
          <w:color w:val="2F5597"/>
          <w:sz w:val="20"/>
        </w:rPr>
        <w:t>商户配置</w:t>
      </w:r>
      <w:r>
        <w:rPr>
          <w:rFonts w:ascii="微软雅黑" w:hAnsi="微软雅黑" w:eastAsia="微软雅黑"/>
          <w:b w:val="0"/>
          <w:sz w:val="20"/>
        </w:rPr>
        <w:t>：下方展示登录方式、活动类型和控赢开关等配置状态，用于确认当前商户的接入方式和风控开关是否已按预期启用。</w:t>
      </w:r>
    </w:p>
    <w:p w14:paraId="7320F86E">
      <w:pPr>
        <w:pStyle w:val="5"/>
        <w:spacing w:after="60" w:line="276" w:lineRule="auto"/>
      </w:pPr>
      <w:r>
        <w:rPr>
          <w:rFonts w:ascii="微软雅黑" w:hAnsi="微软雅黑" w:eastAsia="微软雅黑"/>
          <w:b/>
          <w:i/>
          <w:color w:val="2F5597"/>
          <w:sz w:val="21"/>
        </w:rPr>
        <w:t>费用配置页签</w:t>
      </w:r>
    </w:p>
    <w:p w14:paraId="5F45035F">
      <w:pPr>
        <w:spacing w:after="60" w:line="276" w:lineRule="auto"/>
      </w:pPr>
      <w:r>
        <w:rPr>
          <w:rFonts w:ascii="微软雅黑" w:hAnsi="微软雅黑" w:eastAsia="微软雅黑"/>
          <w:b w:val="0"/>
          <w:sz w:val="20"/>
        </w:rPr>
        <w:t>费用配置页签用于查看商户当前承担的开版费、线路费和月保底费用，并汇总费用总计。</w:t>
      </w:r>
    </w:p>
    <w:p w14:paraId="5695BB04">
      <w:pPr>
        <w:spacing w:after="40"/>
        <w:jc w:val="center"/>
      </w:pPr>
      <w:r>
        <w:drawing>
          <wp:inline distT="0" distB="0" distL="114300" distR="114300">
            <wp:extent cx="5852160" cy="1325880"/>
            <wp:effectExtent l="0" t="0" r="15240" b="762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03"/>
                    <pic:cNvPicPr>
                      <a:picLocks noChangeAspect="1"/>
                    </pic:cNvPicPr>
                  </pic:nvPicPr>
                  <pic:blipFill>
                    <a:blip r:embed="rId131"/>
                    <a:stretch>
                      <a:fillRect/>
                    </a:stretch>
                  </pic:blipFill>
                  <pic:spPr>
                    <a:xfrm>
                      <a:off x="0" y="0"/>
                      <a:ext cx="5852160" cy="1326189"/>
                    </a:xfrm>
                    <a:prstGeom prst="rect">
                      <a:avLst/>
                    </a:prstGeom>
                  </pic:spPr>
                </pic:pic>
              </a:graphicData>
            </a:graphic>
          </wp:inline>
        </w:drawing>
      </w:r>
    </w:p>
    <w:p w14:paraId="71CB51D5">
      <w:pPr>
        <w:pStyle w:val="15"/>
        <w:spacing w:after="120"/>
        <w:jc w:val="center"/>
      </w:pPr>
      <w:r>
        <w:rPr>
          <w:rFonts w:ascii="微软雅黑" w:hAnsi="微软雅黑" w:eastAsia="微软雅黑"/>
          <w:b w:val="0"/>
          <w:color w:val="707E92"/>
          <w:sz w:val="18"/>
        </w:rPr>
        <w:t>图：商户信息-费用配置页签，用于查看商户费用项目和费用汇总。</w:t>
      </w:r>
    </w:p>
    <w:p w14:paraId="526A38C1">
      <w:pPr>
        <w:pStyle w:val="16"/>
        <w:spacing w:after="60" w:line="276" w:lineRule="auto"/>
      </w:pPr>
      <w:r>
        <w:rPr>
          <w:rFonts w:ascii="微软雅黑" w:hAnsi="微软雅黑" w:eastAsia="微软雅黑"/>
          <w:b/>
          <w:color w:val="2F5597"/>
          <w:sz w:val="20"/>
        </w:rPr>
        <w:t>费用项目</w:t>
      </w:r>
      <w:r>
        <w:rPr>
          <w:rFonts w:ascii="微软雅黑" w:hAnsi="微软雅黑" w:eastAsia="微软雅黑"/>
          <w:b w:val="0"/>
          <w:sz w:val="20"/>
        </w:rPr>
        <w:t>：页面列出开版费、月保底费用和线路费用，可直接查看每项费用的当前值。</w:t>
      </w:r>
    </w:p>
    <w:p w14:paraId="11946676">
      <w:pPr>
        <w:pStyle w:val="16"/>
        <w:spacing w:after="60" w:line="276" w:lineRule="auto"/>
      </w:pPr>
      <w:r>
        <w:rPr>
          <w:rFonts w:ascii="微软雅黑" w:hAnsi="微软雅黑" w:eastAsia="微软雅黑"/>
          <w:b/>
          <w:color w:val="2F5597"/>
          <w:sz w:val="20"/>
        </w:rPr>
        <w:t>费用汇总</w:t>
      </w:r>
      <w:r>
        <w:rPr>
          <w:rFonts w:ascii="微软雅黑" w:hAnsi="微软雅黑" w:eastAsia="微软雅黑"/>
          <w:b w:val="0"/>
          <w:sz w:val="20"/>
        </w:rPr>
        <w:t>：右侧显示费用总计，便于在账单核算前快速确认当前商户的固定费用口径。</w:t>
      </w:r>
    </w:p>
    <w:p w14:paraId="094FC041">
      <w:pPr>
        <w:pStyle w:val="16"/>
        <w:spacing w:after="60" w:line="276" w:lineRule="auto"/>
      </w:pPr>
      <w:r>
        <w:rPr>
          <w:rFonts w:ascii="微软雅黑" w:hAnsi="微软雅黑" w:eastAsia="微软雅黑"/>
          <w:b/>
          <w:color w:val="2F5597"/>
          <w:sz w:val="20"/>
        </w:rPr>
        <w:t>附加控制</w:t>
      </w:r>
      <w:r>
        <w:rPr>
          <w:rFonts w:ascii="微软雅黑" w:hAnsi="微软雅黑" w:eastAsia="微软雅黑"/>
          <w:b w:val="0"/>
          <w:sz w:val="20"/>
        </w:rPr>
        <w:t>：页面同时展示额度用完注销状态，用于确认额度耗尽后是否启用自动注销类限制。</w:t>
      </w:r>
    </w:p>
    <w:p w14:paraId="00EA96FD">
      <w:pPr>
        <w:pStyle w:val="5"/>
        <w:spacing w:after="60" w:line="276" w:lineRule="auto"/>
      </w:pPr>
      <w:r>
        <w:rPr>
          <w:rFonts w:ascii="微软雅黑" w:hAnsi="微软雅黑" w:eastAsia="微软雅黑"/>
          <w:b/>
          <w:i/>
          <w:color w:val="2F5597"/>
          <w:sz w:val="21"/>
        </w:rPr>
        <w:t>账号与联系页签</w:t>
      </w:r>
    </w:p>
    <w:p w14:paraId="3F514EBE">
      <w:pPr>
        <w:spacing w:after="60" w:line="276" w:lineRule="auto"/>
      </w:pPr>
      <w:r>
        <w:rPr>
          <w:rFonts w:ascii="微软雅黑" w:hAnsi="微软雅黑" w:eastAsia="微软雅黑"/>
          <w:b w:val="0"/>
          <w:sz w:val="20"/>
        </w:rPr>
        <w:t>账号与联系页签用于查看允许开站点数、后台IP白名单和商户联系信息，适合做登录限制和对接信息核对。</w:t>
      </w:r>
    </w:p>
    <w:p w14:paraId="0824B19E">
      <w:pPr>
        <w:spacing w:after="40"/>
        <w:jc w:val="center"/>
      </w:pPr>
      <w:r>
        <w:drawing>
          <wp:inline distT="0" distB="0" distL="114300" distR="114300">
            <wp:extent cx="5852160" cy="1609090"/>
            <wp:effectExtent l="0" t="0" r="15240" b="1016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pic:cNvPicPr>
                      <a:picLocks noChangeAspect="1"/>
                    </pic:cNvPicPr>
                  </pic:nvPicPr>
                  <pic:blipFill>
                    <a:blip r:embed="rId132"/>
                    <a:stretch>
                      <a:fillRect/>
                    </a:stretch>
                  </pic:blipFill>
                  <pic:spPr>
                    <a:xfrm>
                      <a:off x="0" y="0"/>
                      <a:ext cx="5852160" cy="1609693"/>
                    </a:xfrm>
                    <a:prstGeom prst="rect">
                      <a:avLst/>
                    </a:prstGeom>
                  </pic:spPr>
                </pic:pic>
              </a:graphicData>
            </a:graphic>
          </wp:inline>
        </w:drawing>
      </w:r>
    </w:p>
    <w:p w14:paraId="4EEE30F7">
      <w:pPr>
        <w:pStyle w:val="15"/>
        <w:spacing w:after="120"/>
        <w:jc w:val="center"/>
      </w:pPr>
      <w:r>
        <w:rPr>
          <w:rFonts w:ascii="微软雅黑" w:hAnsi="微软雅黑" w:eastAsia="微软雅黑"/>
          <w:b w:val="0"/>
          <w:color w:val="707E92"/>
          <w:sz w:val="18"/>
        </w:rPr>
        <w:t>图：商户信息-账号与联系页签，用于查看后台IP白名单和商户联系方式。</w:t>
      </w:r>
    </w:p>
    <w:p w14:paraId="353F1C10">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：页面展示允许开站点数，可用于确认当前商户还能开设的子站点范围。</w:t>
      </w:r>
    </w:p>
    <w:p w14:paraId="1A8F1CFB">
      <w:pPr>
        <w:pStyle w:val="16"/>
        <w:spacing w:after="60" w:line="276" w:lineRule="auto"/>
      </w:pPr>
      <w:r>
        <w:rPr>
          <w:rFonts w:ascii="微软雅黑" w:hAnsi="微软雅黑" w:eastAsia="微软雅黑"/>
          <w:b/>
          <w:color w:val="2F5597"/>
          <w:sz w:val="20"/>
        </w:rPr>
        <w:t>IP白名单</w:t>
      </w:r>
      <w:r>
        <w:rPr>
          <w:rFonts w:ascii="微软雅黑" w:hAnsi="微软雅黑" w:eastAsia="微软雅黑"/>
          <w:b w:val="0"/>
          <w:sz w:val="20"/>
        </w:rPr>
        <w:t>：后台IP白名单表格展示IP地址、备注、创建时间和操作；记录可通过编辑、删除维护，</w:t>
      </w:r>
      <w:r>
        <w:rPr>
          <w:rFonts w:hint="eastAsia"/>
          <w:b w:val="0"/>
          <w:sz w:val="20"/>
          <w:lang w:val="en-US" w:eastAsia="zh-CN"/>
        </w:rPr>
        <w:t>平台分配的白名单</w:t>
      </w:r>
      <w:r>
        <w:rPr>
          <w:rFonts w:ascii="微软雅黑" w:hAnsi="微软雅黑" w:eastAsia="微软雅黑"/>
          <w:b w:val="0"/>
          <w:sz w:val="20"/>
        </w:rPr>
        <w:t>不能</w:t>
      </w:r>
      <w:r>
        <w:rPr>
          <w:rFonts w:hint="eastAsia"/>
          <w:b w:val="0"/>
          <w:sz w:val="20"/>
          <w:lang w:val="en-US" w:eastAsia="zh-CN"/>
        </w:rPr>
        <w:t>修改或删除</w:t>
      </w:r>
      <w:r>
        <w:rPr>
          <w:rFonts w:ascii="微软雅黑" w:hAnsi="微软雅黑" w:eastAsia="微软雅黑"/>
          <w:b w:val="0"/>
          <w:sz w:val="20"/>
        </w:rPr>
        <w:t>。</w:t>
      </w:r>
    </w:p>
    <w:p w14:paraId="7FC97DE9">
      <w:pPr>
        <w:pStyle w:val="16"/>
        <w:spacing w:after="60" w:line="276" w:lineRule="auto"/>
      </w:pPr>
      <w:r>
        <w:rPr>
          <w:rFonts w:ascii="微软雅黑" w:hAnsi="微软雅黑" w:eastAsia="微软雅黑"/>
          <w:b/>
          <w:color w:val="2F5597"/>
          <w:sz w:val="20"/>
        </w:rPr>
        <w:t>联系信息：</w:t>
      </w:r>
      <w:r>
        <w:rPr>
          <w:rFonts w:ascii="微软雅黑" w:hAnsi="微软雅黑" w:eastAsia="微软雅黑"/>
          <w:b w:val="0"/>
          <w:sz w:val="20"/>
        </w:rPr>
        <w:t>下方展示商务TG昵称、商务TG联系和商户TG联系，便于运营、商务或相关业务对接时快速确认联系人。</w:t>
      </w:r>
    </w:p>
    <w:p w14:paraId="54EE80EF">
      <w:pPr>
        <w:pStyle w:val="5"/>
        <w:spacing w:after="60" w:line="276" w:lineRule="auto"/>
      </w:pPr>
      <w:r>
        <w:rPr>
          <w:rFonts w:ascii="微软雅黑" w:hAnsi="微软雅黑" w:eastAsia="微软雅黑"/>
          <w:b/>
          <w:i/>
          <w:color w:val="2F5597"/>
          <w:sz w:val="21"/>
        </w:rPr>
        <w:t>站点费率信息页签</w:t>
      </w:r>
    </w:p>
    <w:p w14:paraId="05FF96AA">
      <w:pPr>
        <w:spacing w:after="60" w:line="276" w:lineRule="auto"/>
      </w:pPr>
      <w:r>
        <w:rPr>
          <w:rFonts w:ascii="微软雅黑" w:hAnsi="微软雅黑" w:eastAsia="微软雅黑"/>
          <w:b w:val="0"/>
          <w:sz w:val="20"/>
        </w:rPr>
        <w:t>站点费率信息页签用于查看各子站点的开版费、线路费用和游戏月保底，并确认站点是否已开版。</w:t>
      </w:r>
    </w:p>
    <w:p w14:paraId="3CD10C51">
      <w:pPr>
        <w:spacing w:after="40"/>
        <w:jc w:val="center"/>
      </w:pPr>
      <w:r>
        <w:drawing>
          <wp:inline distT="0" distB="0" distL="114300" distR="114300">
            <wp:extent cx="5852160" cy="1937385"/>
            <wp:effectExtent l="0" t="0" r="15240" b="5715"/>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205"/>
                    <pic:cNvPicPr>
                      <a:picLocks noChangeAspect="1"/>
                    </pic:cNvPicPr>
                  </pic:nvPicPr>
                  <pic:blipFill>
                    <a:blip r:embed="rId133"/>
                    <a:stretch>
                      <a:fillRect/>
                    </a:stretch>
                  </pic:blipFill>
                  <pic:spPr>
                    <a:xfrm>
                      <a:off x="0" y="0"/>
                      <a:ext cx="5852160" cy="1937778"/>
                    </a:xfrm>
                    <a:prstGeom prst="rect">
                      <a:avLst/>
                    </a:prstGeom>
                  </pic:spPr>
                </pic:pic>
              </a:graphicData>
            </a:graphic>
          </wp:inline>
        </w:drawing>
      </w:r>
    </w:p>
    <w:p w14:paraId="697603A8">
      <w:pPr>
        <w:pStyle w:val="15"/>
        <w:spacing w:after="120"/>
        <w:jc w:val="center"/>
      </w:pPr>
      <w:r>
        <w:rPr>
          <w:rFonts w:ascii="微软雅黑" w:hAnsi="微软雅黑" w:eastAsia="微软雅黑"/>
          <w:b w:val="0"/>
          <w:color w:val="707E92"/>
          <w:sz w:val="18"/>
        </w:rPr>
        <w:t>图：商户信息-站点费率信息页签，用于查看各站点费用标准和开版状态。</w:t>
      </w:r>
    </w:p>
    <w:p w14:paraId="6C2B4C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：表格展示站点ID、站点名称、开版费、线路费用、游戏月保底、是否已开版和更新时间，适合按站点逐项核对费用口径。</w:t>
      </w:r>
    </w:p>
    <w:p w14:paraId="2A05D011">
      <w:pPr>
        <w:pStyle w:val="16"/>
        <w:spacing w:after="60" w:line="276" w:lineRule="auto"/>
      </w:pPr>
      <w:r>
        <w:rPr>
          <w:rFonts w:ascii="微软雅黑" w:hAnsi="微软雅黑" w:eastAsia="微软雅黑"/>
          <w:b/>
          <w:color w:val="2F5597"/>
          <w:sz w:val="20"/>
        </w:rPr>
        <w:t>状态查看</w:t>
      </w:r>
      <w:r>
        <w:rPr>
          <w:rFonts w:ascii="微软雅黑" w:hAnsi="微软雅黑" w:eastAsia="微软雅黑"/>
          <w:b w:val="0"/>
          <w:sz w:val="20"/>
        </w:rPr>
        <w:t>：是否已开版字段以状态标签展示，便于快速区分已开版站点和未开版站点。</w:t>
      </w:r>
    </w:p>
    <w:p w14:paraId="5EDE08B1">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：当账单、开站或站点成本出现差异时，可先在本页确认对应站点的费用基线与最新更新时间。</w:t>
      </w:r>
    </w:p>
    <w:p w14:paraId="153D9C62">
      <w:pPr>
        <w:pStyle w:val="5"/>
        <w:spacing w:after="60" w:line="276" w:lineRule="auto"/>
      </w:pPr>
      <w:r>
        <w:rPr>
          <w:rFonts w:ascii="微软雅黑" w:hAnsi="微软雅黑" w:eastAsia="微软雅黑"/>
          <w:b/>
          <w:i/>
          <w:color w:val="2F5597"/>
          <w:sz w:val="21"/>
        </w:rPr>
        <w:t>游戏费率页签</w:t>
      </w:r>
    </w:p>
    <w:p w14:paraId="20C09A0E">
      <w:pPr>
        <w:spacing w:after="60" w:line="276" w:lineRule="auto"/>
      </w:pPr>
      <w:r>
        <w:rPr>
          <w:rFonts w:ascii="微软雅黑" w:hAnsi="微软雅黑" w:eastAsia="微软雅黑"/>
          <w:b w:val="0"/>
          <w:sz w:val="20"/>
        </w:rPr>
        <w:t>游戏费率页签用于查看商户在不同游戏厂商和游戏类型下的费率配置，并支持按条件筛选。</w:t>
      </w:r>
    </w:p>
    <w:p w14:paraId="7E92170D">
      <w:pPr>
        <w:spacing w:after="40"/>
        <w:jc w:val="center"/>
      </w:pPr>
      <w:r>
        <w:drawing>
          <wp:inline distT="0" distB="0" distL="114300" distR="114300">
            <wp:extent cx="5852160" cy="2339340"/>
            <wp:effectExtent l="0" t="0" r="15240" b="381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pic:cNvPicPr>
                      <a:picLocks noChangeAspect="1"/>
                    </pic:cNvPicPr>
                  </pic:nvPicPr>
                  <pic:blipFill>
                    <a:blip r:embed="rId134"/>
                    <a:stretch>
                      <a:fillRect/>
                    </a:stretch>
                  </pic:blipFill>
                  <pic:spPr>
                    <a:xfrm>
                      <a:off x="0" y="0"/>
                      <a:ext cx="5852160" cy="2339459"/>
                    </a:xfrm>
                    <a:prstGeom prst="rect">
                      <a:avLst/>
                    </a:prstGeom>
                  </pic:spPr>
                </pic:pic>
              </a:graphicData>
            </a:graphic>
          </wp:inline>
        </w:drawing>
      </w:r>
    </w:p>
    <w:p w14:paraId="480E1873">
      <w:pPr>
        <w:pStyle w:val="15"/>
        <w:spacing w:after="120"/>
        <w:jc w:val="center"/>
      </w:pPr>
      <w:r>
        <w:rPr>
          <w:rFonts w:ascii="微软雅黑" w:hAnsi="微软雅黑" w:eastAsia="微软雅黑"/>
          <w:b w:val="0"/>
          <w:color w:val="707E92"/>
          <w:sz w:val="18"/>
        </w:rPr>
        <w:t>图：商户信息-游戏费率页签，用于按游戏类型和游戏厂商查看商户费率。</w:t>
      </w:r>
    </w:p>
    <w:p w14:paraId="58927DFB">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：页面支持按游戏类型和游戏厂商筛选，点击搜索查询当前商户在指定范围内的费率配置，重置可恢复默认列表。</w:t>
      </w:r>
    </w:p>
    <w:p w14:paraId="4CF330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：表格展示游戏厂商、游戏类型、基础费率、状态、RTP设定范围和可设定RTP，用于查看各厂商配置差异。</w:t>
      </w:r>
    </w:p>
    <w:p w14:paraId="33B4722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：查看费率时应结合状态、RTP范围和厂商类型一起判断，避免只看基础费率而忽略可调范围或启用状态。</w:t>
      </w:r>
    </w:p>
    <w:p w14:paraId="6C613849">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商户充值</w:t>
      </w:r>
    </w:p>
    <w:p w14:paraId="12EC6191">
      <w:pPr>
        <w:spacing w:after="60" w:line="276" w:lineRule="auto"/>
      </w:pPr>
      <w:r>
        <w:rPr>
          <w:rFonts w:ascii="微软雅黑" w:hAnsi="微软雅黑" w:eastAsia="微软雅黑"/>
          <w:b w:val="0"/>
          <w:sz w:val="20"/>
        </w:rPr>
        <w:t>商户充值用于向商户钱包发起充值申请，页面同时展示可选金额档位、到账币种和赠送规则，适合在补充余额或核对充值活动时使用。</w:t>
      </w:r>
    </w:p>
    <w:p w14:paraId="64EBE201">
      <w:pPr>
        <w:spacing w:after="40"/>
        <w:jc w:val="center"/>
      </w:pPr>
      <w:r>
        <w:drawing>
          <wp:inline distT="0" distB="0" distL="114300" distR="114300">
            <wp:extent cx="5120640" cy="3884930"/>
            <wp:effectExtent l="0" t="0" r="3810" b="127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135"/>
                    <a:stretch>
                      <a:fillRect/>
                    </a:stretch>
                  </pic:blipFill>
                  <pic:spPr>
                    <a:xfrm>
                      <a:off x="0" y="0"/>
                      <a:ext cx="5120640" cy="3885374"/>
                    </a:xfrm>
                    <a:prstGeom prst="rect">
                      <a:avLst/>
                    </a:prstGeom>
                  </pic:spPr>
                </pic:pic>
              </a:graphicData>
            </a:graphic>
          </wp:inline>
        </w:drawing>
      </w:r>
    </w:p>
    <w:p w14:paraId="16A2D2ED">
      <w:pPr>
        <w:pStyle w:val="15"/>
        <w:spacing w:after="120"/>
        <w:jc w:val="center"/>
      </w:pPr>
      <w:r>
        <w:rPr>
          <w:rFonts w:ascii="微软雅黑" w:hAnsi="微软雅黑" w:eastAsia="微软雅黑"/>
          <w:b w:val="0"/>
          <w:color w:val="707E92"/>
          <w:sz w:val="18"/>
        </w:rPr>
        <w:t>图：商户充值页面，用于选择充值金额、填写备注并提交充值申请。</w:t>
      </w:r>
    </w:p>
    <w:p w14:paraId="554DBB6D">
      <w:pPr>
        <w:pStyle w:val="16"/>
        <w:spacing w:after="60" w:line="276" w:lineRule="auto"/>
      </w:pPr>
      <w:r>
        <w:rPr>
          <w:rFonts w:ascii="微软雅黑" w:hAnsi="微软雅黑" w:eastAsia="微软雅黑"/>
          <w:b/>
          <w:color w:val="2F5597"/>
          <w:sz w:val="20"/>
        </w:rPr>
        <w:t>充值方式</w:t>
      </w:r>
      <w:r>
        <w:rPr>
          <w:rFonts w:ascii="微软雅黑" w:hAnsi="微软雅黑" w:eastAsia="微软雅黑"/>
          <w:b w:val="0"/>
          <w:sz w:val="20"/>
        </w:rPr>
        <w:t>：页面当前展示 USDT 充值入口，充值前应先确认当前商户使用的币种和收款协议。</w:t>
      </w:r>
    </w:p>
    <w:p w14:paraId="25B17523">
      <w:pPr>
        <w:pStyle w:val="16"/>
        <w:spacing w:after="60" w:line="276" w:lineRule="auto"/>
      </w:pPr>
      <w:r>
        <w:rPr>
          <w:rFonts w:ascii="微软雅黑" w:hAnsi="微软雅黑" w:eastAsia="微软雅黑"/>
          <w:b/>
          <w:color w:val="2F5597"/>
          <w:sz w:val="20"/>
        </w:rPr>
        <w:t>金额录入</w:t>
      </w:r>
      <w:r>
        <w:rPr>
          <w:rFonts w:ascii="微软雅黑" w:hAnsi="微软雅黑" w:eastAsia="微软雅黑"/>
          <w:b w:val="0"/>
          <w:sz w:val="20"/>
        </w:rPr>
        <w:t>：页面支持点击快捷金额档位，也支持手动输入充值金额；备注为选填项，可用于标记本次充值用途。</w:t>
      </w:r>
    </w:p>
    <w:p w14:paraId="1445ADC7">
      <w:pPr>
        <w:pStyle w:val="16"/>
        <w:spacing w:after="60" w:line="276" w:lineRule="auto"/>
      </w:pPr>
      <w:r>
        <w:rPr>
          <w:rFonts w:ascii="微软雅黑" w:hAnsi="微软雅黑" w:eastAsia="微软雅黑"/>
          <w:b/>
          <w:color w:val="2F5597"/>
          <w:sz w:val="20"/>
        </w:rPr>
        <w:t>提交规则</w:t>
      </w:r>
      <w:r>
        <w:rPr>
          <w:rFonts w:ascii="微软雅黑" w:hAnsi="微软雅黑" w:eastAsia="微软雅黑"/>
          <w:b w:val="0"/>
          <w:sz w:val="20"/>
        </w:rPr>
        <w:t>：提交前需确认实际转账金额与输入金额一致，否则可能导致系统无法快速到账。</w:t>
      </w:r>
    </w:p>
    <w:p w14:paraId="010532FA">
      <w:pPr>
        <w:pStyle w:val="16"/>
        <w:spacing w:after="60" w:line="276" w:lineRule="auto"/>
      </w:pPr>
      <w:r>
        <w:rPr>
          <w:rFonts w:ascii="微软雅黑" w:hAnsi="微软雅黑" w:eastAsia="微软雅黑"/>
          <w:b/>
          <w:color w:val="2F5597"/>
          <w:sz w:val="20"/>
        </w:rPr>
        <w:t>赠送说明</w:t>
      </w:r>
      <w:r>
        <w:rPr>
          <w:rFonts w:ascii="微软雅黑" w:hAnsi="微软雅黑" w:eastAsia="微软雅黑"/>
          <w:b w:val="0"/>
          <w:sz w:val="20"/>
        </w:rPr>
        <w:t>：页面下方展示固定赠送比例和阶梯赠送说明，充值前应先确认当前活动是否仍在生效，避免对到账金额预期有误。</w:t>
      </w:r>
    </w:p>
    <w:p w14:paraId="20EFC806">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充值记录</w:t>
      </w:r>
    </w:p>
    <w:p w14:paraId="5C475032">
      <w:pPr>
        <w:spacing w:after="60" w:line="276" w:lineRule="auto"/>
      </w:pPr>
      <w:r>
        <w:rPr>
          <w:rFonts w:ascii="微软雅黑" w:hAnsi="微软雅黑" w:eastAsia="微软雅黑"/>
          <w:b w:val="0"/>
          <w:sz w:val="20"/>
        </w:rPr>
        <w:t>充值记录用于查询商户充值订单的申请、到账和处理状态，适合财务或运营按时间、订单号和状态追踪充值结果。</w:t>
      </w:r>
    </w:p>
    <w:p w14:paraId="24DAA8AB">
      <w:pPr>
        <w:spacing w:after="40"/>
        <w:jc w:val="center"/>
      </w:pPr>
      <w:r>
        <w:drawing>
          <wp:inline distT="0" distB="0" distL="114300" distR="114300">
            <wp:extent cx="5852160" cy="933450"/>
            <wp:effectExtent l="0" t="0" r="1524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136"/>
                    <a:stretch>
                      <a:fillRect/>
                    </a:stretch>
                  </pic:blipFill>
                  <pic:spPr>
                    <a:xfrm>
                      <a:off x="0" y="0"/>
                      <a:ext cx="5852160" cy="933818"/>
                    </a:xfrm>
                    <a:prstGeom prst="rect">
                      <a:avLst/>
                    </a:prstGeom>
                  </pic:spPr>
                </pic:pic>
              </a:graphicData>
            </a:graphic>
          </wp:inline>
        </w:drawing>
      </w:r>
    </w:p>
    <w:p w14:paraId="7978A2E6">
      <w:pPr>
        <w:pStyle w:val="15"/>
        <w:spacing w:after="120"/>
        <w:jc w:val="center"/>
      </w:pPr>
      <w:r>
        <w:rPr>
          <w:rFonts w:ascii="微软雅黑" w:hAnsi="微软雅黑" w:eastAsia="微软雅黑"/>
          <w:b w:val="0"/>
          <w:color w:val="707E92"/>
          <w:sz w:val="18"/>
        </w:rPr>
        <w:t>图：充值记录页面，用于筛选充值订单并查看到账状态与链上信息。</w:t>
      </w:r>
    </w:p>
    <w:p w14:paraId="7770442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：页面支持按创建时间、订单号和订单状态查询，便于快速定位指定充值申请。</w:t>
      </w:r>
    </w:p>
    <w:p w14:paraId="56E1F1D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：表格展示订单号、充值金额、赠送金额、实际到账、收款地址、链上TxID、创建时间、操作人、到账时间、订单状态和备注。</w:t>
      </w:r>
    </w:p>
    <w:p w14:paraId="44A5F61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：页面提供搜索、重置和导出表格按钮，适合在核对充值差异时直接导出记录留档。</w:t>
      </w:r>
    </w:p>
    <w:p w14:paraId="2DCC389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：到账异常时建议同时核对链上TxID、到账时间和订单状态，再结合实际转账金额判断是否需要人工跟进。</w:t>
      </w:r>
    </w:p>
    <w:p w14:paraId="7DD52377">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商户账变记录</w:t>
      </w:r>
    </w:p>
    <w:p w14:paraId="3167F4CA">
      <w:pPr>
        <w:spacing w:after="60" w:line="276" w:lineRule="auto"/>
      </w:pPr>
      <w:r>
        <w:rPr>
          <w:rFonts w:ascii="微软雅黑" w:hAnsi="微软雅黑" w:eastAsia="微软雅黑"/>
          <w:b w:val="0"/>
          <w:sz w:val="20"/>
        </w:rPr>
        <w:t>商户账变记录用于查看商户钱包余额的变动流水，适合按账变类型、结算时间和来源单据排查资金变化。</w:t>
      </w:r>
    </w:p>
    <w:p w14:paraId="0D5FD244">
      <w:pPr>
        <w:spacing w:after="40"/>
        <w:jc w:val="center"/>
      </w:pPr>
      <w:r>
        <w:drawing>
          <wp:inline distT="0" distB="0" distL="114300" distR="114300">
            <wp:extent cx="5852160" cy="1186180"/>
            <wp:effectExtent l="0" t="0" r="15240" b="1397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137"/>
                    <a:stretch>
                      <a:fillRect/>
                    </a:stretch>
                  </pic:blipFill>
                  <pic:spPr>
                    <a:xfrm>
                      <a:off x="0" y="0"/>
                      <a:ext cx="5852160" cy="1186581"/>
                    </a:xfrm>
                    <a:prstGeom prst="rect">
                      <a:avLst/>
                    </a:prstGeom>
                  </pic:spPr>
                </pic:pic>
              </a:graphicData>
            </a:graphic>
          </wp:inline>
        </w:drawing>
      </w:r>
    </w:p>
    <w:p w14:paraId="3EC6F491">
      <w:pPr>
        <w:pStyle w:val="15"/>
        <w:spacing w:after="120"/>
        <w:jc w:val="center"/>
      </w:pPr>
      <w:r>
        <w:rPr>
          <w:rFonts w:ascii="微软雅黑" w:hAnsi="微软雅黑" w:eastAsia="微软雅黑"/>
          <w:b w:val="0"/>
          <w:color w:val="707E92"/>
          <w:sz w:val="18"/>
        </w:rPr>
        <w:t>图：商户账变记录页面，用于查看商户余额变动前后金额及来源单据。</w:t>
      </w:r>
    </w:p>
    <w:p w14:paraId="448005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：页面支持按开始时间、结束时间和账变类型筛选，便于按日期区间和资金动作查询流水。</w:t>
      </w:r>
    </w:p>
    <w:p w14:paraId="6F493AD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：表格展示账变时间、类型、变动前余额、变动金额、变动后余额和来源，用于完整追踪每次余额变化。</w:t>
      </w:r>
    </w:p>
    <w:p w14:paraId="0E1E4EA7">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：页面提示数据更新时间为隔天，因此做当日对账时应先确认是否存在统计延迟。</w:t>
      </w:r>
    </w:p>
    <w:p w14:paraId="3B25CD28">
      <w:pPr>
        <w:pStyle w:val="16"/>
        <w:spacing w:after="60" w:line="276" w:lineRule="auto"/>
      </w:pPr>
      <w:r>
        <w:rPr>
          <w:rFonts w:ascii="微软雅黑" w:hAnsi="微软雅黑" w:eastAsia="微软雅黑"/>
          <w:b/>
          <w:color w:val="2F5597"/>
          <w:sz w:val="20"/>
        </w:rPr>
        <w:t>核对路径</w:t>
      </w:r>
      <w:r>
        <w:rPr>
          <w:rFonts w:ascii="微软雅黑" w:hAnsi="微软雅黑" w:eastAsia="微软雅黑"/>
          <w:b w:val="0"/>
          <w:sz w:val="20"/>
        </w:rPr>
        <w:t>：若发现扣费或加款异常，可结合类型字段与来源单据编号，联查商户账单、充值记录或人工加扣款记录继续排查。</w:t>
      </w:r>
    </w:p>
    <w:p w14:paraId="1F816A64">
      <w:pPr>
        <w:pStyle w:val="4"/>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商户账单</w:t>
      </w:r>
    </w:p>
    <w:p w14:paraId="06C73C6A">
      <w:pPr>
        <w:spacing w:after="60" w:line="276" w:lineRule="auto"/>
      </w:pPr>
      <w:r>
        <w:rPr>
          <w:rFonts w:ascii="微软雅黑" w:hAnsi="微软雅黑" w:eastAsia="微软雅黑"/>
          <w:b w:val="0"/>
          <w:sz w:val="20"/>
        </w:rPr>
        <w:t>商户账单用于按账期查看商户费用结算结果，并支持进入明细或执行稽核操作，是商户费用对账和月结复核的主要页面。</w:t>
      </w:r>
    </w:p>
    <w:p w14:paraId="60B131B0">
      <w:pPr>
        <w:pStyle w:val="5"/>
        <w:spacing w:after="60" w:line="276" w:lineRule="auto"/>
      </w:pPr>
      <w:r>
        <w:rPr>
          <w:rFonts w:ascii="微软雅黑" w:hAnsi="微软雅黑" w:eastAsia="微软雅黑"/>
          <w:b/>
          <w:i/>
          <w:color w:val="2F5597"/>
          <w:sz w:val="21"/>
        </w:rPr>
        <w:t>账单列表</w:t>
      </w:r>
    </w:p>
    <w:p w14:paraId="2FE2489C">
      <w:pPr>
        <w:spacing w:after="60" w:line="276" w:lineRule="auto"/>
      </w:pPr>
      <w:r>
        <w:rPr>
          <w:rFonts w:ascii="微软雅黑" w:hAnsi="微软雅黑" w:eastAsia="微软雅黑"/>
          <w:b w:val="0"/>
          <w:sz w:val="20"/>
        </w:rPr>
        <w:t>账单列表展示每个账期的固定费用、减免、结算金额和稽核状态，适合按月核对账单结果。</w:t>
      </w:r>
    </w:p>
    <w:p w14:paraId="6FAD7F63">
      <w:pPr>
        <w:spacing w:after="40"/>
        <w:jc w:val="center"/>
      </w:pPr>
      <w:r>
        <w:drawing>
          <wp:inline distT="0" distB="0" distL="114300" distR="114300">
            <wp:extent cx="5852160" cy="1030605"/>
            <wp:effectExtent l="0" t="0" r="15240" b="1714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138"/>
                    <a:stretch>
                      <a:fillRect/>
                    </a:stretch>
                  </pic:blipFill>
                  <pic:spPr>
                    <a:xfrm>
                      <a:off x="0" y="0"/>
                      <a:ext cx="5852160" cy="1030679"/>
                    </a:xfrm>
                    <a:prstGeom prst="rect">
                      <a:avLst/>
                    </a:prstGeom>
                  </pic:spPr>
                </pic:pic>
              </a:graphicData>
            </a:graphic>
          </wp:inline>
        </w:drawing>
      </w:r>
    </w:p>
    <w:p w14:paraId="70F02B28">
      <w:pPr>
        <w:pStyle w:val="15"/>
        <w:spacing w:after="120"/>
        <w:jc w:val="center"/>
      </w:pPr>
      <w:r>
        <w:rPr>
          <w:rFonts w:ascii="微软雅黑" w:hAnsi="微软雅黑" w:eastAsia="微软雅黑"/>
          <w:b w:val="0"/>
          <w:color w:val="707E92"/>
          <w:sz w:val="18"/>
        </w:rPr>
        <w:t>图：商户账单列表，用于查看账期结算金额、状态和稽核入口。</w:t>
      </w:r>
    </w:p>
    <w:p w14:paraId="02BF85A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：页面支持按账期和状态筛选，结合搜索和重置按钮可快速定位指定月份账单。</w:t>
      </w:r>
    </w:p>
    <w:p w14:paraId="4EA2C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：表格展示账期、开版费、服务器费用、人工加款、人工扣款、游戏厂商费用、商户充值优惠、其他减免、结算金额、状态、创建时间、稽核时间和操作。</w:t>
      </w:r>
    </w:p>
    <w:p w14:paraId="386A3413">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：页面提供批量稽核、导出表格，以及每行的详情和稽核入口；执行稽核前应先确认当期费用和减免项目已经核对完成。</w:t>
      </w:r>
    </w:p>
    <w:p w14:paraId="0BBFFB66">
      <w:pPr>
        <w:pStyle w:val="5"/>
        <w:spacing w:after="60" w:line="276" w:lineRule="auto"/>
      </w:pPr>
      <w:r>
        <w:rPr>
          <w:rFonts w:ascii="微软雅黑" w:hAnsi="微软雅黑" w:eastAsia="微软雅黑"/>
          <w:b/>
          <w:i/>
          <w:color w:val="2F5597"/>
          <w:sz w:val="21"/>
        </w:rPr>
        <w:t>费用明细弹窗</w:t>
      </w:r>
    </w:p>
    <w:p w14:paraId="69C4F6B0">
      <w:pPr>
        <w:spacing w:after="60" w:line="276" w:lineRule="auto"/>
      </w:pPr>
      <w:r>
        <w:rPr>
          <w:rFonts w:ascii="微软雅黑" w:hAnsi="微软雅黑" w:eastAsia="微软雅黑"/>
          <w:b w:val="0"/>
          <w:sz w:val="20"/>
        </w:rPr>
        <w:t>在账单列表点击详情后，可查看游戏厂商费用明细，进一步拆分到厂商和游戏类型层面。</w:t>
      </w:r>
    </w:p>
    <w:p w14:paraId="26A4C299">
      <w:pPr>
        <w:spacing w:after="40"/>
        <w:jc w:val="center"/>
      </w:pPr>
      <w:r>
        <w:drawing>
          <wp:inline distT="0" distB="0" distL="114300" distR="114300">
            <wp:extent cx="5852160" cy="2175510"/>
            <wp:effectExtent l="0" t="0" r="15240" b="1524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139"/>
                    <a:stretch>
                      <a:fillRect/>
                    </a:stretch>
                  </pic:blipFill>
                  <pic:spPr>
                    <a:xfrm>
                      <a:off x="0" y="0"/>
                      <a:ext cx="5852160" cy="2175665"/>
                    </a:xfrm>
                    <a:prstGeom prst="rect">
                      <a:avLst/>
                    </a:prstGeom>
                  </pic:spPr>
                </pic:pic>
              </a:graphicData>
            </a:graphic>
          </wp:inline>
        </w:drawing>
      </w:r>
    </w:p>
    <w:p w14:paraId="7CFE3202">
      <w:pPr>
        <w:pStyle w:val="15"/>
        <w:spacing w:after="120"/>
        <w:jc w:val="center"/>
      </w:pPr>
      <w:r>
        <w:rPr>
          <w:rFonts w:ascii="微软雅黑" w:hAnsi="微软雅黑" w:eastAsia="微软雅黑"/>
          <w:b w:val="0"/>
          <w:color w:val="707E92"/>
          <w:sz w:val="18"/>
        </w:rPr>
        <w:t>图：游戏厂商费用明细弹窗，用于查看厂商费率、投注人数、有效投注和应付费用。</w:t>
      </w:r>
    </w:p>
    <w:p w14:paraId="149432A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：弹窗支持按厂商和游戏类型筛选，便于只查看某一类费用明细。</w:t>
      </w:r>
    </w:p>
    <w:p w14:paraId="370828D8">
      <w:pPr>
        <w:pStyle w:val="16"/>
        <w:spacing w:after="60" w:line="276" w:lineRule="auto"/>
      </w:pPr>
      <w:r>
        <w:rPr>
          <w:rFonts w:ascii="微软雅黑" w:hAnsi="微软雅黑" w:eastAsia="微软雅黑"/>
          <w:b/>
          <w:color w:val="2F5597"/>
          <w:sz w:val="20"/>
        </w:rPr>
        <w:t>明细字段</w:t>
      </w:r>
      <w:r>
        <w:rPr>
          <w:rFonts w:ascii="微软雅黑" w:hAnsi="微软雅黑" w:eastAsia="微软雅黑"/>
          <w:b w:val="0"/>
          <w:sz w:val="20"/>
        </w:rPr>
        <w:t>：表格展示游戏厂商、游戏类型、商户费率、投注人数、投注次数、有效投注、线路盈利和应付费用，用于核对费用组成。</w:t>
      </w:r>
    </w:p>
    <w:p w14:paraId="111BD0F4">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：底部提供分页能力，适合在厂商较多时分批核对明细数据。</w:t>
      </w:r>
    </w:p>
    <w:p w14:paraId="621057E2">
      <w:pPr>
        <w:pStyle w:val="3"/>
        <w:keepNext/>
        <w:spacing w:before="360" w:after="240" w:line="276" w:lineRule="auto"/>
      </w:pPr>
      <w:r>
        <w:rPr>
          <w:rFonts w:ascii="微软雅黑" w:hAnsi="微软雅黑" w:eastAsia="微软雅黑"/>
          <w:b/>
          <w:color w:val="2F5597"/>
          <w:sz w:val="28"/>
        </w:rPr>
        <w:t>十四、埋点配置</w:t>
      </w:r>
    </w:p>
    <w:p w14:paraId="7AEA83D5">
      <w:pPr>
        <w:pStyle w:val="4"/>
        <w:spacing w:after="60" w:line="276" w:lineRule="auto"/>
      </w:pPr>
      <w:r>
        <w:rPr>
          <w:rFonts w:ascii="微软雅黑" w:hAnsi="微软雅黑" w:eastAsia="微软雅黑"/>
          <w:b/>
          <w:color w:val="2F5597"/>
          <w:sz w:val="21"/>
        </w:rPr>
        <w:t>埋点统计</w:t>
      </w:r>
    </w:p>
    <w:p w14:paraId="07D58B8F">
      <w:pPr>
        <w:spacing w:after="60" w:line="276" w:lineRule="auto"/>
      </w:pPr>
      <w:r>
        <w:rPr>
          <w:rFonts w:ascii="微软雅黑" w:hAnsi="微软雅黑" w:eastAsia="微软雅黑"/>
          <w:b w:val="0"/>
          <w:sz w:val="20"/>
        </w:rPr>
        <w:t>埋点统计用于按日期和渠道汇总 PV、UV、总会话、新会话、跳失会话、转化会话和注册充值结果，适合快速判断页面访问质量和推广转化表现。</w:t>
      </w:r>
    </w:p>
    <w:p w14:paraId="564690DB">
      <w:pPr>
        <w:spacing w:after="40"/>
        <w:jc w:val="center"/>
      </w:pPr>
      <w:r>
        <w:drawing>
          <wp:inline distT="0" distB="0" distL="114300" distR="114300">
            <wp:extent cx="5852160" cy="1915795"/>
            <wp:effectExtent l="0" t="0" r="15240" b="8255"/>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a:picLocks noChangeAspect="1"/>
                    </pic:cNvPicPr>
                  </pic:nvPicPr>
                  <pic:blipFill>
                    <a:blip r:embed="rId140"/>
                    <a:stretch>
                      <a:fillRect/>
                    </a:stretch>
                  </pic:blipFill>
                  <pic:spPr>
                    <a:xfrm>
                      <a:off x="0" y="0"/>
                      <a:ext cx="5852160" cy="1916289"/>
                    </a:xfrm>
                    <a:prstGeom prst="rect">
                      <a:avLst/>
                    </a:prstGeom>
                  </pic:spPr>
                </pic:pic>
              </a:graphicData>
            </a:graphic>
          </wp:inline>
        </w:drawing>
      </w:r>
    </w:p>
    <w:p w14:paraId="502A0DE5">
      <w:pPr>
        <w:pStyle w:val="15"/>
        <w:spacing w:after="120"/>
        <w:jc w:val="center"/>
      </w:pPr>
      <w:r>
        <w:rPr>
          <w:rFonts w:ascii="微软雅黑" w:hAnsi="微软雅黑" w:eastAsia="微软雅黑"/>
          <w:b w:val="0"/>
          <w:color w:val="707E92"/>
          <w:sz w:val="18"/>
        </w:rPr>
        <w:t>图：埋点统计页面，用于按日期和渠道查看访问量、跳失率、转化率、注册数和充值数等指标。</w:t>
      </w:r>
    </w:p>
    <w:p w14:paraId="5BEE550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：页面支持按日期范围和渠道筛选数据。复盘投放效果时，建议先限定统计周期，再按渠道拆分查看不同来源的访问质量。</w:t>
      </w:r>
    </w:p>
    <w:p w14:paraId="064D537B">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：PV 和 UV 用于判断访问规模，总会话、新会话和跳失会话用于判断用户进入后的停留质量，转化会话、注册数和充值数用于观察最终转化结果。</w:t>
      </w:r>
    </w:p>
    <w:p w14:paraId="7D514D3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：当 PV 较高但转化会话、注册数或充值数偏低时，应继续联查会话列表和事件流水，确认是否存在页面跳失过高、关键事件未触发或链路中断的情况。</w:t>
      </w:r>
    </w:p>
    <w:p w14:paraId="538B5FE7">
      <w:pPr>
        <w:pStyle w:val="4"/>
        <w:spacing w:after="60" w:line="276" w:lineRule="auto"/>
      </w:pPr>
      <w:r>
        <w:rPr>
          <w:rFonts w:ascii="微软雅黑" w:hAnsi="微软雅黑" w:eastAsia="微软雅黑"/>
          <w:b/>
          <w:color w:val="2F5597"/>
          <w:sz w:val="21"/>
        </w:rPr>
        <w:t>会话列表</w:t>
      </w:r>
    </w:p>
    <w:p w14:paraId="0C59E736">
      <w:pPr>
        <w:spacing w:after="60" w:line="276" w:lineRule="auto"/>
      </w:pPr>
      <w:r>
        <w:rPr>
          <w:rFonts w:ascii="微软雅黑" w:hAnsi="微软雅黑" w:eastAsia="微软雅黑"/>
          <w:b w:val="0"/>
          <w:sz w:val="20"/>
        </w:rPr>
        <w:t>会话列表用于查看单个会话的入口页、离开页、浏览页数、事件数、停留时长和是否跳失，适合追踪用户从进入站点到离开的完整访问路径。</w:t>
      </w:r>
    </w:p>
    <w:p w14:paraId="29EC1A3D">
      <w:pPr>
        <w:spacing w:after="40"/>
        <w:jc w:val="center"/>
      </w:pPr>
      <w:r>
        <w:drawing>
          <wp:inline distT="0" distB="0" distL="114300" distR="114300">
            <wp:extent cx="5852160" cy="1598295"/>
            <wp:effectExtent l="0" t="0" r="15240" b="190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a:picLocks noChangeAspect="1"/>
                    </pic:cNvPicPr>
                  </pic:nvPicPr>
                  <pic:blipFill>
                    <a:blip r:embed="rId141"/>
                    <a:stretch>
                      <a:fillRect/>
                    </a:stretch>
                  </pic:blipFill>
                  <pic:spPr>
                    <a:xfrm>
                      <a:off x="0" y="0"/>
                      <a:ext cx="5852160" cy="1598639"/>
                    </a:xfrm>
                    <a:prstGeom prst="rect">
                      <a:avLst/>
                    </a:prstGeom>
                  </pic:spPr>
                </pic:pic>
              </a:graphicData>
            </a:graphic>
          </wp:inline>
        </w:drawing>
      </w:r>
    </w:p>
    <w:p w14:paraId="7AA1B8F5">
      <w:pPr>
        <w:pStyle w:val="15"/>
        <w:spacing w:after="120"/>
        <w:jc w:val="center"/>
      </w:pPr>
      <w:r>
        <w:rPr>
          <w:rFonts w:ascii="微软雅黑" w:hAnsi="微软雅黑" w:eastAsia="微软雅黑"/>
          <w:b w:val="0"/>
          <w:color w:val="707E92"/>
          <w:sz w:val="18"/>
        </w:rPr>
        <w:t>图：会话列表页面，用于按会话 ID、会员 ID、入口页、离开页和起始时间查看访问轨迹。</w:t>
      </w:r>
    </w:p>
    <w:p w14:paraId="3F9F2F5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：列表集中展示会话 ID、会员 ID、渠道、入口页、离开页、浏览页数、事件数、时长、跳失、已转化和开始时间，可用于快速判断该次访问的路径和结果。</w:t>
      </w:r>
    </w:p>
    <w:p w14:paraId="23D410B5">
      <w:pPr>
        <w:pStyle w:val="16"/>
        <w:spacing w:after="60" w:line="276" w:lineRule="auto"/>
      </w:pPr>
      <w:r>
        <w:rPr>
          <w:rFonts w:ascii="微软雅黑" w:hAnsi="微软雅黑" w:eastAsia="微软雅黑"/>
          <w:b/>
          <w:color w:val="2F5597"/>
          <w:sz w:val="20"/>
        </w:rPr>
        <w:t>轨迹排查</w:t>
      </w:r>
      <w:r>
        <w:rPr>
          <w:rFonts w:ascii="微软雅黑" w:hAnsi="微软雅黑" w:eastAsia="微软雅黑"/>
          <w:b w:val="0"/>
          <w:sz w:val="20"/>
        </w:rPr>
        <w:t>：当用户反馈活动页打不开、充值页跳出或登录后未继续访问时，可先按会员 ID 或时间定位会话，再结合入口页和离开页确认卡住的页面节点。</w:t>
      </w:r>
    </w:p>
    <w:p w14:paraId="34191DA8">
      <w:pPr>
        <w:pStyle w:val="16"/>
        <w:spacing w:after="60" w:line="276" w:lineRule="auto"/>
      </w:pPr>
      <w:r>
        <w:rPr>
          <w:rFonts w:ascii="微软雅黑" w:hAnsi="微软雅黑" w:eastAsia="微软雅黑"/>
          <w:b/>
          <w:color w:val="2F5597"/>
          <w:sz w:val="20"/>
        </w:rPr>
        <w:t>联查入口</w:t>
      </w:r>
      <w:r>
        <w:rPr>
          <w:rFonts w:ascii="微软雅黑" w:hAnsi="微软雅黑" w:eastAsia="微软雅黑"/>
          <w:b w:val="0"/>
          <w:sz w:val="20"/>
        </w:rPr>
        <w:t>：操作列可直接进入事件流水，适合从会话维度继续下钻查看本次访问触发了哪些事件、附带了哪些参数以及是否存在缺失。</w:t>
      </w:r>
    </w:p>
    <w:p w14:paraId="5244A013">
      <w:pPr>
        <w:pStyle w:val="4"/>
        <w:spacing w:after="60" w:line="276" w:lineRule="auto"/>
      </w:pPr>
      <w:r>
        <w:rPr>
          <w:rFonts w:ascii="微软雅黑" w:hAnsi="微软雅黑" w:eastAsia="微软雅黑"/>
          <w:b/>
          <w:color w:val="2F5597"/>
          <w:sz w:val="21"/>
        </w:rPr>
        <w:t>事件流水</w:t>
      </w:r>
    </w:p>
    <w:p w14:paraId="0FE01307">
      <w:pPr>
        <w:spacing w:after="60" w:line="276" w:lineRule="auto"/>
      </w:pPr>
      <w:r>
        <w:rPr>
          <w:rFonts w:ascii="微软雅黑" w:hAnsi="微软雅黑" w:eastAsia="微软雅黑"/>
          <w:b w:val="0"/>
          <w:sz w:val="20"/>
        </w:rPr>
        <w:t>事件流水用于按会话 ID 查看单次访问触发的 page_view、game_start、game_end 等埋点事件明细，是核对事件顺序、触发页面和附加参数的关键页面。</w:t>
      </w:r>
    </w:p>
    <w:p w14:paraId="0BEECAC5">
      <w:pPr>
        <w:spacing w:after="40"/>
        <w:jc w:val="center"/>
      </w:pPr>
      <w:r>
        <w:drawing>
          <wp:inline distT="0" distB="0" distL="114300" distR="114300">
            <wp:extent cx="5852160" cy="2535555"/>
            <wp:effectExtent l="0" t="0" r="15240" b="17145"/>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142"/>
                    <a:stretch>
                      <a:fillRect/>
                    </a:stretch>
                  </pic:blipFill>
                  <pic:spPr>
                    <a:xfrm>
                      <a:off x="0" y="0"/>
                      <a:ext cx="5852160" cy="2535697"/>
                    </a:xfrm>
                    <a:prstGeom prst="rect">
                      <a:avLst/>
                    </a:prstGeom>
                  </pic:spPr>
                </pic:pic>
              </a:graphicData>
            </a:graphic>
          </wp:inline>
        </w:drawing>
      </w:r>
    </w:p>
    <w:p w14:paraId="740E310C">
      <w:pPr>
        <w:pStyle w:val="15"/>
        <w:spacing w:after="120"/>
        <w:jc w:val="center"/>
      </w:pPr>
      <w:r>
        <w:rPr>
          <w:rFonts w:ascii="微软雅黑" w:hAnsi="微软雅黑" w:eastAsia="微软雅黑"/>
          <w:b w:val="0"/>
          <w:color w:val="707E92"/>
          <w:sz w:val="18"/>
        </w:rPr>
        <w:t>图：事件流水页面，用于查看会话内各类事件的触发页面、持续时长、附加数据和发生时间。</w:t>
      </w:r>
    </w:p>
    <w:p w14:paraId="151E9842">
      <w:pPr>
        <w:pStyle w:val="16"/>
        <w:spacing w:after="60" w:line="276" w:lineRule="auto"/>
      </w:pPr>
      <w:r>
        <w:rPr>
          <w:rFonts w:ascii="微软雅黑" w:hAnsi="微软雅黑" w:eastAsia="微软雅黑"/>
          <w:b/>
          <w:color w:val="2F5597"/>
          <w:sz w:val="20"/>
        </w:rPr>
        <w:t>筛选方式</w:t>
      </w:r>
      <w:r>
        <w:rPr>
          <w:rFonts w:ascii="微软雅黑" w:hAnsi="微软雅黑" w:eastAsia="微软雅黑"/>
          <w:b w:val="0"/>
          <w:sz w:val="20"/>
        </w:rPr>
        <w:t>：页面通常按会话 ID 查询。排查具体用户行为时，建议先从会话列表进入对应记录，避免手工拼接会话编号产生误查。</w:t>
      </w:r>
    </w:p>
    <w:p w14:paraId="55F8BD55">
      <w:pPr>
        <w:pStyle w:val="16"/>
        <w:spacing w:after="60" w:line="276" w:lineRule="auto"/>
      </w:pPr>
      <w:r>
        <w:rPr>
          <w:rFonts w:ascii="微软雅黑" w:hAnsi="微软雅黑" w:eastAsia="微软雅黑"/>
          <w:b/>
          <w:color w:val="2F5597"/>
          <w:sz w:val="20"/>
        </w:rPr>
        <w:t>事件明细</w:t>
      </w:r>
      <w:r>
        <w:rPr>
          <w:rFonts w:ascii="微软雅黑" w:hAnsi="微软雅黑" w:eastAsia="微软雅黑"/>
          <w:b w:val="0"/>
          <w:sz w:val="20"/>
        </w:rPr>
        <w:t>：列表会展示事件类型、触发页面、渠道、会员 ID、持续时长、附加数据和发生时间，可用于确认事件是否按预期页面和顺序上报。</w:t>
      </w:r>
    </w:p>
    <w:p w14:paraId="34BD3419">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：若关键页面只有 page_view 没有后续业务事件，或同一事件连续触发次数异常，应进一步核对页面按钮、跳转链路和前端埋点配置是否完整。</w:t>
      </w:r>
    </w:p>
    <w:p w14:paraId="2E5257F6">
      <w:pPr>
        <w:pStyle w:val="5"/>
        <w:spacing w:after="60" w:line="276" w:lineRule="auto"/>
      </w:pPr>
      <w:r>
        <w:rPr>
          <w:rFonts w:ascii="微软雅黑" w:hAnsi="微软雅黑" w:eastAsia="微软雅黑"/>
          <w:b/>
          <w:i/>
          <w:color w:val="2F5597"/>
          <w:sz w:val="21"/>
        </w:rPr>
        <w:t>事件附加数据</w:t>
      </w:r>
    </w:p>
    <w:p w14:paraId="3B40E804">
      <w:pPr>
        <w:spacing w:after="60" w:line="276" w:lineRule="auto"/>
      </w:pPr>
      <w:r>
        <w:rPr>
          <w:rFonts w:ascii="微软雅黑" w:hAnsi="微软雅黑" w:eastAsia="微软雅黑"/>
          <w:b w:val="0"/>
          <w:sz w:val="20"/>
        </w:rPr>
        <w:t>附加数据弹窗用于查看某条事件额外携带的业务参数，例如游戏品牌、活动标识或页面来源，便于确认事件内容是否满足统计和归因口径。</w:t>
      </w:r>
    </w:p>
    <w:p w14:paraId="07BC8654">
      <w:pPr>
        <w:spacing w:after="40"/>
        <w:jc w:val="center"/>
      </w:pPr>
      <w:r>
        <w:drawing>
          <wp:inline distT="0" distB="0" distL="114300" distR="114300">
            <wp:extent cx="5852160" cy="1572895"/>
            <wp:effectExtent l="0" t="0" r="15240" b="8255"/>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a:picLocks noChangeAspect="1"/>
                    </pic:cNvPicPr>
                  </pic:nvPicPr>
                  <pic:blipFill>
                    <a:blip r:embed="rId143"/>
                    <a:stretch>
                      <a:fillRect/>
                    </a:stretch>
                  </pic:blipFill>
                  <pic:spPr>
                    <a:xfrm>
                      <a:off x="0" y="0"/>
                      <a:ext cx="5852160" cy="1573509"/>
                    </a:xfrm>
                    <a:prstGeom prst="rect">
                      <a:avLst/>
                    </a:prstGeom>
                  </pic:spPr>
                </pic:pic>
              </a:graphicData>
            </a:graphic>
          </wp:inline>
        </w:drawing>
      </w:r>
    </w:p>
    <w:p w14:paraId="2ED7232E">
      <w:pPr>
        <w:pStyle w:val="15"/>
        <w:spacing w:after="120"/>
        <w:jc w:val="center"/>
      </w:pPr>
      <w:r>
        <w:rPr>
          <w:rFonts w:ascii="微软雅黑" w:hAnsi="微软雅黑" w:eastAsia="微软雅黑"/>
          <w:b w:val="0"/>
          <w:color w:val="707E92"/>
          <w:sz w:val="18"/>
        </w:rPr>
        <w:t>图：事件附加数据弹窗，用于查看单条事件上报的补充参数内容。</w:t>
      </w:r>
    </w:p>
    <w:p w14:paraId="5B4C54C3">
      <w:pPr>
        <w:pStyle w:val="16"/>
        <w:spacing w:after="60" w:line="276" w:lineRule="auto"/>
      </w:pPr>
      <w:r>
        <w:rPr>
          <w:rFonts w:ascii="微软雅黑" w:hAnsi="微软雅黑" w:eastAsia="微软雅黑"/>
          <w:b/>
          <w:color w:val="2F5597"/>
          <w:sz w:val="20"/>
        </w:rPr>
        <w:t>参数核对</w:t>
      </w:r>
      <w:r>
        <w:rPr>
          <w:rFonts w:ascii="微软雅黑" w:hAnsi="微软雅黑" w:eastAsia="微软雅黑"/>
          <w:b w:val="0"/>
          <w:sz w:val="20"/>
        </w:rPr>
        <w:t>：当事件需要区分游戏品牌、渠道标识或活动来源时，应重点检查附加数据中的字段值是否完整、是否与业务实际一致。</w:t>
      </w:r>
    </w:p>
    <w:p w14:paraId="150B856C">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：统计口径异常、归因不准或活动转化和报表不一致时，可通过附加数据确认是不是事件参数缺失、字段命名不统一或上报值错误。</w:t>
      </w:r>
    </w:p>
    <w:p w14:paraId="14EAE7AC">
      <w:pPr>
        <w:pStyle w:val="3"/>
        <w:keepNext/>
        <w:spacing w:before="360" w:after="240" w:line="276" w:lineRule="auto"/>
      </w:pPr>
      <w:r>
        <w:rPr>
          <w:rFonts w:ascii="微软雅黑" w:hAnsi="微软雅黑" w:eastAsia="微软雅黑"/>
          <w:b/>
          <w:color w:val="2F5597"/>
          <w:sz w:val="28"/>
        </w:rPr>
        <w:t>十五、人事中心</w:t>
      </w:r>
    </w:p>
    <w:p w14:paraId="564DDD3E">
      <w:pPr>
        <w:pStyle w:val="4"/>
        <w:spacing w:after="60" w:line="276" w:lineRule="auto"/>
      </w:pPr>
      <w:r>
        <w:rPr>
          <w:rFonts w:ascii="微软雅黑" w:hAnsi="微软雅黑" w:eastAsia="微软雅黑"/>
          <w:b/>
          <w:color w:val="2F5597"/>
          <w:sz w:val="21"/>
        </w:rPr>
        <w:t>人事列表</w:t>
      </w:r>
    </w:p>
    <w:p w14:paraId="658A7DC7">
      <w:pPr>
        <w:spacing w:after="60" w:line="276" w:lineRule="auto"/>
      </w:pPr>
      <w:r>
        <w:rPr>
          <w:rFonts w:ascii="微软雅黑" w:hAnsi="微软雅黑" w:eastAsia="微软雅黑"/>
          <w:b w:val="0"/>
          <w:sz w:val="20"/>
        </w:rPr>
        <w:t>人事列表用于管理后台人员账号，支持按用户名查询、查看角色和状态，并从列表执行新增、编辑和重置 Google 验证器等操作。</w:t>
      </w:r>
    </w:p>
    <w:p w14:paraId="1EC433B6">
      <w:pPr>
        <w:spacing w:after="40"/>
        <w:jc w:val="center"/>
      </w:pPr>
      <w:r>
        <w:drawing>
          <wp:inline distT="0" distB="0" distL="114300" distR="114300">
            <wp:extent cx="5852160" cy="1127125"/>
            <wp:effectExtent l="0" t="0" r="15240" b="15875"/>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a:picLocks noChangeAspect="1"/>
                    </pic:cNvPicPr>
                  </pic:nvPicPr>
                  <pic:blipFill>
                    <a:blip r:embed="rId144"/>
                    <a:stretch>
                      <a:fillRect/>
                    </a:stretch>
                  </pic:blipFill>
                  <pic:spPr>
                    <a:xfrm>
                      <a:off x="0" y="0"/>
                      <a:ext cx="5852160" cy="1127514"/>
                    </a:xfrm>
                    <a:prstGeom prst="rect">
                      <a:avLst/>
                    </a:prstGeom>
                  </pic:spPr>
                </pic:pic>
              </a:graphicData>
            </a:graphic>
          </wp:inline>
        </w:drawing>
      </w:r>
    </w:p>
    <w:p w14:paraId="0D1F50D6">
      <w:pPr>
        <w:pStyle w:val="15"/>
        <w:spacing w:after="120"/>
        <w:jc w:val="center"/>
      </w:pPr>
      <w:r>
        <w:rPr>
          <w:rFonts w:ascii="微软雅黑" w:hAnsi="微软雅黑" w:eastAsia="微软雅黑"/>
          <w:b w:val="0"/>
          <w:color w:val="707E92"/>
          <w:sz w:val="18"/>
        </w:rPr>
        <w:t>图：人事列表页面，用于查看后台账号、角色、状态、登录 IP、创建时间和更新时间。</w:t>
      </w:r>
    </w:p>
    <w:p w14:paraId="7CE323CB">
      <w:pPr>
        <w:pStyle w:val="16"/>
        <w:spacing w:after="60" w:line="276" w:lineRule="auto"/>
      </w:pPr>
      <w:r>
        <w:rPr>
          <w:rFonts w:ascii="微软雅黑" w:hAnsi="微软雅黑" w:eastAsia="微软雅黑"/>
          <w:b/>
          <w:color w:val="2F5597"/>
          <w:sz w:val="20"/>
        </w:rPr>
        <w:t>账号查询</w:t>
      </w:r>
      <w:r>
        <w:rPr>
          <w:rFonts w:ascii="微软雅黑" w:hAnsi="微软雅黑" w:eastAsia="微软雅黑"/>
          <w:b w:val="0"/>
          <w:sz w:val="20"/>
        </w:rPr>
        <w:t>：页面支持按用户名筛选后台账号。处理交接、权限复核或异常登录排查时，可先定位具体账号，再查看其角色和最近登录信息。</w:t>
      </w:r>
    </w:p>
    <w:p w14:paraId="0871476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：列表展示用户名、角色、状态、登录 IP、最后登录时间、创建时间和更新时间，便于同步核对账号归属、启用状态和最近使用情况。</w:t>
      </w:r>
    </w:p>
    <w:p w14:paraId="6FDDD670">
      <w:pPr>
        <w:pStyle w:val="16"/>
        <w:spacing w:after="60" w:line="276" w:lineRule="auto"/>
      </w:pPr>
      <w:r>
        <w:rPr>
          <w:rFonts w:ascii="微软雅黑" w:hAnsi="微软雅黑" w:eastAsia="微软雅黑"/>
          <w:b/>
          <w:color w:val="2F5597"/>
          <w:sz w:val="20"/>
        </w:rPr>
        <w:t>新增员工</w:t>
      </w:r>
      <w:r>
        <w:rPr>
          <w:rFonts w:ascii="微软雅黑" w:hAnsi="微软雅黑" w:eastAsia="微软雅黑"/>
          <w:b w:val="0"/>
          <w:sz w:val="20"/>
        </w:rPr>
        <w:t>：点击“新增员工”后应填写账号基础资料并选择系统预设角色。保存前需确认岗位职责和菜单范围，避免将高权限角色分配给普通运营账号。</w:t>
      </w:r>
    </w:p>
    <w:p w14:paraId="13719CA1">
      <w:pPr>
        <w:pStyle w:val="16"/>
        <w:spacing w:after="60" w:line="276" w:lineRule="auto"/>
      </w:pPr>
      <w:r>
        <w:rPr>
          <w:rFonts w:ascii="微软雅黑" w:hAnsi="微软雅黑" w:eastAsia="微软雅黑"/>
          <w:b/>
          <w:color w:val="2F5597"/>
          <w:sz w:val="20"/>
        </w:rPr>
        <w:t>编辑与停用</w:t>
      </w:r>
      <w:r>
        <w:rPr>
          <w:rFonts w:ascii="微软雅黑" w:hAnsi="微软雅黑" w:eastAsia="微软雅黑"/>
          <w:b w:val="0"/>
          <w:sz w:val="20"/>
        </w:rPr>
        <w:t>：编辑适合调整人员信息、联系方式和角色，停用适合处理离职、转岗或临时冻结账号场景。停用前建议先确认该账号是否仍承担值班或审核工作。</w:t>
      </w:r>
    </w:p>
    <w:p w14:paraId="660FEFE9">
      <w:pPr>
        <w:pStyle w:val="16"/>
        <w:spacing w:after="60" w:line="276" w:lineRule="auto"/>
      </w:pPr>
      <w:r>
        <w:rPr>
          <w:rFonts w:ascii="微软雅黑" w:hAnsi="微软雅黑" w:eastAsia="微软雅黑"/>
          <w:b/>
          <w:color w:val="2F5597"/>
          <w:sz w:val="20"/>
        </w:rPr>
        <w:t>重置验证器</w:t>
      </w:r>
      <w:r>
        <w:rPr>
          <w:rFonts w:ascii="微软雅黑" w:hAnsi="微软雅黑" w:eastAsia="微软雅黑"/>
          <w:b w:val="0"/>
          <w:sz w:val="20"/>
        </w:rPr>
        <w:t>：重置 Google 验证器适用于设备更换、验证器丢失或双重验证异常场景。执行前应先核实申请人身份，避免误清空正常账号的安全校验。</w:t>
      </w:r>
    </w:p>
    <w:p w14:paraId="0FAF20F7">
      <w:pPr>
        <w:pStyle w:val="4"/>
        <w:spacing w:after="60" w:line="276" w:lineRule="auto"/>
      </w:pPr>
      <w:r>
        <w:rPr>
          <w:rFonts w:hint="eastAsia" w:ascii="微软雅黑" w:hAnsi="微软雅黑" w:eastAsia="微软雅黑"/>
          <w:b/>
          <w:color w:val="2F5597"/>
          <w:sz w:val="21"/>
          <w:lang w:val="en-US" w:eastAsia="zh-CN"/>
        </w:rPr>
        <w:t>操作</w:t>
      </w:r>
      <w:r>
        <w:rPr>
          <w:rFonts w:ascii="微软雅黑" w:hAnsi="微软雅黑" w:eastAsia="微软雅黑"/>
          <w:b/>
          <w:color w:val="2F5597"/>
          <w:sz w:val="21"/>
        </w:rPr>
        <w:t>日志</w:t>
      </w:r>
    </w:p>
    <w:p w14:paraId="2E6C8BB8">
      <w:pPr>
        <w:spacing w:after="60" w:line="276" w:lineRule="auto"/>
      </w:pPr>
      <w:r>
        <w:rPr>
          <w:rFonts w:ascii="微软雅黑" w:hAnsi="微软雅黑" w:eastAsia="微软雅黑"/>
          <w:b w:val="0"/>
          <w:sz w:val="20"/>
        </w:rPr>
        <w:t>操作日志用于追踪后台关键配置、资金、活动和账号调整记录，是审计回溯和误操作追责时最常用的日志页面。</w:t>
      </w:r>
    </w:p>
    <w:p w14:paraId="1EBB717A">
      <w:pPr>
        <w:spacing w:after="40"/>
        <w:jc w:val="center"/>
      </w:pPr>
      <w:r>
        <w:drawing>
          <wp:inline distT="0" distB="0" distL="114300" distR="114300">
            <wp:extent cx="5852160" cy="1280795"/>
            <wp:effectExtent l="0" t="0" r="15240" b="1460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a:picLocks noChangeAspect="1"/>
                    </pic:cNvPicPr>
                  </pic:nvPicPr>
                  <pic:blipFill>
                    <a:blip r:embed="rId145"/>
                    <a:stretch>
                      <a:fillRect/>
                    </a:stretch>
                  </pic:blipFill>
                  <pic:spPr>
                    <a:xfrm>
                      <a:off x="0" y="0"/>
                      <a:ext cx="5852160" cy="1281390"/>
                    </a:xfrm>
                    <a:prstGeom prst="rect">
                      <a:avLst/>
                    </a:prstGeom>
                  </pic:spPr>
                </pic:pic>
              </a:graphicData>
            </a:graphic>
          </wp:inline>
        </w:drawing>
      </w:r>
    </w:p>
    <w:p w14:paraId="712BF48D">
      <w:pPr>
        <w:pStyle w:val="15"/>
        <w:spacing w:after="120"/>
        <w:jc w:val="center"/>
      </w:pPr>
      <w:r>
        <w:rPr>
          <w:rFonts w:ascii="微软雅黑" w:hAnsi="微软雅黑" w:eastAsia="微软雅黑"/>
          <w:b w:val="0"/>
          <w:color w:val="707E92"/>
          <w:sz w:val="18"/>
        </w:rPr>
        <w:t>图：管理员操作日志页面，用于按操作时间、操作行为、操作人和操作内容查看后台关键操作记录。</w:t>
      </w:r>
    </w:p>
    <w:p w14:paraId="541D6D1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：页面支持按操作时间、操作行为和操作人筛选。处理争议、回查配置变更或定位误操作时，建议先缩小时间范围，再按行为或人员继续过滤。</w:t>
      </w:r>
    </w:p>
    <w:p w14:paraId="1100D7CF">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：列表展示操作行为、操作人、操作人 ID、操作内容和操作时间，可用于判断是谁在什么时间对哪个对象执行了何种处理。</w:t>
      </w:r>
    </w:p>
    <w:p w14:paraId="1DB80203">
      <w:pPr>
        <w:pStyle w:val="16"/>
        <w:spacing w:after="60" w:line="276" w:lineRule="auto"/>
      </w:pPr>
      <w:r>
        <w:rPr>
          <w:rFonts w:ascii="微软雅黑" w:hAnsi="微软雅黑" w:eastAsia="微软雅黑"/>
          <w:b/>
          <w:color w:val="2F5597"/>
          <w:sz w:val="20"/>
        </w:rPr>
        <w:t>审计回溯</w:t>
      </w:r>
      <w:r>
        <w:rPr>
          <w:rFonts w:ascii="微软雅黑" w:hAnsi="微软雅黑" w:eastAsia="微软雅黑"/>
          <w:b w:val="0"/>
          <w:sz w:val="20"/>
        </w:rPr>
        <w:t>：当资金、站点配置、会员状态或活动规则出现异常变化时，可先在本页定位相关操作记录，再结合对应业务页面和结果数据确认影响范围。</w:t>
      </w:r>
    </w:p>
    <w:p w14:paraId="176988B1">
      <w:pPr>
        <w:pStyle w:val="3"/>
        <w:keepNext/>
        <w:spacing w:before="360" w:after="240" w:line="276" w:lineRule="auto"/>
      </w:pPr>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numPr>
          <w:ilvl w:val="0"/>
          <w:numId w:val="8"/>
        </w:numPr>
        <w:spacing w:after="40" w:line="276" w:lineRule="auto"/>
      </w:pPr>
      <w:r>
        <w:rPr>
          <w:rFonts w:ascii="微软雅黑" w:hAnsi="微软雅黑" w:eastAsia="微软雅黑"/>
          <w:b w:val="0"/>
          <w:sz w:val="20"/>
        </w:rPr>
        <w:t>进入优惠活动，创建或编辑活动规则。</w:t>
      </w:r>
    </w:p>
    <w:p w14:paraId="6A3597AD">
      <w:pPr>
        <w:pStyle w:val="14"/>
        <w:numPr>
          <w:ilvl w:val="0"/>
          <w:numId w:val="8"/>
        </w:numPr>
        <w:spacing w:after="40" w:line="276" w:lineRule="auto"/>
      </w:pPr>
      <w:r>
        <w:rPr>
          <w:rFonts w:ascii="微软雅黑" w:hAnsi="微软雅黑" w:eastAsia="微软雅黑"/>
          <w:b w:val="0"/>
          <w:sz w:val="20"/>
        </w:rPr>
        <w:t>检查活动展示入口、票券或任务关联、预算、领取限制和目标人群。</w:t>
      </w:r>
    </w:p>
    <w:p w14:paraId="5CFFB797">
      <w:pPr>
        <w:pStyle w:val="14"/>
        <w:numPr>
          <w:ilvl w:val="0"/>
          <w:numId w:val="8"/>
        </w:numPr>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numPr>
          <w:ilvl w:val="0"/>
          <w:numId w:val="9"/>
        </w:numPr>
        <w:spacing w:after="40" w:line="276" w:lineRule="auto"/>
      </w:pPr>
      <w:r>
        <w:rPr>
          <w:rFonts w:ascii="微软雅黑" w:hAnsi="微软雅黑" w:eastAsia="微软雅黑"/>
          <w:b w:val="0"/>
          <w:sz w:val="20"/>
        </w:rPr>
        <w:t>进入财务中心的提现订单列表，筛选待审核或处理中订单。</w:t>
      </w:r>
    </w:p>
    <w:p w14:paraId="3679A577">
      <w:pPr>
        <w:pStyle w:val="14"/>
        <w:numPr>
          <w:ilvl w:val="0"/>
          <w:numId w:val="9"/>
        </w:numPr>
        <w:spacing w:after="40" w:line="276" w:lineRule="auto"/>
      </w:pPr>
      <w:r>
        <w:rPr>
          <w:rFonts w:ascii="微软雅黑" w:hAnsi="微软雅黑" w:eastAsia="微软雅黑"/>
          <w:b w:val="0"/>
          <w:sz w:val="20"/>
        </w:rPr>
        <w:t>核对会员、金额、账户、打码、风控提示和历史资金记录。</w:t>
      </w:r>
    </w:p>
    <w:p w14:paraId="0A17D8AB">
      <w:pPr>
        <w:pStyle w:val="14"/>
        <w:numPr>
          <w:ilvl w:val="0"/>
          <w:numId w:val="9"/>
        </w:numPr>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numPr>
          <w:ilvl w:val="0"/>
          <w:numId w:val="10"/>
        </w:numPr>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numPr>
          <w:ilvl w:val="0"/>
          <w:numId w:val="10"/>
        </w:numPr>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numPr>
          <w:ilvl w:val="0"/>
          <w:numId w:val="10"/>
        </w:numPr>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numPr>
          <w:ilvl w:val="0"/>
          <w:numId w:val="11"/>
        </w:numPr>
        <w:spacing w:after="40" w:line="276" w:lineRule="auto"/>
      </w:pPr>
      <w:r>
        <w:rPr>
          <w:rFonts w:ascii="微软雅黑" w:hAnsi="微软雅黑" w:eastAsia="微软雅黑"/>
          <w:b w:val="0"/>
          <w:sz w:val="20"/>
        </w:rPr>
        <w:t>固定活动名称、统计时间和渠道范围。</w:t>
      </w:r>
    </w:p>
    <w:p w14:paraId="26F69E7F">
      <w:pPr>
        <w:pStyle w:val="14"/>
        <w:numPr>
          <w:ilvl w:val="0"/>
          <w:numId w:val="11"/>
        </w:numPr>
        <w:spacing w:after="40" w:line="276" w:lineRule="auto"/>
      </w:pPr>
      <w:r>
        <w:rPr>
          <w:rFonts w:ascii="微软雅黑" w:hAnsi="微软雅黑" w:eastAsia="微软雅黑"/>
          <w:b w:val="0"/>
          <w:sz w:val="20"/>
        </w:rPr>
        <w:t>查看优惠活动、数据报表中的活动相关报表。</w:t>
      </w:r>
    </w:p>
    <w:p w14:paraId="65D27FAC">
      <w:pPr>
        <w:pStyle w:val="14"/>
        <w:numPr>
          <w:ilvl w:val="0"/>
          <w:numId w:val="11"/>
        </w:numPr>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100"/>
      </w:pPr>
    </w:p>
    <w:p w14:paraId="47EA7662">
      <w:pPr>
        <w:spacing w:after="40"/>
      </w:pPr>
    </w:p>
    <w:p w14:paraId="1DD5EFF0">
      <w:pPr>
        <w:spacing w:after="120"/>
      </w:pPr>
    </w:p>
    <w:p w14:paraId="2162B6BE">
      <w:pPr>
        <w:spacing w:after="60" w:line="276" w:lineRule="auto"/>
      </w:pPr>
    </w:p>
    <w:p w14:paraId="21DF37FA">
      <w:pPr>
        <w:spacing w:after="60" w:line="276" w:lineRule="auto"/>
      </w:pPr>
    </w:p>
    <w:p w14:paraId="61EC073D">
      <w:pPr>
        <w:spacing w:after="100"/>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100"/>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100"/>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100"/>
      </w:pPr>
    </w:p>
    <w:p w14:paraId="1C59233A">
      <w:pPr>
        <w:spacing w:after="60" w:line="276" w:lineRule="auto"/>
      </w:pPr>
    </w:p>
    <w:p w14:paraId="173B6EA6">
      <w:pPr>
        <w:spacing w:after="60" w:line="276" w:lineRule="auto"/>
      </w:pPr>
    </w:p>
    <w:p w14:paraId="7A4B564B">
      <w:pPr>
        <w:spacing w:after="60" w:line="276" w:lineRule="auto"/>
      </w:pPr>
    </w:p>
    <w:p w14:paraId="1C0B8D10">
      <w:pPr>
        <w:spacing w:after="100"/>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100"/>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40"/>
      </w:pPr>
    </w:p>
    <w:p w14:paraId="76AC0E76">
      <w:pPr>
        <w:spacing w:after="120"/>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40"/>
      </w:pPr>
    </w:p>
    <w:p w14:paraId="4EFCB32C">
      <w:pPr>
        <w:spacing w:after="120"/>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headerReference w:type="default" r:id="rId149"/>
      <w:footerReference w:type="default" r:id="rId150"/>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60F12DD6"/>
    <w:multiLevelType w:val="singleLevel"/>
    <w:tmpl w:val="60F12DD6"/>
    <w:lvl w:ilvl="0" w:tentative="0">
      <w:start w:val="12"/>
      <w:numFmt w:val="chineseCounting"/>
      <w:suff w:val="nothing"/>
      <w:lvlText w:val="%1、"/>
      <w:lvlJc w:val="left"/>
      <w:rPr>
        <w:rFonts w:hint="eastAsia"/>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69D4"/>
    <w:rsid w:val="0029639D"/>
    <w:rsid w:val="00326F90"/>
    <w:rsid w:val="00953B0B"/>
    <w:rsid w:val="00AA1D8D"/>
    <w:rsid w:val="00B47730"/>
    <w:rsid w:val="00CB0664"/>
    <w:rsid w:val="00F83D16"/>
    <w:rsid w:val="00FC693F"/>
    <w:rsid w:val="01414E86"/>
    <w:rsid w:val="01B946DA"/>
    <w:rsid w:val="02814DF0"/>
    <w:rsid w:val="046225D4"/>
    <w:rsid w:val="04EB48D3"/>
    <w:rsid w:val="05956E55"/>
    <w:rsid w:val="068766C3"/>
    <w:rsid w:val="0FE06DEA"/>
    <w:rsid w:val="0FFB4C2D"/>
    <w:rsid w:val="101C69A6"/>
    <w:rsid w:val="14A60D00"/>
    <w:rsid w:val="152B4B8D"/>
    <w:rsid w:val="15F63412"/>
    <w:rsid w:val="17F0696C"/>
    <w:rsid w:val="183B3024"/>
    <w:rsid w:val="18FA3DCE"/>
    <w:rsid w:val="1E20265C"/>
    <w:rsid w:val="1EBC22D2"/>
    <w:rsid w:val="259865AB"/>
    <w:rsid w:val="25E47275"/>
    <w:rsid w:val="274033B7"/>
    <w:rsid w:val="278C2CA5"/>
    <w:rsid w:val="27952750"/>
    <w:rsid w:val="29C87436"/>
    <w:rsid w:val="2E532A1D"/>
    <w:rsid w:val="2F885AC1"/>
    <w:rsid w:val="2F9F1E86"/>
    <w:rsid w:val="308E051A"/>
    <w:rsid w:val="30956DDA"/>
    <w:rsid w:val="368F18C6"/>
    <w:rsid w:val="38A20FFB"/>
    <w:rsid w:val="398E654D"/>
    <w:rsid w:val="39F42038"/>
    <w:rsid w:val="3AEF22C6"/>
    <w:rsid w:val="3B62700C"/>
    <w:rsid w:val="412B4769"/>
    <w:rsid w:val="428608CB"/>
    <w:rsid w:val="43330444"/>
    <w:rsid w:val="449F4114"/>
    <w:rsid w:val="455B5419"/>
    <w:rsid w:val="482B7710"/>
    <w:rsid w:val="48E318B7"/>
    <w:rsid w:val="49BA49B4"/>
    <w:rsid w:val="4B5A0B07"/>
    <w:rsid w:val="4B6605E7"/>
    <w:rsid w:val="4E892E94"/>
    <w:rsid w:val="4F407994"/>
    <w:rsid w:val="53085448"/>
    <w:rsid w:val="55E05DF0"/>
    <w:rsid w:val="578C750D"/>
    <w:rsid w:val="57C3279B"/>
    <w:rsid w:val="58B57261"/>
    <w:rsid w:val="58CF0BA1"/>
    <w:rsid w:val="59C16051"/>
    <w:rsid w:val="5A42010F"/>
    <w:rsid w:val="5DB26AD9"/>
    <w:rsid w:val="5F465A0D"/>
    <w:rsid w:val="61CD7A3C"/>
    <w:rsid w:val="61DB474F"/>
    <w:rsid w:val="62C54933"/>
    <w:rsid w:val="63155CA2"/>
    <w:rsid w:val="65674A25"/>
    <w:rsid w:val="68845FAE"/>
    <w:rsid w:val="69765236"/>
    <w:rsid w:val="6AD35998"/>
    <w:rsid w:val="6E1353FB"/>
    <w:rsid w:val="6E5F3FAE"/>
    <w:rsid w:val="6E8D0303"/>
    <w:rsid w:val="6F374E0B"/>
    <w:rsid w:val="70546B19"/>
    <w:rsid w:val="72EE6907"/>
    <w:rsid w:val="74FE2F66"/>
    <w:rsid w:val="79F022DC"/>
    <w:rsid w:val="7BEB3862"/>
    <w:rsid w:val="7C724E24"/>
    <w:rsid w:val="7E6C462E"/>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8" Type="http://schemas.openxmlformats.org/officeDocument/2006/relationships/fontTable" Target="fontTable.xml"/><Relationship Id="rId147" Type="http://schemas.openxmlformats.org/officeDocument/2006/relationships/customXml" Target="../customXml/item1.xml"/><Relationship Id="rId146" Type="http://schemas.openxmlformats.org/officeDocument/2006/relationships/numbering" Target="numbering.xml"/><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png"/><Relationship Id="rId135" Type="http://schemas.openxmlformats.org/officeDocument/2006/relationships/image" Target="media/image130.pn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 Id="rId149" Type="http://schemas.openxmlformats.org/officeDocument/2006/relationships/header" Target="header1.xml"/><Relationship Id="rId15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132</Pages>
  <Words>17882</Words>
  <Characters>18728</Characters>
  <Lines>0</Lines>
  <Paragraphs>0</Paragraphs>
  <TotalTime>4</TotalTime>
  <ScaleCrop>false</ScaleCrop>
  <LinksUpToDate>false</LinksUpToDate>
  <CharactersWithSpaces>18937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2026-06-18T09:25:37Z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