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6F34775A">
      <w:pPr>
        <w:pStyle w:val="4"/>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5"/>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b w:val="0"/>
          <w:sz w:val="20"/>
          <w:lang w:val="en-US" w:eastAsia="zh-CN"/>
        </w:rPr>
        <w:t>游戏频道，</w:t>
      </w:r>
      <w:r>
        <w:rPr>
          <w:rFonts w:ascii="微软雅黑" w:hAnsi="微软雅黑" w:eastAsia="微软雅黑"/>
          <w:b w:val="0"/>
          <w:sz w:val="20"/>
        </w:rPr>
        <w:t>热门、老虎机、真人、棋牌、体育、捕鱼等</w:t>
      </w:r>
      <w:r>
        <w:rPr>
          <w:rFonts w:hint="eastAsia"/>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4"/>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5"/>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5"/>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5"/>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5"/>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4"/>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分享配置</w:t>
      </w:r>
    </w:p>
    <w:p>
      <w:pPr>
        <w:spacing w:after="60" w:line="276" w:lineRule="auto"/>
      </w:pPr>
      <w:r>
        <w:rPr>
          <w:rFonts w:ascii="Microsoft YaHei" w:hAnsi="Microsoft YaHei" w:eastAsia="Microsoft YaHei"/>
          <w:b w:val="0"/>
          <w:sz w:val="20"/>
        </w:rPr>
        <w:t>分享配置用于维护前台可用的分享渠道、渠道图标、展示顺序和启用状态，配置结果会影响分享入口中可选择的渠道。</w:t>
      </w:r>
    </w:p>
    <w:p>
      <w:pPr>
        <w:pStyle w:val="6"/>
        <w:spacing w:after="60" w:line="276" w:lineRule="auto"/>
      </w:pPr>
      <w:r>
        <w:rPr>
          <w:rFonts w:ascii="Microsoft YaHei" w:hAnsi="Microsoft YaHei" w:eastAsia="Microsoft YaHei"/>
          <w:b/>
          <w:i/>
          <w:color w:val="2F5597"/>
          <w:sz w:val="21"/>
        </w:rPr>
        <w:t>分享渠道列表</w:t>
      </w:r>
    </w:p>
    <w:p>
      <w:pPr>
        <w:spacing w:after="60" w:line="276" w:lineRule="auto"/>
      </w:pPr>
      <w:r>
        <w:rPr>
          <w:rFonts w:ascii="Microsoft YaHei" w:hAnsi="Microsoft YaHei" w:eastAsia="Microsoft YaHei"/>
          <w:b w:val="0"/>
          <w:sz w:val="20"/>
        </w:rPr>
        <w:t>分享渠道列表用于统一查看 Telegram、X / Twitter、Line、WhatsApp、Facebook 等渠道的展示配置，并进入单个渠道的修改页面。</w:t>
      </w:r>
    </w:p>
    <w:p>
      <w:pPr>
        <w:spacing w:after="40"/>
        <w:jc w:val="center"/>
      </w:pPr>
      <w:r>
        <w:drawing>
          <wp:inline xmlns:a="http://schemas.openxmlformats.org/drawingml/2006/main" xmlns:pic="http://schemas.openxmlformats.org/drawingml/2006/picture">
            <wp:extent cx="5852160" cy="996487"/>
            <wp:docPr id="226" name="Picture 2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852160" cy="99648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图：分享渠道列表，用于查看渠道名称、图标、渠道标识、展示开关和排序。</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：排序决定渠道在前台分享入口中的显示先后；名称和图标用于识别渠道；渠道标识用于匹配对应的分享方式；展示开关表示当前渠道是否对前台开放。</w:t>
      </w:r>
    </w:p>
    <w:p>
      <w:pPr>
        <w:pStyle w:val="16"/>
        <w:spacing w:after="60" w:line="276" w:lineRule="auto"/>
      </w:pPr>
      <w:r>
        <w:rPr>
          <w:rFonts w:ascii="Microsoft YaHei" w:hAnsi="Microsoft YaHei" w:eastAsia="Microsoft YaHei"/>
          <w:b/>
          <w:color w:val="2F5597"/>
          <w:sz w:val="20"/>
        </w:rPr>
        <w:t>状态调整</w:t>
      </w:r>
      <w:r>
        <w:rPr>
          <w:rFonts w:ascii="Microsoft YaHei" w:hAnsi="Microsoft YaHei" w:eastAsia="Microsoft YaHei"/>
          <w:b w:val="0"/>
          <w:sz w:val="20"/>
        </w:rPr>
        <w:t>：可直接切换展示开关控制渠道是否显示。停用前应确认当前活动、推广页面或品牌入口是否仍依赖该渠道。</w:t>
      </w:r>
    </w:p>
    <w:p>
      <w:pPr>
        <w:pStyle w:val="16"/>
        <w:spacing w:after="60" w:line="276" w:lineRule="auto"/>
      </w:pPr>
      <w:r>
        <w:rPr>
          <w:rFonts w:ascii="Microsoft YaHei" w:hAnsi="Microsoft YaHei" w:eastAsia="Microsoft YaHei"/>
          <w:b/>
          <w:color w:val="2F5597"/>
          <w:sz w:val="20"/>
        </w:rPr>
        <w:t>修改入口</w:t>
      </w:r>
      <w:r>
        <w:rPr>
          <w:rFonts w:ascii="Microsoft YaHei" w:hAnsi="Microsoft YaHei" w:eastAsia="Microsoft YaHei"/>
          <w:b w:val="0"/>
          <w:sz w:val="20"/>
        </w:rPr>
        <w:t>：点击行内“修改”可进入渠道编辑弹窗，调整图标、排序和启用状态。</w:t>
      </w:r>
    </w:p>
    <w:p>
      <w:pPr>
        <w:pStyle w:val="6"/>
        <w:spacing w:after="60" w:line="276" w:lineRule="auto"/>
      </w:pPr>
      <w:r>
        <w:rPr>
          <w:rFonts w:ascii="Microsoft YaHei" w:hAnsi="Microsoft YaHei" w:eastAsia="Microsoft YaHei"/>
          <w:b/>
          <w:i/>
          <w:color w:val="2F5597"/>
          <w:sz w:val="21"/>
        </w:rPr>
        <w:t>编辑分享渠道</w:t>
      </w:r>
    </w:p>
    <w:p>
      <w:pPr>
        <w:spacing w:after="60" w:line="276" w:lineRule="auto"/>
      </w:pPr>
      <w:r>
        <w:rPr>
          <w:rFonts w:ascii="Microsoft YaHei" w:hAnsi="Microsoft YaHei" w:eastAsia="Microsoft YaHei"/>
          <w:b w:val="0"/>
          <w:sz w:val="20"/>
        </w:rPr>
        <w:t>编辑分享渠道弹窗用于维护单个渠道的展示资料。渠道名称和渠道标识由系统确定，编辑时重点核对图标、排序和启用状态。</w:t>
      </w:r>
    </w:p>
    <w:p>
      <w:pPr>
        <w:spacing w:after="40"/>
        <w:jc w:val="center"/>
      </w:pPr>
      <w:r>
        <w:drawing>
          <wp:inline xmlns:a="http://schemas.openxmlformats.org/drawingml/2006/main" xmlns:pic="http://schemas.openxmlformats.org/drawingml/2006/picture">
            <wp:extent cx="3931920" cy="3578754"/>
            <wp:docPr id="227" name="Picture 2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931920" cy="3578754"/>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图：编辑分享渠道弹窗，用于维护渠道图标、排序和启用状态。</w:t>
      </w:r>
    </w:p>
    <w:p>
      <w:pPr>
        <w:pStyle w:val="16"/>
        <w:spacing w:after="60" w:line="276" w:lineRule="auto"/>
      </w:pPr>
      <w:r>
        <w:rPr>
          <w:rFonts w:ascii="Microsoft YaHei" w:hAnsi="Microsoft YaHei" w:eastAsia="Microsoft YaHei"/>
          <w:b/>
          <w:color w:val="2F5597"/>
          <w:sz w:val="20"/>
        </w:rPr>
        <w:t>渠道信息</w:t>
      </w:r>
      <w:r>
        <w:rPr>
          <w:rFonts w:ascii="Microsoft YaHei" w:hAnsi="Microsoft YaHei" w:eastAsia="Microsoft YaHei"/>
          <w:b w:val="0"/>
          <w:sz w:val="20"/>
        </w:rPr>
        <w:t>：渠道名称和渠道标识为当前渠道的固定信息，不可编辑；链接地址会由渠道标识和当前前台页面 URL 自动拼接。</w:t>
      </w:r>
    </w:p>
    <w:p>
      <w:pPr>
        <w:pStyle w:val="16"/>
        <w:spacing w:after="60" w:line="276" w:lineRule="auto"/>
      </w:pPr>
      <w:r>
        <w:rPr>
          <w:rFonts w:ascii="Microsoft YaHei" w:hAnsi="Microsoft YaHei" w:eastAsia="Microsoft YaHei"/>
          <w:b/>
          <w:color w:val="2F5597"/>
          <w:sz w:val="20"/>
        </w:rPr>
        <w:t>图标要求</w:t>
      </w:r>
      <w:r>
        <w:rPr>
          <w:rFonts w:ascii="Microsoft YaHei" w:hAnsi="Microsoft YaHei" w:eastAsia="Microsoft YaHei"/>
          <w:b w:val="0"/>
          <w:sz w:val="20"/>
        </w:rPr>
        <w:t>：图标为必填项，建议上传 64×64 像素或等比例的 PNG、JPG、GIF 图片，文件大小不超过 200KB。</w:t>
      </w:r>
    </w:p>
    <w:p>
      <w:pPr>
        <w:pStyle w:val="16"/>
        <w:spacing w:after="60" w:line="276" w:lineRule="auto"/>
      </w:pPr>
      <w:r>
        <w:rPr>
          <w:rFonts w:ascii="Microsoft YaHei" w:hAnsi="Microsoft YaHei" w:eastAsia="Microsoft YaHei"/>
          <w:b/>
          <w:color w:val="2F5597"/>
          <w:sz w:val="20"/>
        </w:rPr>
        <w:t>排序与状态</w:t>
      </w:r>
      <w:r>
        <w:rPr>
          <w:rFonts w:ascii="Microsoft YaHei" w:hAnsi="Microsoft YaHei" w:eastAsia="Microsoft YaHei"/>
          <w:b w:val="0"/>
          <w:sz w:val="20"/>
        </w:rPr>
        <w:t>：排序值用于控制渠道展示顺序；启用状态决定渠道是否可在前台使用。修改后应同时检查列表中的排序和开关结果。</w:t>
      </w:r>
    </w:p>
    <w:p>
      <w:pPr>
        <w:pStyle w:val="16"/>
        <w:spacing w:after="60" w:line="276" w:lineRule="auto"/>
      </w:pPr>
      <w:r>
        <w:rPr>
          <w:rFonts w:ascii="Microsoft YaHei" w:hAnsi="Microsoft YaHei" w:eastAsia="Microsoft YaHei"/>
          <w:b/>
          <w:color w:val="2F5597"/>
          <w:sz w:val="20"/>
        </w:rPr>
        <w:t>保存操作</w:t>
      </w:r>
      <w:r>
        <w:rPr>
          <w:rFonts w:ascii="Microsoft YaHei" w:hAnsi="Microsoft YaHei" w:eastAsia="Microsoft YaHei"/>
          <w:b w:val="0"/>
          <w:sz w:val="20"/>
        </w:rPr>
        <w:t>：点击“确定”保存当前配置，点击“取消”或右上角关闭按钮放弃本次修改。</w:t>
      </w:r>
    </w:p>
    <w:p w14:paraId="65452E34">
      <w:pPr>
        <w:pStyle w:val="4"/>
        <w:keepNext/>
        <w:spacing w:before="180" w:after="100" w:line="259" w:lineRule="auto"/>
        <w:rPr>
          <w:rFonts w:hint="eastAsia" w:ascii="微软雅黑" w:hAnsi="微软雅黑" w:eastAsia="微软雅黑"/>
          <w:b/>
          <w:color w:val="2F5597"/>
          <w:sz w:val="25"/>
          <w:lang w:val="en-US" w:eastAsia="zh-CN"/>
        </w:rPr>
      </w:pPr>
      <w:r>
        <w:rPr>
          <w:rFonts w:hint="eastAsia" w:ascii="Microsoft YaHei" w:hAnsi="Microsoft YaHei" w:eastAsia="Microsoft YaHei"/>
          <w:b/>
          <w:color w:val="2F5597"/>
          <w:sz w:val="25"/>
          <w:lang w:val="en-US" w:eastAsia="zh-CN"/>
        </w:rPr>
        <w:t>分享卡片管理</w:t>
      </w:r>
    </w:p>
    <w:p>
      <w:pPr>
        <w:spacing w:after="60" w:line="276" w:lineRule="auto"/>
      </w:pPr>
      <w:r>
        <w:rPr>
          <w:rFonts w:ascii="Microsoft YaHei" w:hAnsi="Microsoft YaHei" w:eastAsia="Microsoft YaHei"/>
          <w:b w:val="0"/>
          <w:sz w:val="20"/>
        </w:rPr>
        <w:t>分享卡片管理用于维护站点和指定页面的 OG 分享信息，包括分享标题、描述、预览图片和跳转地址，便于控制链接在社交平台中的卡片展示效果。</w:t>
      </w:r>
    </w:p>
    <w:p>
      <w:pPr>
        <w:pStyle w:val="6"/>
        <w:spacing w:after="60" w:line="276" w:lineRule="auto"/>
      </w:pPr>
      <w:r>
        <w:rPr>
          <w:rFonts w:ascii="Microsoft YaHei" w:hAnsi="Microsoft YaHei" w:eastAsia="Microsoft YaHei"/>
          <w:b/>
          <w:i/>
          <w:color w:val="2F5597"/>
          <w:sz w:val="21"/>
        </w:rPr>
        <w:t>分享卡片列表</w:t>
      </w:r>
    </w:p>
    <w:p>
      <w:pPr>
        <w:spacing w:after="60" w:line="276" w:lineRule="auto"/>
      </w:pPr>
      <w:r>
        <w:rPr>
          <w:rFonts w:ascii="Microsoft YaHei" w:hAnsi="Microsoft YaHei" w:eastAsia="Microsoft YaHei"/>
          <w:b w:val="0"/>
          <w:sz w:val="20"/>
        </w:rPr>
        <w:t>分享卡片列表集中展示站点 OG、页面 OG 和自定义链接配置，可按类型、状态和关键字定位记录，并对卡片进行启停、编辑或删除。</w:t>
      </w:r>
    </w:p>
    <w:p>
      <w:pPr>
        <w:spacing w:after="40"/>
        <w:jc w:val="center"/>
      </w:pPr>
      <w:r>
        <w:drawing>
          <wp:inline xmlns:a="http://schemas.openxmlformats.org/drawingml/2006/main" xmlns:pic="http://schemas.openxmlformats.org/drawingml/2006/picture">
            <wp:extent cx="5852160" cy="2560763"/>
            <wp:docPr id="228" name="Picture 2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852160" cy="256076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图：分享卡片列表，用于查看不同类型卡片的 OG 内容、状态和操作入口。</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：可按类型、状态筛选，并输入名称、链接地址或 OG 标题作为关键字查询；点击“重置”可清空筛选条件。</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：表格展示类型、名称、实际跳转地址、OG 标题、OG 描述、OG 图片、状态和更新时间，用于核对卡片内容与生效范围。</w:t>
      </w:r>
    </w:p>
    <w:p>
      <w:pPr>
        <w:pStyle w:val="16"/>
        <w:spacing w:after="60" w:line="276" w:lineRule="auto"/>
      </w:pPr>
      <w:r>
        <w:rPr>
          <w:rFonts w:ascii="Microsoft YaHei" w:hAnsi="Microsoft YaHei" w:eastAsia="Microsoft YaHei"/>
          <w:b/>
          <w:color w:val="2F5597"/>
          <w:sz w:val="20"/>
        </w:rPr>
        <w:t>类型说明</w:t>
      </w:r>
      <w:r>
        <w:rPr>
          <w:rFonts w:ascii="Microsoft YaHei" w:hAnsi="Microsoft YaHei" w:eastAsia="Microsoft YaHei"/>
          <w:b w:val="0"/>
          <w:sz w:val="20"/>
        </w:rPr>
        <w:t>：站点 OG 用于站点级分享；页面 OG 用于活动、任务、VIP、返水、邀请等指定页面；自定义链接用于补充独立页面或推广链接。</w:t>
      </w:r>
    </w:p>
    <w:p>
      <w:pPr>
        <w:pStyle w:val="16"/>
        <w:spacing w:after="60" w:line="276" w:lineRule="auto"/>
      </w:pPr>
      <w:r>
        <w:rPr>
          <w:rFonts w:ascii="Microsoft YaHei" w:hAnsi="Microsoft YaHei" w:eastAsia="Microsoft YaHei"/>
          <w:b/>
          <w:color w:val="2F5597"/>
          <w:sz w:val="20"/>
        </w:rPr>
        <w:t>页面操作</w:t>
      </w:r>
      <w:r>
        <w:rPr>
          <w:rFonts w:ascii="Microsoft YaHei" w:hAnsi="Microsoft YaHei" w:eastAsia="Microsoft YaHei"/>
          <w:b w:val="0"/>
          <w:sz w:val="20"/>
        </w:rPr>
        <w:t>：顶部“添加自定义”用于新建自定义链接卡片；行内“关闭/启用”用于切换状态，“编辑”用于修改内容，自定义链接还支持删除。</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：关闭卡片前应确认对应页面是否仍在投放；删除自定义链接前应核对实际跳转地址，避免影响已发布的分享链接。</w:t>
      </w:r>
    </w:p>
    <w:p>
      <w:pPr>
        <w:pStyle w:val="6"/>
        <w:spacing w:after="60" w:line="276" w:lineRule="auto"/>
      </w:pPr>
      <w:r>
        <w:rPr>
          <w:rFonts w:ascii="Microsoft YaHei" w:hAnsi="Microsoft YaHei" w:eastAsia="Microsoft YaHei"/>
          <w:b/>
          <w:i/>
          <w:color w:val="2F5597"/>
          <w:sz w:val="21"/>
        </w:rPr>
        <w:t>编辑自定义 OG</w:t>
      </w:r>
    </w:p>
    <w:p>
      <w:pPr>
        <w:spacing w:after="60" w:line="276" w:lineRule="auto"/>
      </w:pPr>
      <w:r>
        <w:rPr>
          <w:rFonts w:ascii="Microsoft YaHei" w:hAnsi="Microsoft YaHei" w:eastAsia="Microsoft YaHei"/>
          <w:b w:val="0"/>
          <w:sz w:val="20"/>
        </w:rPr>
        <w:t>编辑自定义 OG 弹窗用于维护自定义链接的分享卡片内容，右侧预览区会同步展示图片、标题、描述和跳转地址。</w:t>
      </w:r>
    </w:p>
    <w:p>
      <w:pPr>
        <w:spacing w:after="40"/>
        <w:jc w:val="center"/>
      </w:pPr>
      <w:r>
        <w:drawing>
          <wp:inline xmlns:a="http://schemas.openxmlformats.org/drawingml/2006/main" xmlns:pic="http://schemas.openxmlformats.org/drawingml/2006/picture">
            <wp:extent cx="5486400" cy="3972054"/>
            <wp:docPr id="229" name="Picture 2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972054"/>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图：编辑自定义 OG 弹窗，用于维护跳转地址、OG 文案、图片和启用状态。</w:t>
      </w:r>
    </w:p>
    <w:p>
      <w:pPr>
        <w:pStyle w:val="16"/>
        <w:spacing w:after="60" w:line="276" w:lineRule="auto"/>
      </w:pPr>
      <w:r>
        <w:rPr>
          <w:rFonts w:ascii="Microsoft YaHei" w:hAnsi="Microsoft YaHei" w:eastAsia="Microsoft YaHei"/>
          <w:b/>
          <w:color w:val="2F5597"/>
          <w:sz w:val="20"/>
        </w:rPr>
        <w:t>基础信息</w:t>
      </w:r>
      <w:r>
        <w:rPr>
          <w:rFonts w:ascii="Microsoft YaHei" w:hAnsi="Microsoft YaHei" w:eastAsia="Microsoft YaHei"/>
          <w:b w:val="0"/>
          <w:sz w:val="20"/>
        </w:rPr>
        <w:t>：类型在编辑时不可修改；名称、实际跳转地址、OG 标题和 OG 描述为主要配置内容，其中实际跳转地址应填写前台可访问的有效路径或链接。</w:t>
      </w:r>
    </w:p>
    <w:p>
      <w:pPr>
        <w:pStyle w:val="16"/>
        <w:spacing w:after="60" w:line="276" w:lineRule="auto"/>
      </w:pPr>
      <w:r>
        <w:rPr>
          <w:rFonts w:ascii="Microsoft YaHei" w:hAnsi="Microsoft YaHei" w:eastAsia="Microsoft YaHei"/>
          <w:b/>
          <w:color w:val="2F5597"/>
          <w:sz w:val="20"/>
        </w:rPr>
        <w:t>OG 图片</w:t>
      </w:r>
      <w:r>
        <w:rPr>
          <w:rFonts w:ascii="Microsoft YaHei" w:hAnsi="Microsoft YaHei" w:eastAsia="Microsoft YaHei"/>
          <w:b w:val="0"/>
          <w:sz w:val="20"/>
        </w:rPr>
        <w:t>：建议上传 1200×630 像素的 PNG、JPG、GIF 或 WEBP 图片，文件大小不超过 1MB；上传后应在右侧预览区检查裁切和文字可读性。</w:t>
      </w:r>
    </w:p>
    <w:p>
      <w:pPr>
        <w:pStyle w:val="16"/>
        <w:spacing w:after="60" w:line="276" w:lineRule="auto"/>
      </w:pPr>
      <w:r>
        <w:rPr>
          <w:rFonts w:ascii="Microsoft YaHei" w:hAnsi="Microsoft YaHei" w:eastAsia="Microsoft YaHei"/>
          <w:b/>
          <w:color w:val="2F5597"/>
          <w:sz w:val="20"/>
        </w:rPr>
        <w:t>OG 链接与状态</w:t>
      </w:r>
      <w:r>
        <w:rPr>
          <w:rFonts w:ascii="Microsoft YaHei" w:hAnsi="Microsoft YaHei" w:eastAsia="Microsoft YaHei"/>
          <w:b w:val="0"/>
          <w:sz w:val="20"/>
        </w:rPr>
        <w:t>：OG 链接可用于指定卡片跳转目标；状态开关决定当前卡片是否启用，停用后对应链接不再按该配置展示分享卡片。</w:t>
      </w:r>
    </w:p>
    <w:p>
      <w:pPr>
        <w:pStyle w:val="16"/>
        <w:spacing w:after="60" w:line="276" w:lineRule="auto"/>
      </w:pPr>
      <w:r>
        <w:rPr>
          <w:rFonts w:ascii="Microsoft YaHei" w:hAnsi="Microsoft YaHei" w:eastAsia="Microsoft YaHei"/>
          <w:b/>
          <w:color w:val="2F5597"/>
          <w:sz w:val="20"/>
        </w:rPr>
        <w:t>保存操作</w:t>
      </w:r>
      <w:r>
        <w:rPr>
          <w:rFonts w:ascii="Microsoft YaHei" w:hAnsi="Microsoft YaHei" w:eastAsia="Microsoft YaHei"/>
          <w:b w:val="0"/>
          <w:sz w:val="20"/>
        </w:rPr>
        <w:t>：确认左侧配置与右侧预览一致后点击“确定”保存；点击“取消”或关闭按钮可放弃本次修改。</w:t>
      </w:r>
    </w:p>
    <w:p w14:paraId="7506ED41">
      <w:pPr>
        <w:pStyle w:val="4"/>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180" w:after="100" w:line="259" w:lineRule="auto"/>
      </w:pPr>
      <w:r>
        <w:rPr>
          <w:rFonts w:ascii="微软雅黑" w:hAnsi="微软雅黑" w:eastAsia="微软雅黑"/>
          <w:b/>
          <w:color w:val="2F5597"/>
          <w:sz w:val="25"/>
        </w:rPr>
        <w:t>广告埋点配置</w:t>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t>涉及像素ID和事件标识的调整应由相关维护人员共同复核。修改线上渠道前，建议先复制当前值留档，确认新配置验证通过后再用于正式投放。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180" w:after="100" w:line="259" w:lineRule="auto"/>
      </w:pPr>
      <w:r>
        <w:rPr>
          <w:rFonts w:ascii="微软雅黑" w:hAnsi="微软雅黑" w:eastAsia="微软雅黑"/>
          <w:b/>
          <w:color w:val="2F5597"/>
          <w:sz w:val="25"/>
        </w:rPr>
        <w:t>音乐管理</w:t>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0E329C96">
      <w:pPr>
        <w:pStyle w:val="4"/>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180" w:after="100" w:line="259" w:lineRule="auto"/>
      </w:pPr>
      <w:r>
        <w:rPr>
          <w:rFonts w:ascii="微软雅黑" w:hAnsi="微软雅黑" w:eastAsia="微软雅黑"/>
          <w:b/>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180" w:after="100" w:line="259" w:lineRule="auto"/>
        <w:rPr>
          <w:rFonts w:hint="eastAsia" w:ascii="微软雅黑" w:hAnsi="微软雅黑" w:eastAsia="微软雅黑"/>
          <w:b/>
          <w:color w:val="2F5597"/>
          <w:sz w:val="25"/>
          <w:lang w:val="en-US" w:eastAsia="zh-CN"/>
        </w:rPr>
      </w:pPr>
      <w:r>
        <w:rPr>
          <w:rFonts w:hint="eastAsia" w:ascii="微软雅黑" w:hAnsi="微软雅黑" w:eastAsia="微软雅黑"/>
          <w:b/>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 w14:paraId="40C69EAA">
      <w:pPr>
        <w:rPr>
          <w:rFonts w:hint="default"/>
          <w:lang w:val="en-US" w:eastAsia="zh-CN"/>
        </w:rPr>
      </w:pPr>
    </w:p>
    <w:p w14:paraId="641574F3">
      <w:pPr>
        <w:pStyle w:val="16"/>
        <w:spacing w:after="60" w:line="276" w:lineRule="auto"/>
      </w:pPr>
    </w:p>
    <w:p w14:paraId="49D66ED6">
      <w:pPr>
        <w:pStyle w:val="4"/>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489C7955">
      <w:pPr>
        <w:pStyle w:val="4"/>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4"/>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62"/>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3"/>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4"/>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5"/>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6"/>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EECD7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7"/>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8"/>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9"/>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0"/>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1"/>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2"/>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3"/>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4"/>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5"/>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6"/>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7"/>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8"/>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9"/>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0"/>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1"/>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2"/>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3"/>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4"/>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5"/>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6"/>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7"/>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8"/>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9"/>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0"/>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1"/>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2"/>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3"/>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4"/>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5"/>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6"/>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7"/>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D82E6E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8"/>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9"/>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2"/>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0"/>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1"/>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2"/>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3"/>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65EA5E4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4"/>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5"/>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6"/>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7"/>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8"/>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9"/>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0"/>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1"/>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2"/>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0859F2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3"/>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b w:val="0"/>
          <w:sz w:val="20"/>
          <w:lang w:eastAsia="zh-CN"/>
        </w:rPr>
        <w:t>、</w:t>
      </w:r>
      <w:r>
        <w:rPr>
          <w:rFonts w:hint="eastAsia"/>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spacing w:after="60" w:line="276" w:lineRule="auto"/>
      </w:pPr>
      <w:r>
        <w:rPr>
          <w:rFonts w:hint="eastAsia" w:ascii="微软雅黑" w:hAnsi="微软雅黑" w:eastAsia="微软雅黑"/>
          <w:b/>
          <w:i/>
          <w:color w:val="2F5597"/>
          <w:sz w:val="21"/>
          <w:lang w:val="en-US" w:eastAsia="zh-CN"/>
        </w:rPr>
        <w:t>所有</w:t>
      </w:r>
      <w:r>
        <w:rPr>
          <w:rFonts w:ascii="微软雅黑" w:hAnsi="微软雅黑" w:eastAsia="微软雅黑"/>
          <w:b/>
          <w:i/>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4"/>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b w:val="0"/>
          <w:sz w:val="20"/>
          <w:lang w:eastAsia="zh-CN"/>
        </w:rPr>
        <w:t>、</w:t>
      </w:r>
      <w:r>
        <w:rPr>
          <w:rFonts w:hint="eastAsia"/>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5"/>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6"/>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7"/>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8"/>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9"/>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0"/>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1"/>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2"/>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3"/>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4"/>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5"/>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0314494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6"/>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7"/>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8"/>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9"/>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color w:val="17365D"/>
          <w:sz w:val="40"/>
          <w:lang w:val="en-US" w:eastAsia="zh-CN"/>
        </w:rPr>
        <w:t>投放管理</w:t>
      </w:r>
    </w:p>
    <w:p w14:paraId="409CA573">
      <w:pPr>
        <w:pStyle w:val="4"/>
        <w:rPr>
          <w:rFonts w:hint="eastAsia"/>
          <w:b/>
          <w:color w:val="2F5597"/>
          <w:sz w:val="25"/>
          <w:lang w:val="en-US" w:eastAsia="zh-CN"/>
        </w:rPr>
      </w:pPr>
      <w:r>
        <w:rPr>
          <w:rFonts w:hint="eastAsia"/>
          <w:b/>
          <w:color w:val="2F5597"/>
          <w:sz w:val="25"/>
          <w:lang w:val="en-US" w:eastAsia="zh-CN"/>
        </w:rPr>
        <w:t>广告消耗数据</w:t>
      </w:r>
    </w:p>
    <w:p w14:paraId="58A00AE1">
      <w:pPr>
        <w:pStyle w:val="4"/>
        <w:rPr>
          <w:rFonts w:hint="eastAsia"/>
          <w:b/>
          <w:color w:val="2F5597"/>
          <w:sz w:val="25"/>
          <w:lang w:val="en-US" w:eastAsia="zh-CN"/>
        </w:rPr>
      </w:pPr>
      <w:r>
        <w:rPr>
          <w:rFonts w:hint="eastAsia"/>
          <w:b/>
          <w:color w:val="2F5597"/>
          <w:sz w:val="25"/>
          <w:lang w:val="en-US" w:eastAsia="zh-CN"/>
        </w:rPr>
        <w:t>投放数据报表</w:t>
      </w:r>
    </w:p>
    <w:p w14:paraId="6B69458B">
      <w:pPr>
        <w:pStyle w:val="4"/>
        <w:rPr>
          <w:rFonts w:hint="eastAsia"/>
          <w:b/>
          <w:color w:val="2F5597"/>
          <w:sz w:val="25"/>
          <w:lang w:val="en-US" w:eastAsia="zh-CN"/>
        </w:rPr>
      </w:pPr>
      <w:r>
        <w:rPr>
          <w:rFonts w:hint="eastAsia"/>
          <w:b/>
          <w:color w:val="2F5597"/>
          <w:sz w:val="25"/>
          <w:lang w:val="en-US" w:eastAsia="zh-CN"/>
        </w:rPr>
        <w:t>渠道报表</w:t>
      </w:r>
    </w:p>
    <w:p w14:paraId="6082D7B2">
      <w:pPr>
        <w:pStyle w:val="4"/>
        <w:rPr>
          <w:rFonts w:hint="default"/>
          <w:b/>
          <w:color w:val="2F5597"/>
          <w:sz w:val="25"/>
          <w:lang w:val="en-US" w:eastAsia="zh-CN"/>
        </w:rPr>
      </w:pPr>
      <w:r>
        <w:rPr>
          <w:rFonts w:hint="eastAsia"/>
          <w:b/>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color w:val="17365D"/>
          <w:sz w:val="40"/>
        </w:rPr>
        <w:t>风险中心</w:t>
      </w:r>
    </w:p>
    <w:p w14:paraId="6AC7DCE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spacing w:after="60" w:line="276" w:lineRule="auto"/>
      </w:pPr>
      <w:r>
        <w:rPr>
          <w:rFonts w:ascii="微软雅黑" w:hAnsi="微软雅黑" w:eastAsia="微软雅黑"/>
          <w:b/>
          <w:i/>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30"/>
                    <a:stretch>
                      <a:fillRect/>
                    </a:stretch>
                  </pic:blipFill>
                  <pic:spPr>
                    <a:xfrm>
                      <a:off x="0" y="0"/>
                      <a:ext cx="5852160" cy="2104694"/>
                    </a:xfrm>
                    <a:prstGeom prst="rect">
                      <a:avLst/>
                    </a:prstGeom>
                  </pic:spPr>
                </pic:pic>
              </a:graphicData>
            </a:graphic>
          </wp:inline>
        </w:drawing>
      </w:r>
    </w:p>
    <w:p w14:paraId="2DE58824">
      <w:pPr>
        <w:pStyle w:val="15"/>
        <w:spacing w:after="120"/>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spacing w:after="60" w:line="276" w:lineRule="auto"/>
      </w:pPr>
      <w:r>
        <w:rPr>
          <w:rFonts w:ascii="微软雅黑" w:hAnsi="微软雅黑" w:eastAsia="微软雅黑"/>
          <w:b/>
          <w:i/>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31"/>
                    <a:stretch>
                      <a:fillRect/>
                    </a:stretch>
                  </pic:blipFill>
                  <pic:spPr>
                    <a:xfrm>
                      <a:off x="0" y="0"/>
                      <a:ext cx="5852160" cy="3545184"/>
                    </a:xfrm>
                    <a:prstGeom prst="rect">
                      <a:avLst/>
                    </a:prstGeom>
                  </pic:spPr>
                </pic:pic>
              </a:graphicData>
            </a:graphic>
          </wp:inline>
        </w:drawing>
      </w:r>
    </w:p>
    <w:p w14:paraId="4FEA2FBB">
      <w:pPr>
        <w:pStyle w:val="15"/>
        <w:spacing w:after="120"/>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spacing w:after="60" w:line="276" w:lineRule="auto"/>
      </w:pPr>
      <w:r>
        <w:rPr>
          <w:rFonts w:ascii="微软雅黑" w:hAnsi="微软雅黑" w:eastAsia="微软雅黑"/>
          <w:b/>
          <w:i/>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32"/>
                    <a:stretch>
                      <a:fillRect/>
                    </a:stretch>
                  </pic:blipFill>
                  <pic:spPr>
                    <a:xfrm>
                      <a:off x="0" y="0"/>
                      <a:ext cx="5852160" cy="996112"/>
                    </a:xfrm>
                    <a:prstGeom prst="rect">
                      <a:avLst/>
                    </a:prstGeom>
                  </pic:spPr>
                </pic:pic>
              </a:graphicData>
            </a:graphic>
          </wp:inline>
        </w:drawing>
      </w:r>
    </w:p>
    <w:p w14:paraId="6B0288B8">
      <w:pPr>
        <w:pStyle w:val="15"/>
        <w:spacing w:after="120"/>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spacing w:after="60" w:line="276" w:lineRule="auto"/>
      </w:pPr>
      <w:r>
        <w:rPr>
          <w:rFonts w:ascii="微软雅黑" w:hAnsi="微软雅黑" w:eastAsia="微软雅黑"/>
          <w:b/>
          <w:i/>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3"/>
                    <a:stretch>
                      <a:fillRect/>
                    </a:stretch>
                  </pic:blipFill>
                  <pic:spPr>
                    <a:xfrm>
                      <a:off x="0" y="0"/>
                      <a:ext cx="5852160" cy="4205838"/>
                    </a:xfrm>
                    <a:prstGeom prst="rect">
                      <a:avLst/>
                    </a:prstGeom>
                  </pic:spPr>
                </pic:pic>
              </a:graphicData>
            </a:graphic>
          </wp:inline>
        </w:drawing>
      </w:r>
    </w:p>
    <w:p w14:paraId="734A6839">
      <w:pPr>
        <w:pStyle w:val="15"/>
        <w:spacing w:after="120"/>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spacing w:after="60" w:line="276" w:lineRule="auto"/>
      </w:pPr>
      <w:r>
        <w:rPr>
          <w:rFonts w:ascii="微软雅黑" w:hAnsi="微软雅黑" w:eastAsia="微软雅黑"/>
          <w:b/>
          <w:i/>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34"/>
                    <a:stretch>
                      <a:fillRect/>
                    </a:stretch>
                  </pic:blipFill>
                  <pic:spPr>
                    <a:xfrm>
                      <a:off x="0" y="0"/>
                      <a:ext cx="5852160" cy="2079197"/>
                    </a:xfrm>
                    <a:prstGeom prst="rect">
                      <a:avLst/>
                    </a:prstGeom>
                  </pic:spPr>
                </pic:pic>
              </a:graphicData>
            </a:graphic>
          </wp:inline>
        </w:drawing>
      </w:r>
    </w:p>
    <w:p w14:paraId="2E84FC54">
      <w:pPr>
        <w:pStyle w:val="15"/>
        <w:spacing w:after="120"/>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spacing w:after="60" w:line="276" w:lineRule="auto"/>
      </w:pPr>
      <w:r>
        <w:rPr>
          <w:rFonts w:ascii="微软雅黑" w:hAnsi="微软雅黑" w:eastAsia="微软雅黑"/>
          <w:b/>
          <w:i/>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35"/>
                    <a:stretch>
                      <a:fillRect/>
                    </a:stretch>
                  </pic:blipFill>
                  <pic:spPr>
                    <a:xfrm>
                      <a:off x="0" y="0"/>
                      <a:ext cx="5852160" cy="2281112"/>
                    </a:xfrm>
                    <a:prstGeom prst="rect">
                      <a:avLst/>
                    </a:prstGeom>
                  </pic:spPr>
                </pic:pic>
              </a:graphicData>
            </a:graphic>
          </wp:inline>
        </w:drawing>
      </w:r>
    </w:p>
    <w:p w14:paraId="58B494B7">
      <w:pPr>
        <w:pStyle w:val="15"/>
        <w:spacing w:after="120"/>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spacing w:after="60" w:line="276" w:lineRule="auto"/>
      </w:pPr>
      <w:r>
        <w:rPr>
          <w:rFonts w:ascii="微软雅黑" w:hAnsi="微软雅黑" w:eastAsia="微软雅黑"/>
          <w:b/>
          <w:i/>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36"/>
                    <a:stretch>
                      <a:fillRect/>
                    </a:stretch>
                  </pic:blipFill>
                  <pic:spPr>
                    <a:xfrm>
                      <a:off x="0" y="0"/>
                      <a:ext cx="5852160" cy="1933945"/>
                    </a:xfrm>
                    <a:prstGeom prst="rect">
                      <a:avLst/>
                    </a:prstGeom>
                  </pic:spPr>
                </pic:pic>
              </a:graphicData>
            </a:graphic>
          </wp:inline>
        </w:drawing>
      </w:r>
    </w:p>
    <w:p w14:paraId="281023EF">
      <w:pPr>
        <w:pStyle w:val="15"/>
        <w:spacing w:after="120"/>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spacing w:after="60" w:line="276" w:lineRule="auto"/>
      </w:pPr>
      <w:r>
        <w:rPr>
          <w:rFonts w:ascii="微软雅黑" w:hAnsi="微软雅黑" w:eastAsia="微软雅黑"/>
          <w:b/>
          <w:i/>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37"/>
                    <a:stretch>
                      <a:fillRect/>
                    </a:stretch>
                  </pic:blipFill>
                  <pic:spPr>
                    <a:xfrm>
                      <a:off x="0" y="0"/>
                      <a:ext cx="5852160" cy="2714045"/>
                    </a:xfrm>
                    <a:prstGeom prst="rect">
                      <a:avLst/>
                    </a:prstGeom>
                  </pic:spPr>
                </pic:pic>
              </a:graphicData>
            </a:graphic>
          </wp:inline>
        </w:drawing>
      </w:r>
    </w:p>
    <w:p w14:paraId="25737975">
      <w:pPr>
        <w:pStyle w:val="15"/>
        <w:spacing w:after="120"/>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color w:val="17365D"/>
          <w:sz w:val="40"/>
        </w:rPr>
        <w:t>十三、商户中心</w:t>
      </w:r>
    </w:p>
    <w:p w14:paraId="0BD3882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8"/>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9"/>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40"/>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41"/>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42"/>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43"/>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44"/>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45"/>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46"/>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47"/>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7AEA83D5">
      <w:pPr>
        <w:pStyle w:val="4"/>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8"/>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9"/>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50"/>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51"/>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564DDD3E">
      <w:pPr>
        <w:pStyle w:val="4"/>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52"/>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53"/>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8"/>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9"/>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10"/>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1"/>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01F1033"/>
    <w:rsid w:val="125E4B0E"/>
    <w:rsid w:val="14A60D00"/>
    <w:rsid w:val="152B4B8D"/>
    <w:rsid w:val="15F6341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0083210"/>
    <w:rsid w:val="53085448"/>
    <w:rsid w:val="53F35F85"/>
    <w:rsid w:val="55E05DF0"/>
    <w:rsid w:val="578C750D"/>
    <w:rsid w:val="57C3279B"/>
    <w:rsid w:val="58B57261"/>
    <w:rsid w:val="58CF0BA1"/>
    <w:rsid w:val="5965538A"/>
    <w:rsid w:val="59C16051"/>
    <w:rsid w:val="5A42010F"/>
    <w:rsid w:val="5DB26AD9"/>
    <w:rsid w:val="5F465A0D"/>
    <w:rsid w:val="60BD3BA3"/>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6" Type="http://schemas.openxmlformats.org/officeDocument/2006/relationships/fontTable" Target="fontTable.xml"/><Relationship Id="rId155" Type="http://schemas.openxmlformats.org/officeDocument/2006/relationships/customXml" Target="../customXml/item1.xml"/><Relationship Id="rId154" Type="http://schemas.openxmlformats.org/officeDocument/2006/relationships/numbering" Target="numbering.xml"/><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16410</Words>
  <Characters>17246</Characters>
  <Lines>0</Lines>
  <Paragraphs>0</Paragraphs>
  <TotalTime>16</TotalTime>
  <ScaleCrop>false</ScaleCrop>
  <LinksUpToDate>false</LinksUpToDate>
  <CharactersWithSpaces>17448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2026-07-13T06:08:00Z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