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2"/>
                    <a:stretch>
                      <a:fillRect/>
                    </a:stretch>
                  </pic:blipFill>
                  <pic:spPr>
                    <a:xfrm>
                      <a:off x="0" y="0"/>
                      <a:ext cx="6391275" cy="1407160"/>
                    </a:xfrm>
                    <a:prstGeom prst="rect">
                      <a:avLst/>
                    </a:prstGeom>
                    <a:noFill/>
                    <a:ln>
                      <a:noFill/>
                    </a:ln>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40" w:line="276" w:lineRule="auto"/>
        <w:ind w:leftChars="0"/>
      </w:pPr>
    </w:p>
    <w:p w14:paraId="28C20023">
      <w:pPr>
        <w:pStyle w:val="6"/>
        <w:spacing w:after="80"/>
      </w:pPr>
      <w:r>
        <w:rPr>
          <w:rFonts w:ascii="微软雅黑" w:hAnsi="微软雅黑" w:eastAsia="微软雅黑"/>
          <w:b/>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3"/>
                    <a:stretch>
                      <a:fillRect/>
                    </a:stretch>
                  </pic:blipFill>
                  <pic:spPr>
                    <a:xfrm>
                      <a:off x="0" y="0"/>
                      <a:ext cx="5897880" cy="1806758"/>
                    </a:xfrm>
                    <a:prstGeom prst="rect">
                      <a:avLst/>
                    </a:prstGeom>
                  </pic:spPr>
                </pic:pic>
              </a:graphicData>
            </a:graphic>
          </wp:inline>
        </w:drawing>
      </w:r>
    </w:p>
    <w:p w14:paraId="47811C09">
      <w:pPr>
        <w:pStyle w:val="15"/>
        <w:spacing w:after="120"/>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4"/>
                    <a:stretch>
                      <a:fillRect/>
                    </a:stretch>
                  </pic:blipFill>
                  <pic:spPr>
                    <a:xfrm>
                      <a:off x="0" y="0"/>
                      <a:ext cx="6395720" cy="2598420"/>
                    </a:xfrm>
                    <a:prstGeom prst="rect">
                      <a:avLst/>
                    </a:prstGeom>
                    <a:noFill/>
                    <a:ln>
                      <a:noFill/>
                    </a:ln>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5"/>
                    <a:stretch>
                      <a:fillRect/>
                    </a:stretch>
                  </pic:blipFill>
                  <pic:spPr>
                    <a:xfrm>
                      <a:off x="0" y="0"/>
                      <a:ext cx="6388100" cy="1395730"/>
                    </a:xfrm>
                    <a:prstGeom prst="rect">
                      <a:avLst/>
                    </a:prstGeom>
                    <a:noFill/>
                    <a:ln>
                      <a:noFill/>
                    </a:ln>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6"/>
                    <a:stretch>
                      <a:fillRect/>
                    </a:stretch>
                  </pic:blipFill>
                  <pic:spPr>
                    <a:xfrm>
                      <a:off x="0" y="0"/>
                      <a:ext cx="6398260" cy="1381760"/>
                    </a:xfrm>
                    <a:prstGeom prst="rect">
                      <a:avLst/>
                    </a:prstGeom>
                    <a:noFill/>
                    <a:ln>
                      <a:noFill/>
                    </a:ln>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3"/>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28"/>
                    <a:stretch>
                      <a:fillRect/>
                    </a:stretch>
                  </pic:blipFill>
                  <pic:spPr>
                    <a:xfrm>
                      <a:off x="0" y="0"/>
                      <a:ext cx="6395720" cy="3333115"/>
                    </a:xfrm>
                    <a:prstGeom prst="rect">
                      <a:avLst/>
                    </a:prstGeom>
                    <a:noFill/>
                    <a:ln>
                      <a:noFill/>
                    </a:ln>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29"/>
                    <a:stretch>
                      <a:fillRect/>
                    </a:stretch>
                  </pic:blipFill>
                  <pic:spPr>
                    <a:xfrm>
                      <a:off x="0" y="0"/>
                      <a:ext cx="6393180" cy="3228340"/>
                    </a:xfrm>
                    <a:prstGeom prst="rect">
                      <a:avLst/>
                    </a:prstGeom>
                    <a:noFill/>
                    <a:ln>
                      <a:noFill/>
                    </a:ln>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0"/>
                    <a:stretch>
                      <a:fillRect/>
                    </a:stretch>
                  </pic:blipFill>
                  <pic:spPr>
                    <a:xfrm>
                      <a:off x="0" y="0"/>
                      <a:ext cx="6400800" cy="6045835"/>
                    </a:xfrm>
                    <a:prstGeom prst="rect">
                      <a:avLst/>
                    </a:prstGeom>
                    <a:noFill/>
                    <a:ln>
                      <a:noFill/>
                    </a:ln>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39D862D5">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14:paraId="1E20F9F4">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14:paraId="5B0E71D8">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F91BA65">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2"/>
                    <a:stretch>
                      <a:fillRect/>
                    </a:stretch>
                  </pic:blipFill>
                  <pic:spPr>
                    <a:xfrm>
                      <a:off x="0" y="0"/>
                      <a:ext cx="5806440" cy="1688000"/>
                    </a:xfrm>
                    <a:prstGeom prst="rect">
                      <a:avLst/>
                    </a:prstGeom>
                  </pic:spPr>
                </pic:pic>
              </a:graphicData>
            </a:graphic>
          </wp:inline>
        </w:drawing>
      </w:r>
    </w:p>
    <w:p w14:paraId="25715291">
      <w:pPr>
        <w:jc w:val="center"/>
      </w:pPr>
      <w:r>
        <w:rPr>
          <w:rFonts w:ascii="微软雅黑" w:hAnsi="微软雅黑" w:eastAsia="微软雅黑"/>
          <w:b w:val="0"/>
          <w:color w:val="707E92"/>
          <w:sz w:val="18"/>
        </w:rPr>
        <w:t>图：支付通道配置列表。</w:t>
      </w:r>
    </w:p>
    <w:p w14:paraId="76D74203">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3"/>
                    <a:stretch>
                      <a:fillRect/>
                    </a:stretch>
                  </pic:blipFill>
                  <pic:spPr>
                    <a:xfrm>
                      <a:off x="0" y="0"/>
                      <a:ext cx="5806440" cy="6962225"/>
                    </a:xfrm>
                    <a:prstGeom prst="rect">
                      <a:avLst/>
                    </a:prstGeom>
                  </pic:spPr>
                </pic:pic>
              </a:graphicData>
            </a:graphic>
          </wp:inline>
        </w:drawing>
      </w:r>
    </w:p>
    <w:p w14:paraId="037C3945">
      <w:pPr>
        <w:jc w:val="center"/>
      </w:pPr>
      <w:r>
        <w:rPr>
          <w:rFonts w:ascii="微软雅黑" w:hAnsi="微软雅黑" w:eastAsia="微软雅黑"/>
          <w:b w:val="0"/>
          <w:color w:val="707E92"/>
          <w:sz w:val="18"/>
        </w:rPr>
        <w:t>图：新增在线支付平台参数配置。</w:t>
      </w:r>
    </w:p>
    <w:p w14:paraId="2287D100">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4"/>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7"/>
                    <a:stretch>
                      <a:fillRect/>
                    </a:stretch>
                  </pic:blipFill>
                  <pic:spPr>
                    <a:xfrm>
                      <a:off x="0" y="0"/>
                      <a:ext cx="5943600" cy="2228850"/>
                    </a:xfrm>
                    <a:prstGeom prst="rect">
                      <a:avLst/>
                    </a:prstGeom>
                  </pic:spPr>
                </pic:pic>
              </a:graphicData>
            </a:graphic>
          </wp:inline>
        </w:drawing>
      </w:r>
    </w:p>
    <w:p w14:paraId="7D493B5F">
      <w:pPr>
        <w:pStyle w:val="15"/>
        <w:spacing w:after="120"/>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8"/>
                    <a:stretch>
                      <a:fillRect/>
                    </a:stretch>
                  </pic:blipFill>
                  <pic:spPr>
                    <a:xfrm>
                      <a:off x="0" y="0"/>
                      <a:ext cx="5897880" cy="1450180"/>
                    </a:xfrm>
                    <a:prstGeom prst="rect">
                      <a:avLst/>
                    </a:prstGeom>
                  </pic:spPr>
                </pic:pic>
              </a:graphicData>
            </a:graphic>
          </wp:inline>
        </w:drawing>
      </w:r>
    </w:p>
    <w:p w14:paraId="00A843EF">
      <w:pPr>
        <w:pStyle w:val="15"/>
        <w:spacing w:after="120"/>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5"/>
        <w:keepNext/>
        <w:spacing w:before="180" w:after="100" w:line="259" w:lineRule="auto"/>
      </w:pPr>
      <w:r>
        <w:rPr>
          <w:rFonts w:ascii="微软雅黑" w:hAnsi="微软雅黑" w:eastAsia="微软雅黑"/>
          <w:b/>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9"/>
                    <a:stretch>
                      <a:fillRect/>
                    </a:stretch>
                  </pic:blipFill>
                  <pic:spPr>
                    <a:xfrm>
                      <a:off x="0" y="0"/>
                      <a:ext cx="5897880" cy="1709844"/>
                    </a:xfrm>
                    <a:prstGeom prst="rect">
                      <a:avLst/>
                    </a:prstGeom>
                  </pic:spPr>
                </pic:pic>
              </a:graphicData>
            </a:graphic>
          </wp:inline>
        </w:drawing>
      </w:r>
    </w:p>
    <w:p w14:paraId="56992AC8">
      <w:pPr>
        <w:pStyle w:val="15"/>
        <w:spacing w:after="120"/>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5"/>
        <w:keepNext/>
        <w:spacing w:before="180" w:after="100" w:line="259" w:lineRule="auto"/>
      </w:pPr>
      <w:r>
        <w:rPr>
          <w:rFonts w:ascii="微软雅黑" w:hAnsi="微软雅黑" w:eastAsia="微软雅黑"/>
          <w:b/>
          <w:color w:val="2F5597"/>
          <w:sz w:val="25"/>
        </w:rPr>
        <w:t>消息推送</w:t>
      </w:r>
    </w:p>
    <w:p w14:paraId="20DB1609">
      <w:pPr>
        <w:spacing w:after="60" w:line="276" w:lineRule="auto"/>
      </w:pPr>
      <w:r>
        <w:rPr>
          <w:rFonts w:ascii="微软雅黑" w:hAnsi="微软雅黑" w:eastAsia="微软雅黑"/>
          <w:b w:val="0"/>
          <w:sz w:val="20"/>
        </w:rPr>
        <w:t>消息推送用于创建和管理面向玩家展示的消息、公告和跑马灯。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0"/>
                    <a:stretch>
                      <a:fillRect/>
                    </a:stretch>
                  </pic:blipFill>
                  <pic:spPr>
                    <a:xfrm>
                      <a:off x="0" y="0"/>
                      <a:ext cx="6394450" cy="1868805"/>
                    </a:xfrm>
                    <a:prstGeom prst="rect">
                      <a:avLst/>
                    </a:prstGeom>
                    <a:noFill/>
                    <a:ln>
                      <a:noFill/>
                    </a:ln>
                  </pic:spPr>
                </pic:pic>
              </a:graphicData>
            </a:graphic>
          </wp:inline>
        </w:drawing>
      </w:r>
    </w:p>
    <w:p w14:paraId="3ECBBDCF">
      <w:pPr>
        <w:pStyle w:val="15"/>
        <w:spacing w:after="120"/>
        <w:jc w:val="center"/>
      </w:pPr>
      <w:r>
        <w:rPr>
          <w:rFonts w:ascii="微软雅黑" w:hAnsi="微软雅黑" w:eastAsia="微软雅黑"/>
          <w:b w:val="0"/>
          <w:color w:val="707E92"/>
          <w:sz w:val="18"/>
        </w:rPr>
        <w:t>图：消息推送列表，用于管理消息、公告和跑马灯。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14:paraId="2929A4B0">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1"/>
                    <a:stretch>
                      <a:fillRect/>
                    </a:stretch>
                  </pic:blipFill>
                  <pic:spPr>
                    <a:xfrm>
                      <a:off x="0" y="0"/>
                      <a:ext cx="6400165" cy="1767205"/>
                    </a:xfrm>
                    <a:prstGeom prst="rect">
                      <a:avLst/>
                    </a:prstGeom>
                    <a:noFill/>
                    <a:ln>
                      <a:noFill/>
                    </a:ln>
                  </pic:spPr>
                </pic:pic>
              </a:graphicData>
            </a:graphic>
          </wp:inline>
        </w:drawing>
      </w:r>
    </w:p>
    <w:p w14:paraId="72B9D513">
      <w:pPr>
        <w:pStyle w:val="15"/>
        <w:spacing w:after="120"/>
        <w:jc w:val="center"/>
      </w:pPr>
      <w:r>
        <w:rPr>
          <w:rFonts w:ascii="微软雅黑" w:hAnsi="微软雅黑" w:eastAsia="微软雅黑"/>
          <w:b w:val="0"/>
          <w:color w:val="707E92"/>
          <w:sz w:val="18"/>
        </w:rPr>
        <w:t>图：宣传管理列表页面，用于查看宣传记录、筛选条件和行内操作。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2"/>
                    <a:stretch>
                      <a:fillRect/>
                    </a:stretch>
                  </pic:blipFill>
                  <pic:spPr>
                    <a:xfrm>
                      <a:off x="0" y="0"/>
                      <a:ext cx="3665855" cy="3138170"/>
                    </a:xfrm>
                    <a:prstGeom prst="rect">
                      <a:avLst/>
                    </a:prstGeom>
                    <a:noFill/>
                    <a:ln>
                      <a:noFill/>
                    </a:ln>
                  </pic:spPr>
                </pic:pic>
              </a:graphicData>
            </a:graphic>
          </wp:inline>
        </w:drawing>
      </w:r>
    </w:p>
    <w:p w14:paraId="19AF48F8">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3"/>
                    <a:stretch>
                      <a:fillRect/>
                    </a:stretch>
                  </pic:blipFill>
                  <pic:spPr>
                    <a:xfrm>
                      <a:off x="0" y="0"/>
                      <a:ext cx="5897880" cy="2737294"/>
                    </a:xfrm>
                    <a:prstGeom prst="rect">
                      <a:avLst/>
                    </a:prstGeom>
                  </pic:spPr>
                </pic:pic>
              </a:graphicData>
            </a:graphic>
          </wp:inline>
        </w:drawing>
      </w:r>
    </w:p>
    <w:p w14:paraId="32F25902">
      <w:pPr>
        <w:pStyle w:val="15"/>
        <w:spacing w:after="120"/>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5"/>
        <w:keepNext/>
        <w:spacing w:before="180" w:after="100" w:line="259" w:lineRule="auto"/>
      </w:pPr>
      <w:r>
        <w:rPr>
          <w:rFonts w:ascii="微软雅黑" w:hAnsi="微软雅黑" w:eastAsia="微软雅黑"/>
          <w:b/>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4"/>
                    <a:stretch>
                      <a:fillRect/>
                    </a:stretch>
                  </pic:blipFill>
                  <pic:spPr>
                    <a:xfrm>
                      <a:off x="0" y="0"/>
                      <a:ext cx="5897880" cy="2542445"/>
                    </a:xfrm>
                    <a:prstGeom prst="rect">
                      <a:avLst/>
                    </a:prstGeom>
                  </pic:spPr>
                </pic:pic>
              </a:graphicData>
            </a:graphic>
          </wp:inline>
        </w:drawing>
      </w:r>
    </w:p>
    <w:p w14:paraId="4EBA86E8">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6"/>
        <w:spacing w:after="100"/>
      </w:pPr>
      <w:r>
        <w:rPr>
          <w:rFonts w:ascii="微软雅黑" w:hAnsi="微软雅黑" w:eastAsia="微软雅黑"/>
          <w:b/>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6"/>
        <w:spacing w:after="100"/>
      </w:pPr>
      <w:r>
        <w:rPr>
          <w:rFonts w:ascii="微软雅黑" w:hAnsi="微软雅黑" w:eastAsia="微软雅黑"/>
          <w:b/>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45"/>
                    <a:stretch>
                      <a:fillRect/>
                    </a:stretch>
                  </pic:blipFill>
                  <pic:spPr>
                    <a:xfrm>
                      <a:off x="0" y="0"/>
                      <a:ext cx="5897880" cy="2620870"/>
                    </a:xfrm>
                    <a:prstGeom prst="rect">
                      <a:avLst/>
                    </a:prstGeom>
                  </pic:spPr>
                </pic:pic>
              </a:graphicData>
            </a:graphic>
          </wp:inline>
        </w:drawing>
      </w:r>
    </w:p>
    <w:p w14:paraId="5A47BFFD">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6"/>
        <w:spacing w:after="100"/>
      </w:pPr>
      <w:r>
        <w:rPr>
          <w:rFonts w:ascii="微软雅黑" w:hAnsi="微软雅黑" w:eastAsia="微软雅黑"/>
          <w:b/>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46"/>
                    <a:stretch>
                      <a:fillRect/>
                    </a:stretch>
                  </pic:blipFill>
                  <pic:spPr>
                    <a:xfrm>
                      <a:off x="0" y="0"/>
                      <a:ext cx="5897880" cy="2659328"/>
                    </a:xfrm>
                    <a:prstGeom prst="rect">
                      <a:avLst/>
                    </a:prstGeom>
                  </pic:spPr>
                </pic:pic>
              </a:graphicData>
            </a:graphic>
          </wp:inline>
        </w:drawing>
      </w:r>
    </w:p>
    <w:p w14:paraId="3A43920F">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6"/>
        <w:spacing w:after="100"/>
      </w:pPr>
      <w:r>
        <w:rPr>
          <w:rFonts w:ascii="微软雅黑" w:hAnsi="微软雅黑" w:eastAsia="微软雅黑"/>
          <w:b/>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47"/>
                    <a:stretch>
                      <a:fillRect/>
                    </a:stretch>
                  </pic:blipFill>
                  <pic:spPr>
                    <a:xfrm>
                      <a:off x="0" y="0"/>
                      <a:ext cx="3291840" cy="1888516"/>
                    </a:xfrm>
                    <a:prstGeom prst="rect">
                      <a:avLst/>
                    </a:prstGeom>
                  </pic:spPr>
                </pic:pic>
              </a:graphicData>
            </a:graphic>
          </wp:inline>
        </w:drawing>
      </w:r>
    </w:p>
    <w:p w14:paraId="29501B2B">
      <w:pPr>
        <w:pStyle w:val="15"/>
        <w:spacing w:after="120"/>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6"/>
        <w:spacing w:after="100"/>
      </w:pPr>
      <w:r>
        <w:rPr>
          <w:rFonts w:ascii="微软雅黑" w:hAnsi="微软雅黑" w:eastAsia="微软雅黑"/>
          <w:b/>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48"/>
                    <a:stretch>
                      <a:fillRect/>
                    </a:stretch>
                  </pic:blipFill>
                  <pic:spPr>
                    <a:xfrm>
                      <a:off x="0" y="0"/>
                      <a:ext cx="5897880" cy="1427559"/>
                    </a:xfrm>
                    <a:prstGeom prst="rect">
                      <a:avLst/>
                    </a:prstGeom>
                  </pic:spPr>
                </pic:pic>
              </a:graphicData>
            </a:graphic>
          </wp:inline>
        </w:drawing>
      </w:r>
    </w:p>
    <w:p w14:paraId="394CBDD4">
      <w:pPr>
        <w:pStyle w:val="15"/>
        <w:spacing w:after="120"/>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49"/>
                    <a:stretch>
                      <a:fillRect/>
                    </a:stretch>
                  </pic:blipFill>
                  <pic:spPr>
                    <a:xfrm>
                      <a:off x="0" y="0"/>
                      <a:ext cx="3840480" cy="2513403"/>
                    </a:xfrm>
                    <a:prstGeom prst="rect">
                      <a:avLst/>
                    </a:prstGeom>
                  </pic:spPr>
                </pic:pic>
              </a:graphicData>
            </a:graphic>
          </wp:inline>
        </w:drawing>
      </w:r>
    </w:p>
    <w:p w14:paraId="20F8217A">
      <w:pPr>
        <w:pStyle w:val="15"/>
        <w:spacing w:after="120"/>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5"/>
        <w:keepNext/>
        <w:spacing w:before="180" w:after="100" w:line="259" w:lineRule="auto"/>
      </w:pPr>
      <w:r>
        <w:rPr>
          <w:rFonts w:ascii="微软雅黑" w:hAnsi="微软雅黑" w:eastAsia="微软雅黑"/>
          <w:b/>
          <w:color w:val="2F5597"/>
          <w:sz w:val="21"/>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0"/>
                    <a:stretch>
                      <a:fillRect/>
                    </a:stretch>
                  </pic:blipFill>
                  <pic:spPr>
                    <a:xfrm>
                      <a:off x="0" y="0"/>
                      <a:ext cx="5897880" cy="1909226"/>
                    </a:xfrm>
                    <a:prstGeom prst="rect">
                      <a:avLst/>
                    </a:prstGeom>
                  </pic:spPr>
                </pic:pic>
              </a:graphicData>
            </a:graphic>
          </wp:inline>
        </w:drawing>
      </w:r>
    </w:p>
    <w:p w14:paraId="4B09099F">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1"/>
                    <a:stretch>
                      <a:fillRect/>
                    </a:stretch>
                  </pic:blipFill>
                  <pic:spPr>
                    <a:xfrm>
                      <a:off x="0" y="0"/>
                      <a:ext cx="4480560" cy="5638247"/>
                    </a:xfrm>
                    <a:prstGeom prst="rect">
                      <a:avLst/>
                    </a:prstGeom>
                  </pic:spPr>
                </pic:pic>
              </a:graphicData>
            </a:graphic>
          </wp:inline>
        </w:drawing>
      </w:r>
    </w:p>
    <w:p w14:paraId="05C485BD">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6D87C06F">
      <w:pPr>
        <w:pStyle w:val="5"/>
        <w:keepNext/>
        <w:spacing w:before="180" w:after="100" w:line="259" w:lineRule="auto"/>
      </w:pPr>
      <w:r>
        <w:rPr>
          <w:rFonts w:ascii="微软雅黑" w:hAnsi="微软雅黑" w:eastAsia="微软雅黑"/>
          <w:b/>
          <w:color w:val="2F5597"/>
          <w:sz w:val="25"/>
        </w:rPr>
        <w:t>活动排行统计</w:t>
      </w:r>
    </w:p>
    <w:p w14:paraId="06EE24A6">
      <w:pPr>
        <w:pStyle w:val="16"/>
        <w:spacing w:after="60" w:line="276" w:lineRule="auto"/>
      </w:pPr>
      <w:r>
        <w:rPr>
          <w:rFonts w:ascii="微软雅黑" w:hAnsi="微软雅黑" w:eastAsia="微软雅黑"/>
          <w:b/>
          <w:color w:val="2F5597"/>
          <w:sz w:val="20"/>
        </w:rPr>
        <w:t>活动排行统计</w:t>
      </w:r>
      <w:r>
        <w:rPr>
          <w:rFonts w:ascii="微软雅黑" w:hAnsi="微软雅黑" w:eastAsia="微软雅黑"/>
          <w:b w:val="0"/>
          <w:sz w:val="20"/>
        </w:rPr>
        <w:t>：用于查看活动参与、排名和奖励相关统计。</w:t>
      </w:r>
    </w:p>
    <w:p w14:paraId="1AB7CF9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：按活动、时间或玩家筛选数据，查看排行、参与人数和奖励发放情况。</w:t>
      </w:r>
    </w:p>
    <w:p w14:paraId="1F28656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：统计结果用于活动复盘，需结合活动规则和奖励记录一起核对。</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2"/>
                    <a:stretch>
                      <a:fillRect/>
                    </a:stretch>
                  </pic:blipFill>
                  <pic:spPr>
                    <a:xfrm>
                      <a:off x="0" y="0"/>
                      <a:ext cx="5897880" cy="1972081"/>
                    </a:xfrm>
                    <a:prstGeom prst="rect">
                      <a:avLst/>
                    </a:prstGeom>
                  </pic:spPr>
                </pic:pic>
              </a:graphicData>
            </a:graphic>
          </wp:inline>
        </w:drawing>
      </w:r>
    </w:p>
    <w:p w14:paraId="301CC78D">
      <w:pPr>
        <w:pStyle w:val="15"/>
        <w:spacing w:after="120"/>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3"/>
                    <a:stretch>
                      <a:fillRect/>
                    </a:stretch>
                  </pic:blipFill>
                  <pic:spPr>
                    <a:xfrm>
                      <a:off x="0" y="0"/>
                      <a:ext cx="5212080" cy="4849830"/>
                    </a:xfrm>
                    <a:prstGeom prst="rect">
                      <a:avLst/>
                    </a:prstGeom>
                  </pic:spPr>
                </pic:pic>
              </a:graphicData>
            </a:graphic>
          </wp:inline>
        </w:drawing>
      </w:r>
    </w:p>
    <w:p w14:paraId="76025C6B">
      <w:pPr>
        <w:pStyle w:val="15"/>
        <w:spacing w:after="120"/>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5"/>
        <w:keepNext/>
        <w:spacing w:before="180" w:after="100" w:line="259" w:lineRule="auto"/>
      </w:pPr>
      <w:r>
        <w:rPr>
          <w:rFonts w:ascii="微软雅黑" w:hAnsi="微软雅黑" w:eastAsia="微软雅黑"/>
          <w:b/>
          <w:color w:val="2F5597"/>
          <w:sz w:val="21"/>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4"/>
                    <a:stretch>
                      <a:fillRect/>
                    </a:stretch>
                  </pic:blipFill>
                  <pic:spPr>
                    <a:xfrm>
                      <a:off x="0" y="0"/>
                      <a:ext cx="5806440" cy="1378331"/>
                    </a:xfrm>
                    <a:prstGeom prst="rect">
                      <a:avLst/>
                    </a:prstGeom>
                  </pic:spPr>
                </pic:pic>
              </a:graphicData>
            </a:graphic>
          </wp:inline>
        </w:drawing>
      </w:r>
    </w:p>
    <w:p w14:paraId="021F6D97">
      <w:pPr>
        <w:pStyle w:val="15"/>
        <w:spacing w:after="120"/>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55"/>
                    <a:stretch>
                      <a:fillRect/>
                    </a:stretch>
                  </pic:blipFill>
                  <pic:spPr>
                    <a:xfrm>
                      <a:off x="0" y="0"/>
                      <a:ext cx="5669280" cy="4752275"/>
                    </a:xfrm>
                    <a:prstGeom prst="rect">
                      <a:avLst/>
                    </a:prstGeom>
                  </pic:spPr>
                </pic:pic>
              </a:graphicData>
            </a:graphic>
          </wp:inline>
        </w:drawing>
      </w:r>
    </w:p>
    <w:p w14:paraId="36C04B86">
      <w:pPr>
        <w:pStyle w:val="15"/>
        <w:spacing w:after="120"/>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888D1C6">
      <w:pPr>
        <w:pStyle w:val="5"/>
        <w:keepNext/>
        <w:spacing w:before="180" w:after="100" w:line="259" w:lineRule="auto"/>
      </w:pPr>
      <w:r>
        <w:rPr>
          <w:rFonts w:ascii="微软雅黑" w:hAnsi="微软雅黑" w:eastAsia="微软雅黑"/>
          <w:b/>
          <w:color w:val="2F5597"/>
          <w:sz w:val="25"/>
        </w:rPr>
        <w:t>优惠数据报表</w:t>
      </w:r>
    </w:p>
    <w:p w14:paraId="1ADD44D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5EF8423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4ABF032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56"/>
                    <a:stretch>
                      <a:fillRect/>
                    </a:stretch>
                  </pic:blipFill>
                  <pic:spPr>
                    <a:xfrm>
                      <a:off x="0" y="0"/>
                      <a:ext cx="5897880" cy="1039973"/>
                    </a:xfrm>
                    <a:prstGeom prst="rect">
                      <a:avLst/>
                    </a:prstGeom>
                  </pic:spPr>
                </pic:pic>
              </a:graphicData>
            </a:graphic>
          </wp:inline>
        </w:drawing>
      </w:r>
    </w:p>
    <w:p w14:paraId="0D6E36DE">
      <w:pPr>
        <w:pStyle w:val="15"/>
        <w:spacing w:after="120"/>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57"/>
                    <a:stretch>
                      <a:fillRect/>
                    </a:stretch>
                  </pic:blipFill>
                  <pic:spPr>
                    <a:xfrm>
                      <a:off x="0" y="0"/>
                      <a:ext cx="5257800" cy="4654033"/>
                    </a:xfrm>
                    <a:prstGeom prst="rect">
                      <a:avLst/>
                    </a:prstGeom>
                  </pic:spPr>
                </pic:pic>
              </a:graphicData>
            </a:graphic>
          </wp:inline>
        </w:drawing>
      </w:r>
    </w:p>
    <w:p w14:paraId="1E73A71A">
      <w:pPr>
        <w:pStyle w:val="15"/>
        <w:spacing w:after="120"/>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58"/>
                    <a:stretch>
                      <a:fillRect/>
                    </a:stretch>
                  </pic:blipFill>
                  <pic:spPr>
                    <a:xfrm>
                      <a:off x="0" y="0"/>
                      <a:ext cx="5897880" cy="2654755"/>
                    </a:xfrm>
                    <a:prstGeom prst="rect">
                      <a:avLst/>
                    </a:prstGeom>
                  </pic:spPr>
                </pic:pic>
              </a:graphicData>
            </a:graphic>
          </wp:inline>
        </w:drawing>
      </w:r>
    </w:p>
    <w:p w14:paraId="7DD4ACF5">
      <w:pPr>
        <w:pStyle w:val="15"/>
        <w:spacing w:after="120"/>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59"/>
                    <a:stretch>
                      <a:fillRect/>
                    </a:stretch>
                  </pic:blipFill>
                  <pic:spPr>
                    <a:xfrm>
                      <a:off x="0" y="0"/>
                      <a:ext cx="5669280" cy="2581401"/>
                    </a:xfrm>
                    <a:prstGeom prst="rect">
                      <a:avLst/>
                    </a:prstGeom>
                  </pic:spPr>
                </pic:pic>
              </a:graphicData>
            </a:graphic>
          </wp:inline>
        </w:drawing>
      </w:r>
    </w:p>
    <w:p w14:paraId="5E728840">
      <w:pPr>
        <w:pStyle w:val="15"/>
        <w:spacing w:after="120"/>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会员提现设置</w:t>
      </w:r>
    </w:p>
    <w:p w14:paraId="049A0089">
      <w:pPr>
        <w:spacing w:after="60" w:line="276" w:lineRule="auto"/>
      </w:pPr>
      <w:r>
        <w:rPr>
          <w:rFonts w:ascii="微软雅黑" w:hAnsi="微软雅黑" w:eastAsia="微软雅黑"/>
          <w:b w:val="0"/>
          <w:sz w:val="20"/>
        </w:rPr>
        <w:t>会员提现设置用于统一维护在线提现通道、自动出款条件、提现审核参数和 VIP 分层限制。日常维护时可先查看主表，再按业务需要进入修改、免审自动出款、提现参数设置和 VIP 提现限制设置等弹窗分别调整。</w:t>
      </w:r>
    </w:p>
    <w:p w14:paraId="5097EDCE">
      <w:pPr>
        <w:pStyle w:val="6"/>
        <w:spacing w:after="60" w:line="276" w:lineRule="auto"/>
      </w:pPr>
      <w:r>
        <w:rPr>
          <w:rFonts w:ascii="微软雅黑" w:hAnsi="微软雅黑" w:eastAsia="微软雅黑"/>
          <w:b/>
          <w:i/>
          <w:color w:val="2F5597"/>
          <w:sz w:val="21"/>
        </w:rPr>
        <w:t>在线提现设置</w:t>
      </w:r>
    </w:p>
    <w:p w14:paraId="14D64496">
      <w:pPr>
        <w:spacing w:after="60" w:line="276" w:lineRule="auto"/>
      </w:pPr>
      <w:r>
        <w:rPr>
          <w:rFonts w:ascii="微软雅黑" w:hAnsi="微软雅黑" w:eastAsia="微软雅黑"/>
          <w:b w:val="0"/>
          <w:sz w:val="20"/>
        </w:rPr>
        <w:t>在线提现设置页面用于集中管理各提现方式的启停状态、手续费口径和限额范围，是日常核对提现通道配置的主要入口。</w:t>
      </w:r>
    </w:p>
    <w:p w14:paraId="088278BA">
      <w:pPr>
        <w:spacing w:after="40"/>
        <w:jc w:val="center"/>
      </w:pPr>
      <w:r>
        <w:drawing>
          <wp:inline distT="0" distB="0" distL="114300" distR="114300">
            <wp:extent cx="5852160" cy="1852930"/>
            <wp:effectExtent l="0" t="0" r="15240" b="1397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60"/>
                    <a:stretch>
                      <a:fillRect/>
                    </a:stretch>
                  </pic:blipFill>
                  <pic:spPr>
                    <a:xfrm>
                      <a:off x="0" y="0"/>
                      <a:ext cx="5852160" cy="1853419"/>
                    </a:xfrm>
                    <a:prstGeom prst="rect">
                      <a:avLst/>
                    </a:prstGeom>
                  </pic:spPr>
                </pic:pic>
              </a:graphicData>
            </a:graphic>
          </wp:inline>
        </w:drawing>
      </w:r>
    </w:p>
    <w:p w14:paraId="5248A0CA">
      <w:pPr>
        <w:pStyle w:val="15"/>
        <w:spacing w:after="120"/>
        <w:jc w:val="center"/>
      </w:pPr>
      <w:r>
        <w:rPr>
          <w:rFonts w:ascii="微软雅黑" w:hAnsi="微软雅黑" w:eastAsia="微软雅黑"/>
          <w:b w:val="0"/>
          <w:color w:val="707E92"/>
          <w:sz w:val="18"/>
        </w:rPr>
        <w:t>图：在线提现设置主表，用于查看各支付方式的提现规则、手续费和通道启用状态。</w:t>
      </w:r>
    </w:p>
    <w:p w14:paraId="4AA1B93A">
      <w:pPr>
        <w:pStyle w:val="16"/>
        <w:spacing w:after="60" w:line="276" w:lineRule="auto"/>
      </w:pPr>
      <w:r>
        <w:rPr>
          <w:rFonts w:ascii="微软雅黑" w:hAnsi="微软雅黑" w:eastAsia="微软雅黑"/>
          <w:b/>
          <w:color w:val="2F5597"/>
          <w:sz w:val="20"/>
        </w:rPr>
        <w:t>通道状态</w:t>
      </w:r>
      <w:r>
        <w:rPr>
          <w:rFonts w:ascii="微软雅黑" w:hAnsi="微软雅黑" w:eastAsia="微软雅黑"/>
          <w:b w:val="0"/>
          <w:sz w:val="20"/>
        </w:rPr>
        <w:t>：页面主表可直接查看各提现方式是否开通通道。关闭通道后，对应支付方式将不再用于前台在线提现；调整前应先确认该通道是否仍有存量订单或特殊业务场景在使用。</w:t>
      </w:r>
    </w:p>
    <w:p w14:paraId="19939446">
      <w:pPr>
        <w:pStyle w:val="16"/>
        <w:spacing w:after="60" w:line="276" w:lineRule="auto"/>
      </w:pPr>
      <w:r>
        <w:rPr>
          <w:rFonts w:ascii="微软雅黑" w:hAnsi="微软雅黑" w:eastAsia="微软雅黑"/>
          <w:b/>
          <w:color w:val="2F5597"/>
          <w:sz w:val="20"/>
        </w:rPr>
        <w:t>手续费规则</w:t>
      </w:r>
      <w:r>
        <w:rPr>
          <w:rFonts w:ascii="微软雅黑" w:hAnsi="微软雅黑" w:eastAsia="微软雅黑"/>
          <w:b w:val="0"/>
          <w:sz w:val="20"/>
        </w:rPr>
        <w:t>：页面支持查看百分比手续费、固定手续费和最小手续费金额。修改手续费前应先确认当前提现成本、活动补贴方案和前台展示口径，避免出现到账金额与预期不一致的情况。</w:t>
      </w:r>
    </w:p>
    <w:p w14:paraId="73DE58A4">
      <w:pPr>
        <w:pStyle w:val="16"/>
        <w:spacing w:after="60" w:line="276" w:lineRule="auto"/>
      </w:pPr>
      <w:r>
        <w:rPr>
          <w:rFonts w:ascii="微软雅黑" w:hAnsi="微软雅黑" w:eastAsia="微软雅黑"/>
          <w:b/>
          <w:color w:val="2F5597"/>
          <w:sz w:val="20"/>
        </w:rPr>
        <w:t>提现限额</w:t>
      </w:r>
      <w:r>
        <w:rPr>
          <w:rFonts w:ascii="微软雅黑" w:hAnsi="微软雅黑" w:eastAsia="微软雅黑"/>
          <w:b w:val="0"/>
          <w:sz w:val="20"/>
        </w:rPr>
        <w:t>：页面可查看单笔提现限额配置。调整限额时应同步核对风控审核口径和财务出款能力，避免前台可申请但后台无法正常处理。</w:t>
      </w:r>
    </w:p>
    <w:p w14:paraId="4D0631B1">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：页面顶部可进入“免审自动出款”“提现参数设置”“VIP提现限制设置”等功能区域；如需调整单个提现方式，则在对应行点击“修改”进入明细维护。</w:t>
      </w:r>
    </w:p>
    <w:p w14:paraId="1D154CE5">
      <w:pPr>
        <w:pStyle w:val="6"/>
        <w:spacing w:after="60" w:line="276" w:lineRule="auto"/>
      </w:pPr>
      <w:r>
        <w:rPr>
          <w:rFonts w:ascii="微软雅黑" w:hAnsi="微软雅黑" w:eastAsia="微软雅黑"/>
          <w:b/>
          <w:i/>
          <w:color w:val="2F5597"/>
          <w:sz w:val="21"/>
        </w:rPr>
        <w:t>修改</w:t>
      </w:r>
    </w:p>
    <w:p w14:paraId="4AB4C604">
      <w:pPr>
        <w:spacing w:after="60" w:line="276" w:lineRule="auto"/>
      </w:pPr>
      <w:r>
        <w:rPr>
          <w:rFonts w:ascii="微软雅黑" w:hAnsi="微软雅黑" w:eastAsia="微软雅黑"/>
          <w:b w:val="0"/>
          <w:sz w:val="20"/>
        </w:rPr>
        <w:t>修改弹窗用于单独调整当前提现方式的基础配置，适合在不影响其他通道的前提下维护手续费、限额和展示信息。</w:t>
      </w:r>
    </w:p>
    <w:p w14:paraId="7B8FE9F1">
      <w:pPr>
        <w:spacing w:after="40"/>
        <w:jc w:val="center"/>
      </w:pPr>
      <w:r>
        <w:drawing>
          <wp:inline distT="0" distB="0" distL="114300" distR="114300">
            <wp:extent cx="4199255" cy="6165215"/>
            <wp:effectExtent l="0" t="0" r="10795" b="698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61"/>
                    <a:stretch>
                      <a:fillRect/>
                    </a:stretch>
                  </pic:blipFill>
                  <pic:spPr>
                    <a:xfrm>
                      <a:off x="0" y="0"/>
                      <a:ext cx="4199255" cy="6165215"/>
                    </a:xfrm>
                    <a:prstGeom prst="rect">
                      <a:avLst/>
                    </a:prstGeom>
                  </pic:spPr>
                </pic:pic>
              </a:graphicData>
            </a:graphic>
          </wp:inline>
        </w:drawing>
      </w:r>
    </w:p>
    <w:p w14:paraId="1D905FD6">
      <w:pPr>
        <w:pStyle w:val="15"/>
        <w:spacing w:after="120"/>
        <w:jc w:val="center"/>
      </w:pPr>
      <w:r>
        <w:rPr>
          <w:rFonts w:ascii="微软雅黑" w:hAnsi="微软雅黑" w:eastAsia="微软雅黑"/>
          <w:b w:val="0"/>
          <w:color w:val="707E92"/>
          <w:sz w:val="18"/>
        </w:rPr>
        <w:t>图：在线提现设置“修改”弹窗，用于维护单个支付方式的手续费、限额、图标和排序。</w:t>
      </w:r>
    </w:p>
    <w:p w14:paraId="3F255659">
      <w:pPr>
        <w:pStyle w:val="16"/>
        <w:spacing w:after="60" w:line="276" w:lineRule="auto"/>
      </w:pPr>
      <w:r>
        <w:rPr>
          <w:rFonts w:ascii="微软雅黑" w:hAnsi="微软雅黑" w:eastAsia="微软雅黑"/>
          <w:b/>
          <w:color w:val="2F5597"/>
          <w:sz w:val="20"/>
        </w:rPr>
        <w:t>手续费配置</w:t>
      </w:r>
      <w:r>
        <w:rPr>
          <w:rFonts w:ascii="微软雅黑" w:hAnsi="微软雅黑" w:eastAsia="微软雅黑"/>
          <w:b w:val="0"/>
          <w:sz w:val="20"/>
        </w:rPr>
        <w:t>：页面支持设置百分比手续费、固定手续费和最小手续费金额。三项配置会共同影响会员实际到账金额，调整前应先确认当前计费规则和财务结算方案。</w:t>
      </w:r>
    </w:p>
    <w:p w14:paraId="46958C37">
      <w:pPr>
        <w:pStyle w:val="16"/>
        <w:spacing w:after="60" w:line="276" w:lineRule="auto"/>
      </w:pPr>
      <w:r>
        <w:rPr>
          <w:rFonts w:ascii="微软雅黑" w:hAnsi="微软雅黑" w:eastAsia="微软雅黑"/>
          <w:b/>
          <w:color w:val="2F5597"/>
          <w:sz w:val="20"/>
        </w:rPr>
        <w:t>通道开关</w:t>
      </w:r>
      <w:r>
        <w:rPr>
          <w:rFonts w:ascii="微软雅黑" w:hAnsi="微软雅黑" w:eastAsia="微软雅黑"/>
          <w:b w:val="0"/>
          <w:sz w:val="20"/>
        </w:rPr>
        <w:t>：通过“是否开启通道”控制当前支付方式是否参与在线提现。关闭后前台将不再展示该提现方式，因此操作前应先确认是否需要保留过渡期。</w:t>
      </w:r>
    </w:p>
    <w:p w14:paraId="59609C8F">
      <w:pPr>
        <w:pStyle w:val="16"/>
        <w:spacing w:after="60" w:line="276" w:lineRule="auto"/>
      </w:pPr>
      <w:r>
        <w:rPr>
          <w:rFonts w:ascii="微软雅黑" w:hAnsi="微软雅黑" w:eastAsia="微软雅黑"/>
          <w:b/>
          <w:color w:val="2F5597"/>
          <w:sz w:val="20"/>
        </w:rPr>
        <w:t>限额与展示</w:t>
      </w:r>
      <w:r>
        <w:rPr>
          <w:rFonts w:ascii="微软雅黑" w:hAnsi="微软雅黑" w:eastAsia="微软雅黑"/>
          <w:b w:val="0"/>
          <w:sz w:val="20"/>
        </w:rPr>
        <w:t>：页面支持设置单笔限制、图标、排序值和备注。排序会影响前台展示顺序，图标和备注则会影响页面识别和运营维护效率。</w:t>
      </w:r>
    </w:p>
    <w:p w14:paraId="3019084E">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：修改完成后点击确定保存。保存前应同时核对手续费公式和提现上下限，调整后建议再检查财务和风控侧的实际处理口径是否一致。</w:t>
      </w:r>
    </w:p>
    <w:p w14:paraId="74B84F49">
      <w:pPr>
        <w:pStyle w:val="6"/>
        <w:spacing w:after="60" w:line="276" w:lineRule="auto"/>
      </w:pPr>
      <w:r>
        <w:rPr>
          <w:rFonts w:ascii="微软雅黑" w:hAnsi="微软雅黑" w:eastAsia="微软雅黑"/>
          <w:b/>
          <w:i/>
          <w:color w:val="2F5597"/>
          <w:sz w:val="21"/>
        </w:rPr>
        <w:t>免审自动出款</w:t>
      </w:r>
    </w:p>
    <w:p w14:paraId="4837FCA1">
      <w:pPr>
        <w:spacing w:after="60" w:line="276" w:lineRule="auto"/>
      </w:pPr>
      <w:r>
        <w:rPr>
          <w:rFonts w:ascii="微软雅黑" w:hAnsi="微软雅黑" w:eastAsia="微软雅黑"/>
          <w:b w:val="0"/>
          <w:sz w:val="20"/>
        </w:rPr>
        <w:t>免审自动出款弹窗用于配置满足条件后可直接进入自动出款流程的订单规则，适合用于低风险、标准化的提现场景。</w:t>
      </w:r>
    </w:p>
    <w:p w14:paraId="07B93BD7">
      <w:pPr>
        <w:spacing w:after="40"/>
        <w:jc w:val="center"/>
      </w:pPr>
      <w:r>
        <w:drawing>
          <wp:inline distT="0" distB="0" distL="114300" distR="114300">
            <wp:extent cx="5669280" cy="3315970"/>
            <wp:effectExtent l="0" t="0" r="7620" b="1778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62"/>
                    <a:stretch>
                      <a:fillRect/>
                    </a:stretch>
                  </pic:blipFill>
                  <pic:spPr>
                    <a:xfrm>
                      <a:off x="0" y="0"/>
                      <a:ext cx="5669280" cy="3315970"/>
                    </a:xfrm>
                    <a:prstGeom prst="rect">
                      <a:avLst/>
                    </a:prstGeom>
                  </pic:spPr>
                </pic:pic>
              </a:graphicData>
            </a:graphic>
          </wp:inline>
        </w:drawing>
      </w:r>
    </w:p>
    <w:p w14:paraId="6DF95262">
      <w:pPr>
        <w:pStyle w:val="15"/>
        <w:spacing w:after="120"/>
        <w:jc w:val="center"/>
      </w:pPr>
      <w:r>
        <w:rPr>
          <w:rFonts w:ascii="微软雅黑" w:hAnsi="微软雅黑" w:eastAsia="微软雅黑"/>
          <w:b w:val="0"/>
          <w:color w:val="707E92"/>
          <w:sz w:val="18"/>
        </w:rPr>
        <w:t>图：免审自动出款弹窗，用于设置满足条件时可自动出款的门槛。</w:t>
      </w:r>
    </w:p>
    <w:p w14:paraId="0FB691A2">
      <w:pPr>
        <w:pStyle w:val="16"/>
        <w:spacing w:after="60" w:line="276" w:lineRule="auto"/>
      </w:pPr>
      <w:r>
        <w:rPr>
          <w:rFonts w:ascii="微软雅黑" w:hAnsi="微软雅黑" w:eastAsia="微软雅黑"/>
          <w:b/>
          <w:color w:val="2F5597"/>
          <w:sz w:val="20"/>
        </w:rPr>
        <w:t>出款条件</w:t>
      </w:r>
      <w:r>
        <w:rPr>
          <w:rFonts w:ascii="微软雅黑" w:hAnsi="微软雅黑" w:eastAsia="微软雅黑"/>
          <w:b w:val="0"/>
          <w:sz w:val="20"/>
        </w:rPr>
        <w:t>：页面支持设置免费提现金额上限、充值次数、提现次数和适用 VIP 等级，用于限定哪些会员和订单可以命中免审自动出款条件。</w:t>
      </w:r>
    </w:p>
    <w:p w14:paraId="5499330B">
      <w:pPr>
        <w:pStyle w:val="16"/>
        <w:spacing w:after="60" w:line="276" w:lineRule="auto"/>
      </w:pPr>
      <w:r>
        <w:rPr>
          <w:rFonts w:ascii="微软雅黑" w:hAnsi="微软雅黑" w:eastAsia="微软雅黑"/>
          <w:b/>
          <w:color w:val="2F5597"/>
          <w:sz w:val="20"/>
        </w:rPr>
        <w:t>支付通道</w:t>
      </w:r>
      <w:r>
        <w:rPr>
          <w:rFonts w:ascii="微软雅黑" w:hAnsi="微软雅黑" w:eastAsia="微软雅黑"/>
          <w:b w:val="0"/>
          <w:sz w:val="20"/>
        </w:rPr>
        <w:t>：页面可指定自动出款支付通道。启用前应先确认该通道稳定可用，并检查是否支持当前站点的自动出款流程。</w:t>
      </w:r>
    </w:p>
    <w:p w14:paraId="43144E4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：命中配置条件的提现订单可直接进入自动出款流程，不再走常规人工审核路径。因此保存前需同步评估风控策略和异常订单兜底流程。</w:t>
      </w:r>
    </w:p>
    <w:p w14:paraId="40C9022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：如条件设置过宽，可能导致本应人工审核的提现单直接进入自动出款。建议优先用于低风险支付方式，并定期检查自动出款订单表现。</w:t>
      </w:r>
    </w:p>
    <w:p w14:paraId="5DDC58E0">
      <w:pPr>
        <w:pStyle w:val="6"/>
        <w:spacing w:after="60" w:line="276" w:lineRule="auto"/>
      </w:pPr>
      <w:r>
        <w:rPr>
          <w:rFonts w:ascii="微软雅黑" w:hAnsi="微软雅黑" w:eastAsia="微软雅黑"/>
          <w:b/>
          <w:i/>
          <w:color w:val="2F5597"/>
          <w:sz w:val="21"/>
        </w:rPr>
        <w:t>提现参数设置</w:t>
      </w:r>
    </w:p>
    <w:p w14:paraId="291055DD">
      <w:pPr>
        <w:spacing w:after="60" w:line="276" w:lineRule="auto"/>
      </w:pPr>
      <w:r>
        <w:rPr>
          <w:rFonts w:ascii="微软雅黑" w:hAnsi="微软雅黑" w:eastAsia="微软雅黑"/>
          <w:b w:val="0"/>
          <w:sz w:val="20"/>
        </w:rPr>
        <w:t>提现参数设置弹窗用于维护站点级提现审核和免费提现规则，是控制提现流程门槛和审核路径的核心配置区域。</w:t>
      </w:r>
    </w:p>
    <w:p w14:paraId="65196DB4">
      <w:pPr>
        <w:spacing w:after="40"/>
        <w:jc w:val="center"/>
      </w:pPr>
      <w:r>
        <w:drawing>
          <wp:inline distT="0" distB="0" distL="114300" distR="114300">
            <wp:extent cx="5852160" cy="5016500"/>
            <wp:effectExtent l="0" t="0" r="15240" b="1270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pic:cNvPicPr>
                  </pic:nvPicPr>
                  <pic:blipFill>
                    <a:blip r:embed="rId63"/>
                    <a:stretch>
                      <a:fillRect/>
                    </a:stretch>
                  </pic:blipFill>
                  <pic:spPr>
                    <a:xfrm>
                      <a:off x="0" y="0"/>
                      <a:ext cx="5852160" cy="5017099"/>
                    </a:xfrm>
                    <a:prstGeom prst="rect">
                      <a:avLst/>
                    </a:prstGeom>
                  </pic:spPr>
                </pic:pic>
              </a:graphicData>
            </a:graphic>
          </wp:inline>
        </w:drawing>
      </w:r>
    </w:p>
    <w:p w14:paraId="6E429ED6">
      <w:pPr>
        <w:pStyle w:val="15"/>
        <w:spacing w:after="120"/>
        <w:jc w:val="center"/>
      </w:pPr>
      <w:r>
        <w:rPr>
          <w:rFonts w:ascii="微软雅黑" w:hAnsi="微软雅黑" w:eastAsia="微软雅黑"/>
          <w:b w:val="0"/>
          <w:color w:val="707E92"/>
          <w:sz w:val="18"/>
        </w:rPr>
        <w:t>图：提现参数设置弹窗，用于设置提现密码、风控审核、免费提现规则和独立提现规则。</w:t>
      </w:r>
    </w:p>
    <w:p w14:paraId="6EE6004E">
      <w:pPr>
        <w:pStyle w:val="16"/>
        <w:spacing w:after="60" w:line="276" w:lineRule="auto"/>
      </w:pPr>
      <w:r>
        <w:rPr>
          <w:rFonts w:ascii="微软雅黑" w:hAnsi="微软雅黑" w:eastAsia="微软雅黑"/>
          <w:b/>
          <w:color w:val="2F5597"/>
          <w:sz w:val="20"/>
        </w:rPr>
        <w:t>审核控制</w:t>
      </w:r>
      <w:r>
        <w:rPr>
          <w:rFonts w:ascii="微软雅黑" w:hAnsi="微软雅黑" w:eastAsia="微软雅黑"/>
          <w:b w:val="0"/>
          <w:sz w:val="20"/>
        </w:rPr>
        <w:t>：页面支持设置提现密码开关、会员可同时进行的提现笔数、是否需要风控审核和免风控层级。这些参数会共同决定提现申请进入审核流转的方式。</w:t>
      </w:r>
    </w:p>
    <w:p w14:paraId="3E344311">
      <w:pPr>
        <w:pStyle w:val="16"/>
        <w:spacing w:after="60" w:line="276" w:lineRule="auto"/>
      </w:pPr>
      <w:r>
        <w:rPr>
          <w:rFonts w:ascii="微软雅黑" w:hAnsi="微软雅黑" w:eastAsia="微软雅黑"/>
          <w:b/>
          <w:color w:val="2F5597"/>
          <w:sz w:val="20"/>
        </w:rPr>
        <w:t>免费提现规则</w:t>
      </w:r>
      <w:r>
        <w:rPr>
          <w:rFonts w:ascii="微软雅黑" w:hAnsi="微软雅黑" w:eastAsia="微软雅黑"/>
          <w:b w:val="0"/>
          <w:sz w:val="20"/>
        </w:rPr>
        <w:t>：页面可维护免费提现相关规则，用于控制会员在特定条件下是否减免手续费。调整前应先确认当前活动策略和财务结算方案。</w:t>
      </w:r>
    </w:p>
    <w:p w14:paraId="19B09CFC">
      <w:pPr>
        <w:pStyle w:val="16"/>
        <w:spacing w:after="60" w:line="276" w:lineRule="auto"/>
      </w:pPr>
      <w:r>
        <w:rPr>
          <w:rFonts w:ascii="微软雅黑" w:hAnsi="微软雅黑" w:eastAsia="微软雅黑"/>
          <w:b/>
          <w:color w:val="2F5597"/>
          <w:sz w:val="20"/>
        </w:rPr>
        <w:t>独立规则</w:t>
      </w:r>
      <w:r>
        <w:rPr>
          <w:rFonts w:ascii="微软雅黑" w:hAnsi="微软雅黑" w:eastAsia="微软雅黑"/>
          <w:b w:val="0"/>
          <w:sz w:val="20"/>
        </w:rPr>
        <w:t>：若开启独立提现规则，常规单笔上下限和 VIP 单笔上下限限制</w:t>
      </w:r>
      <w:r>
        <w:rPr>
          <w:rFonts w:hint="eastAsia"/>
          <w:b w:val="0"/>
          <w:sz w:val="20"/>
          <w:lang w:val="en-US" w:eastAsia="zh-CN"/>
        </w:rPr>
        <w:t>不生效</w:t>
      </w:r>
      <w:r>
        <w:rPr>
          <w:rFonts w:ascii="微软雅黑" w:hAnsi="微软雅黑" w:eastAsia="微软雅黑"/>
          <w:b w:val="0"/>
          <w:sz w:val="20"/>
        </w:rPr>
        <w:t>，避免不同规则并行时出现口径冲突。</w:t>
      </w:r>
    </w:p>
    <w:p w14:paraId="3B5D1D07">
      <w:pPr>
        <w:pStyle w:val="16"/>
        <w:spacing w:after="60" w:line="276" w:lineRule="auto"/>
      </w:pPr>
      <w:r>
        <w:rPr>
          <w:rFonts w:ascii="微软雅黑" w:hAnsi="微软雅黑" w:eastAsia="微软雅黑"/>
          <w:b/>
          <w:color w:val="2F5597"/>
          <w:sz w:val="20"/>
        </w:rPr>
        <w:t>审核流转</w:t>
      </w:r>
      <w:r>
        <w:rPr>
          <w:rFonts w:ascii="微软雅黑" w:hAnsi="微软雅黑" w:eastAsia="微软雅黑"/>
          <w:b w:val="0"/>
          <w:sz w:val="20"/>
        </w:rPr>
        <w:t>：如开启风控审核，相关订单需先经过风控审核再流转至财务出款；关闭前应先确认当前站点的提现风险级别和后续处理流程。</w:t>
      </w:r>
    </w:p>
    <w:p w14:paraId="5B9AB046">
      <w:pPr>
        <w:pStyle w:val="6"/>
        <w:spacing w:after="60" w:line="276" w:lineRule="auto"/>
      </w:pPr>
      <w:r>
        <w:rPr>
          <w:rFonts w:ascii="微软雅黑" w:hAnsi="微软雅黑" w:eastAsia="微软雅黑"/>
          <w:b/>
          <w:i/>
          <w:color w:val="2F5597"/>
          <w:sz w:val="21"/>
        </w:rPr>
        <w:t>VIP提现限制设置</w:t>
      </w:r>
    </w:p>
    <w:p w14:paraId="0671A8D2">
      <w:pPr>
        <w:spacing w:after="60" w:line="276" w:lineRule="auto"/>
      </w:pPr>
      <w:r>
        <w:rPr>
          <w:rFonts w:ascii="微软雅黑" w:hAnsi="微软雅黑" w:eastAsia="微软雅黑"/>
          <w:b w:val="0"/>
          <w:sz w:val="20"/>
        </w:rPr>
        <w:t>VIP 提现限制设置弹窗用于按会员等级维护不同的提现次数、额度和手续费优惠规则，适合做分层运营和差异化限制。</w:t>
      </w:r>
    </w:p>
    <w:p w14:paraId="7FE8BB69">
      <w:pPr>
        <w:spacing w:after="40"/>
        <w:jc w:val="center"/>
      </w:pPr>
      <w:r>
        <w:drawing>
          <wp:inline distT="0" distB="0" distL="114300" distR="114300">
            <wp:extent cx="5370195" cy="3994150"/>
            <wp:effectExtent l="0" t="0" r="1905" b="635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64"/>
                    <a:stretch>
                      <a:fillRect/>
                    </a:stretch>
                  </pic:blipFill>
                  <pic:spPr>
                    <a:xfrm>
                      <a:off x="0" y="0"/>
                      <a:ext cx="5370195" cy="3994150"/>
                    </a:xfrm>
                    <a:prstGeom prst="rect">
                      <a:avLst/>
                    </a:prstGeom>
                  </pic:spPr>
                </pic:pic>
              </a:graphicData>
            </a:graphic>
          </wp:inline>
        </w:drawing>
      </w:r>
    </w:p>
    <w:p w14:paraId="38013F56">
      <w:pPr>
        <w:pStyle w:val="15"/>
        <w:spacing w:after="120"/>
        <w:jc w:val="center"/>
      </w:pPr>
      <w:r>
        <w:rPr>
          <w:rFonts w:ascii="微软雅黑" w:hAnsi="微软雅黑" w:eastAsia="微软雅黑"/>
          <w:b w:val="0"/>
          <w:color w:val="707E92"/>
          <w:sz w:val="18"/>
        </w:rPr>
        <w:t>图：VIP 提现限制设置弹窗，用于按 VIP 等级维护每日次数、额度和前端提示语。</w:t>
      </w:r>
    </w:p>
    <w:p w14:paraId="2655635F">
      <w:pPr>
        <w:pStyle w:val="16"/>
        <w:spacing w:after="60" w:line="276" w:lineRule="auto"/>
      </w:pPr>
      <w:r>
        <w:rPr>
          <w:rFonts w:ascii="微软雅黑" w:hAnsi="微软雅黑" w:eastAsia="微软雅黑"/>
          <w:b/>
          <w:color w:val="2F5597"/>
          <w:sz w:val="20"/>
        </w:rPr>
        <w:t>等级限制</w:t>
      </w:r>
      <w:r>
        <w:rPr>
          <w:rFonts w:ascii="微软雅黑" w:hAnsi="微软雅黑" w:eastAsia="微软雅黑"/>
          <w:b w:val="0"/>
          <w:sz w:val="20"/>
        </w:rPr>
        <w:t>：页面通常按 VIP 等级维护每日提款次数限制、每日提款总额限制、提款总次数限制、提款总额限制、每日免手续费交易笔数以及单次最小/最大提现额度等规则。</w:t>
      </w:r>
    </w:p>
    <w:p w14:paraId="43EDF3B1">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：不同 VIP 等级会按当前配置执行差异化提现限制，因此调整前应先确认会员分层方案和当前运营政策，避免影响高等级会员体验。</w:t>
      </w:r>
    </w:p>
    <w:p w14:paraId="523E052A">
      <w:pPr>
        <w:pStyle w:val="16"/>
        <w:spacing w:after="60" w:line="276" w:lineRule="auto"/>
      </w:pPr>
      <w:r>
        <w:rPr>
          <w:rFonts w:ascii="微软雅黑" w:hAnsi="微软雅黑" w:eastAsia="微软雅黑"/>
          <w:b/>
          <w:color w:val="2F5597"/>
          <w:sz w:val="20"/>
        </w:rPr>
        <w:t>前端提示语</w:t>
      </w:r>
      <w:r>
        <w:rPr>
          <w:rFonts w:ascii="微软雅黑" w:hAnsi="微软雅黑" w:eastAsia="微软雅黑"/>
          <w:b w:val="0"/>
          <w:sz w:val="20"/>
        </w:rPr>
        <w:t>：页面下方可同步维护 VIP 前端提示语，用于向会员说明提款规则、打码要求和注意事项；修改后应一并检查前台文案是否与当前限制口径一致。</w:t>
      </w:r>
    </w:p>
    <w:p w14:paraId="4A33788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：当站点需要对不同层级会员执行差异化提现策略时，可优先通过该页面统一配置；调整后建议重点关注高频提款会员的实际申请情况。</w:t>
      </w:r>
    </w:p>
    <w:p w14:paraId="233CA22C">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会员充值配置</w:t>
      </w:r>
    </w:p>
    <w:p w14:paraId="2E25E75B">
      <w:pPr>
        <w:spacing w:after="60" w:line="276" w:lineRule="auto"/>
      </w:pPr>
      <w:r>
        <w:rPr>
          <w:rFonts w:ascii="微软雅黑" w:hAnsi="微软雅黑" w:eastAsia="微软雅黑"/>
          <w:b w:val="0"/>
          <w:sz w:val="20"/>
        </w:rPr>
        <w:t>会员充值配置用于统一维护在线充值方式、支付方式分组展示和充值提示语。日常配置时可先从在线充值配置主表核对分组与通道状态，再进入支付方式分组或充值配置弹窗补充对应参数。</w:t>
      </w:r>
    </w:p>
    <w:p w14:paraId="1D98367A">
      <w:pPr>
        <w:pStyle w:val="6"/>
        <w:spacing w:after="60" w:line="276" w:lineRule="auto"/>
      </w:pPr>
      <w:r>
        <w:rPr>
          <w:rFonts w:ascii="微软雅黑" w:hAnsi="微软雅黑" w:eastAsia="微软雅黑"/>
          <w:b/>
          <w:i/>
          <w:color w:val="2F5597"/>
          <w:sz w:val="21"/>
        </w:rPr>
        <w:t>在线充值配置</w:t>
      </w:r>
    </w:p>
    <w:p w14:paraId="37908CB6">
      <w:pPr>
        <w:spacing w:after="60" w:line="276" w:lineRule="auto"/>
      </w:pPr>
      <w:r>
        <w:rPr>
          <w:rFonts w:ascii="微软雅黑" w:hAnsi="微软雅黑" w:eastAsia="微软雅黑"/>
          <w:b w:val="0"/>
          <w:sz w:val="20"/>
        </w:rPr>
        <w:t>在线充值配置页面用于集中查看和维护各充值分组下的支付通道配置，是日常核对通道启停、限额和前台展示信息的主要入口。</w:t>
      </w:r>
    </w:p>
    <w:p w14:paraId="32650FB3">
      <w:pPr>
        <w:spacing w:after="40"/>
        <w:jc w:val="center"/>
      </w:pPr>
      <w:r>
        <w:drawing>
          <wp:inline distT="0" distB="0" distL="114300" distR="114300">
            <wp:extent cx="5852160" cy="2346325"/>
            <wp:effectExtent l="0" t="0" r="15240" b="1587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65"/>
                    <a:stretch>
                      <a:fillRect/>
                    </a:stretch>
                  </pic:blipFill>
                  <pic:spPr>
                    <a:xfrm>
                      <a:off x="0" y="0"/>
                      <a:ext cx="5852160" cy="2346501"/>
                    </a:xfrm>
                    <a:prstGeom prst="rect">
                      <a:avLst/>
                    </a:prstGeom>
                  </pic:spPr>
                </pic:pic>
              </a:graphicData>
            </a:graphic>
          </wp:inline>
        </w:drawing>
      </w:r>
    </w:p>
    <w:p w14:paraId="556C0045">
      <w:pPr>
        <w:pStyle w:val="15"/>
        <w:spacing w:after="120"/>
        <w:jc w:val="center"/>
      </w:pPr>
      <w:r>
        <w:rPr>
          <w:rFonts w:ascii="微软雅黑" w:hAnsi="微软雅黑" w:eastAsia="微软雅黑"/>
          <w:b w:val="0"/>
          <w:color w:val="707E92"/>
          <w:sz w:val="18"/>
        </w:rPr>
        <w:t>图：在线充值配置主表，用于查看各支付方式分组、通道推荐金额、限额和启用状态。</w:t>
      </w:r>
    </w:p>
    <w:p w14:paraId="0F35208A">
      <w:pPr>
        <w:pStyle w:val="16"/>
        <w:spacing w:after="60" w:line="276" w:lineRule="auto"/>
      </w:pPr>
      <w:r>
        <w:rPr>
          <w:rFonts w:ascii="微软雅黑" w:hAnsi="微软雅黑" w:eastAsia="微软雅黑"/>
          <w:b/>
          <w:color w:val="2F5597"/>
          <w:sz w:val="20"/>
        </w:rPr>
        <w:t>通道展示</w:t>
      </w:r>
      <w:r>
        <w:rPr>
          <w:rFonts w:ascii="微软雅黑" w:hAnsi="微软雅黑" w:eastAsia="微软雅黑"/>
          <w:b w:val="0"/>
          <w:sz w:val="20"/>
        </w:rPr>
        <w:t>：页面主表通常支持按支付通道和状态筛选，列表中可查看支付方式、排序、图标、前台通道名称、通道名称、是否启用等内容，用于统一核对当前充值方式是否正常展示。</w:t>
      </w:r>
    </w:p>
    <w:p w14:paraId="00FF3EED">
      <w:pPr>
        <w:pStyle w:val="16"/>
        <w:spacing w:after="60" w:line="276" w:lineRule="auto"/>
      </w:pPr>
      <w:r>
        <w:rPr>
          <w:rFonts w:ascii="微软雅黑" w:hAnsi="微软雅黑" w:eastAsia="微软雅黑"/>
          <w:b/>
          <w:color w:val="2F5597"/>
          <w:sz w:val="20"/>
        </w:rPr>
        <w:t>充值限额</w:t>
      </w:r>
      <w:r>
        <w:rPr>
          <w:rFonts w:ascii="微软雅黑" w:hAnsi="微软雅黑" w:eastAsia="微软雅黑"/>
          <w:b w:val="0"/>
          <w:sz w:val="20"/>
        </w:rPr>
        <w:t>：页面可查看推荐充值金额、最小/最大限额和前台提示。调整限额前应先确认当前支付通道的收款能力、活动门槛和前台文案口径。</w:t>
      </w:r>
    </w:p>
    <w:p w14:paraId="74B5D2B2">
      <w:pPr>
        <w:pStyle w:val="16"/>
        <w:spacing w:after="60" w:line="276" w:lineRule="auto"/>
      </w:pPr>
      <w:r>
        <w:rPr>
          <w:rFonts w:ascii="微软雅黑" w:hAnsi="微软雅黑" w:eastAsia="微软雅黑"/>
          <w:b/>
          <w:color w:val="2F5597"/>
          <w:sz w:val="20"/>
        </w:rPr>
        <w:t>分组查看</w:t>
      </w:r>
      <w:r>
        <w:rPr>
          <w:rFonts w:ascii="微软雅黑" w:hAnsi="微软雅黑" w:eastAsia="微软雅黑"/>
          <w:b w:val="0"/>
          <w:sz w:val="20"/>
        </w:rPr>
        <w:t>：列表按支付方式分组展示，展开后可查看组内通道配置；调整前应先确认当前支付方式所在分组，再进入对应行执行修改或查看。</w:t>
      </w:r>
    </w:p>
    <w:p w14:paraId="08880D9F">
      <w:pPr>
        <w:pStyle w:val="6"/>
        <w:spacing w:after="60" w:line="276" w:lineRule="auto"/>
      </w:pPr>
      <w:r>
        <w:rPr>
          <w:rFonts w:ascii="微软雅黑" w:hAnsi="微软雅黑" w:eastAsia="微软雅黑"/>
          <w:b/>
          <w:i/>
          <w:color w:val="2F5597"/>
          <w:sz w:val="21"/>
        </w:rPr>
        <w:t>编辑支付方式分组</w:t>
      </w:r>
    </w:p>
    <w:p w14:paraId="40ABC2D2">
      <w:pPr>
        <w:spacing w:after="60" w:line="276" w:lineRule="auto"/>
      </w:pPr>
      <w:r>
        <w:rPr>
          <w:rFonts w:ascii="微软雅黑" w:hAnsi="微软雅黑" w:eastAsia="微软雅黑"/>
          <w:b w:val="0"/>
          <w:sz w:val="20"/>
        </w:rPr>
        <w:t>编辑支付方式分组弹窗用于维护充值页分组的前台展示信息，适合统一调整同类支付方式的展示名称和排序。</w:t>
      </w:r>
    </w:p>
    <w:p w14:paraId="32EE1981">
      <w:pPr>
        <w:spacing w:after="40"/>
        <w:jc w:val="center"/>
      </w:pPr>
      <w:r>
        <w:drawing>
          <wp:inline distT="0" distB="0" distL="114300" distR="114300">
            <wp:extent cx="4762500" cy="3430270"/>
            <wp:effectExtent l="0" t="0" r="0" b="1778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66"/>
                    <a:stretch>
                      <a:fillRect/>
                    </a:stretch>
                  </pic:blipFill>
                  <pic:spPr>
                    <a:xfrm>
                      <a:off x="0" y="0"/>
                      <a:ext cx="4762500" cy="3430270"/>
                    </a:xfrm>
                    <a:prstGeom prst="rect">
                      <a:avLst/>
                    </a:prstGeom>
                  </pic:spPr>
                </pic:pic>
              </a:graphicData>
            </a:graphic>
          </wp:inline>
        </w:drawing>
      </w:r>
    </w:p>
    <w:p w14:paraId="53F02E34">
      <w:pPr>
        <w:pStyle w:val="15"/>
        <w:spacing w:after="120"/>
        <w:jc w:val="center"/>
      </w:pPr>
      <w:r>
        <w:rPr>
          <w:rFonts w:ascii="微软雅黑" w:hAnsi="微软雅黑" w:eastAsia="微软雅黑"/>
          <w:b w:val="0"/>
          <w:color w:val="707E92"/>
          <w:sz w:val="18"/>
        </w:rPr>
        <w:t>图：编辑支付方式分组弹窗，用于维护前台展示名称、图标和排序。</w:t>
      </w:r>
    </w:p>
    <w:p w14:paraId="087233B3">
      <w:pPr>
        <w:pStyle w:val="16"/>
        <w:spacing w:after="60" w:line="276" w:lineRule="auto"/>
      </w:pPr>
      <w:r>
        <w:rPr>
          <w:rFonts w:ascii="微软雅黑" w:hAnsi="微软雅黑" w:eastAsia="微软雅黑"/>
          <w:b/>
          <w:color w:val="2F5597"/>
          <w:sz w:val="20"/>
        </w:rPr>
        <w:t>分组名称</w:t>
      </w:r>
      <w:r>
        <w:rPr>
          <w:rFonts w:ascii="微软雅黑" w:hAnsi="微软雅黑" w:eastAsia="微软雅黑"/>
          <w:b w:val="0"/>
          <w:sz w:val="20"/>
        </w:rPr>
        <w:t>：页面支持维护前台支付方式名字。该名称会直接影响前台充值页分组展示，因此修改前应确认当前支付通道的实际用途和面向用户的展示口径。</w:t>
      </w:r>
    </w:p>
    <w:p w14:paraId="49220E24">
      <w:pPr>
        <w:pStyle w:val="16"/>
        <w:spacing w:after="60" w:line="276" w:lineRule="auto"/>
      </w:pPr>
      <w:r>
        <w:rPr>
          <w:rFonts w:ascii="微软雅黑" w:hAnsi="微软雅黑" w:eastAsia="微软雅黑"/>
          <w:b/>
          <w:color w:val="2F5597"/>
          <w:sz w:val="20"/>
        </w:rPr>
        <w:t>图标与排序</w:t>
      </w:r>
      <w:r>
        <w:rPr>
          <w:rFonts w:ascii="微软雅黑" w:hAnsi="微软雅黑" w:eastAsia="微软雅黑"/>
          <w:b w:val="0"/>
          <w:sz w:val="20"/>
        </w:rPr>
        <w:t>：页面支持维护图标和排序值。图标建议保持统一尺寸和格式，排序值用于控制分组在前台的展示先后，调整后应同步检查前台实际显示效果。</w:t>
      </w:r>
    </w:p>
    <w:p w14:paraId="50BEEE81">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：修改完成后点击确定保存。保存前应确认分组名称、图标和排序与当前支付通道配置保持一致，避免前台展示混乱。</w:t>
      </w:r>
    </w:p>
    <w:p w14:paraId="238015D8">
      <w:pPr>
        <w:pStyle w:val="6"/>
        <w:spacing w:after="60" w:line="276" w:lineRule="auto"/>
      </w:pPr>
      <w:r>
        <w:rPr>
          <w:rFonts w:ascii="微软雅黑" w:hAnsi="微软雅黑" w:eastAsia="微软雅黑"/>
          <w:b/>
          <w:i/>
          <w:color w:val="2F5597"/>
          <w:sz w:val="21"/>
        </w:rPr>
        <w:t>充值配置</w:t>
      </w:r>
    </w:p>
    <w:p w14:paraId="081ACB11">
      <w:pPr>
        <w:spacing w:after="60" w:line="276" w:lineRule="auto"/>
      </w:pPr>
      <w:r>
        <w:rPr>
          <w:rFonts w:ascii="微软雅黑" w:hAnsi="微软雅黑" w:eastAsia="微软雅黑"/>
          <w:b w:val="0"/>
          <w:sz w:val="20"/>
        </w:rPr>
        <w:t>充值配置弹窗用于维护站点级充值提示信息和并发订单限制，是控制充值体验和前台引导文案的统一入口。</w:t>
      </w:r>
    </w:p>
    <w:p w14:paraId="7A02257D">
      <w:pPr>
        <w:spacing w:after="40"/>
        <w:jc w:val="center"/>
      </w:pPr>
      <w:r>
        <w:drawing>
          <wp:inline distT="0" distB="0" distL="114300" distR="114300">
            <wp:extent cx="5370195" cy="4066540"/>
            <wp:effectExtent l="0" t="0" r="1905" b="1016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67"/>
                    <a:stretch>
                      <a:fillRect/>
                    </a:stretch>
                  </pic:blipFill>
                  <pic:spPr>
                    <a:xfrm>
                      <a:off x="0" y="0"/>
                      <a:ext cx="5370195" cy="4066540"/>
                    </a:xfrm>
                    <a:prstGeom prst="rect">
                      <a:avLst/>
                    </a:prstGeom>
                  </pic:spPr>
                </pic:pic>
              </a:graphicData>
            </a:graphic>
          </wp:inline>
        </w:drawing>
      </w:r>
    </w:p>
    <w:p w14:paraId="490C25F3">
      <w:pPr>
        <w:pStyle w:val="15"/>
        <w:spacing w:after="120"/>
        <w:jc w:val="center"/>
      </w:pPr>
      <w:r>
        <w:rPr>
          <w:rFonts w:ascii="微软雅黑" w:hAnsi="微软雅黑" w:eastAsia="微软雅黑"/>
          <w:b w:val="0"/>
          <w:color w:val="707E92"/>
          <w:sz w:val="18"/>
        </w:rPr>
        <w:t>图：充值配置弹窗，用于设置并发充值订单数和充值提示语。</w:t>
      </w:r>
    </w:p>
    <w:p w14:paraId="05540F90">
      <w:pPr>
        <w:pStyle w:val="16"/>
        <w:spacing w:after="60" w:line="276" w:lineRule="auto"/>
      </w:pPr>
      <w:r>
        <w:rPr>
          <w:rFonts w:ascii="微软雅黑" w:hAnsi="微软雅黑" w:eastAsia="微软雅黑"/>
          <w:b/>
          <w:color w:val="2F5597"/>
          <w:sz w:val="20"/>
        </w:rPr>
        <w:t>并发订单</w:t>
      </w:r>
      <w:r>
        <w:rPr>
          <w:rFonts w:ascii="微软雅黑" w:hAnsi="微软雅黑" w:eastAsia="微软雅黑"/>
          <w:b w:val="0"/>
          <w:sz w:val="20"/>
        </w:rPr>
        <w:t>：页面可维护每个用户最大可同时进行中的充值订单数，用于控制会员在同一时间内可发起的充值单数量。调整前应先确认当前支付处理能力和异常订单清理策略。</w:t>
      </w:r>
    </w:p>
    <w:p w14:paraId="58488753">
      <w:pPr>
        <w:pStyle w:val="16"/>
        <w:spacing w:after="60" w:line="276" w:lineRule="auto"/>
      </w:pPr>
      <w:r>
        <w:rPr>
          <w:rFonts w:ascii="微软雅黑" w:hAnsi="微软雅黑" w:eastAsia="微软雅黑"/>
          <w:b/>
          <w:color w:val="2F5597"/>
          <w:sz w:val="20"/>
        </w:rPr>
        <w:t>提示语内容</w:t>
      </w:r>
      <w:r>
        <w:rPr>
          <w:rFonts w:ascii="微软雅黑" w:hAnsi="微软雅黑" w:eastAsia="微软雅黑"/>
          <w:b w:val="0"/>
          <w:sz w:val="20"/>
        </w:rPr>
        <w:t>：页面支持维护充值提示语内容，并提供富文本编辑和实时预览。适合填写到账时效、汇率说明、异常处理方式和客服引导。</w:t>
      </w:r>
    </w:p>
    <w:p w14:paraId="14E216E0">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：保存前建议检查预览区显示效果，并确认提示语与当前支付方式、活动规则和人工处理流程保持一致，避免出现文案截断或口径不一致的情况。</w:t>
      </w:r>
    </w:p>
    <w:p w14:paraId="1C84553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充值订单列表</w:t>
      </w:r>
    </w:p>
    <w:p w14:paraId="63DF00D5">
      <w:pPr>
        <w:spacing w:after="60" w:line="276" w:lineRule="auto"/>
      </w:pPr>
      <w:r>
        <w:rPr>
          <w:rFonts w:ascii="微软雅黑" w:hAnsi="微软雅黑" w:eastAsia="微软雅黑"/>
          <w:b w:val="0"/>
          <w:sz w:val="20"/>
        </w:rPr>
        <w:t>充值订单列表用于统一查询会员充值订单、跟踪支付处理进度，并配合订单详情、账变记录和通道信息完成到账核对。页面按充值类型区分为在线充值和 USDT 充值两个页签，适合财务、客服和运营在处理充值异常时快速定位订单。</w:t>
      </w:r>
    </w:p>
    <w:p w14:paraId="28B6DCF7">
      <w:pPr>
        <w:pStyle w:val="6"/>
        <w:spacing w:after="60" w:line="276" w:lineRule="auto"/>
      </w:pPr>
      <w:r>
        <w:rPr>
          <w:rFonts w:ascii="微软雅黑" w:hAnsi="微软雅黑" w:eastAsia="微软雅黑"/>
          <w:b/>
          <w:i/>
          <w:color w:val="2F5597"/>
          <w:sz w:val="21"/>
        </w:rPr>
        <w:t>在线充值</w:t>
      </w:r>
    </w:p>
    <w:p w14:paraId="007F8BBC">
      <w:pPr>
        <w:spacing w:after="60" w:line="276" w:lineRule="auto"/>
      </w:pPr>
      <w:r>
        <w:rPr>
          <w:rFonts w:ascii="微软雅黑" w:hAnsi="微软雅黑" w:eastAsia="微软雅黑"/>
          <w:b w:val="0"/>
          <w:sz w:val="20"/>
        </w:rPr>
        <w:t>在线充值页签用于查询常规支付通道的充值订单，是核对支付渠道到账情况和第三方单号的主要入口。处理充值咨询时，可先在这里按时间、会员和通道定位目标订单。</w:t>
      </w:r>
    </w:p>
    <w:p w14:paraId="2E58854E">
      <w:pPr>
        <w:spacing w:after="40"/>
        <w:jc w:val="center"/>
      </w:pPr>
      <w:r>
        <w:drawing>
          <wp:inline distT="0" distB="0" distL="114300" distR="114300">
            <wp:extent cx="5852160" cy="2088515"/>
            <wp:effectExtent l="0" t="0" r="15240" b="698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68"/>
                    <a:stretch>
                      <a:fillRect/>
                    </a:stretch>
                  </pic:blipFill>
                  <pic:spPr>
                    <a:xfrm>
                      <a:off x="0" y="0"/>
                      <a:ext cx="5852160" cy="2088760"/>
                    </a:xfrm>
                    <a:prstGeom prst="rect">
                      <a:avLst/>
                    </a:prstGeom>
                  </pic:spPr>
                </pic:pic>
              </a:graphicData>
            </a:graphic>
          </wp:inline>
        </w:drawing>
      </w:r>
    </w:p>
    <w:p w14:paraId="7E806E6F">
      <w:pPr>
        <w:pStyle w:val="15"/>
        <w:spacing w:after="120"/>
        <w:jc w:val="center"/>
      </w:pPr>
      <w:r>
        <w:rPr>
          <w:rFonts w:ascii="微软雅黑" w:hAnsi="微软雅黑" w:eastAsia="微软雅黑"/>
          <w:b w:val="0"/>
          <w:color w:val="707E92"/>
          <w:sz w:val="18"/>
        </w:rPr>
        <w:t>图：在线充值列表，用于按会员、通道和订单状态查询在线充值订单。</w:t>
      </w:r>
    </w:p>
    <w:p w14:paraId="60C83B0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：页面支持按创建时间、会员ID、支付渠道和订单状态筛选订单。处理玩家充值咨询或通道异常时，建议先固定时间范围和会员账号，再结合状态筛选待付款、处理中或充值成功订单。</w:t>
      </w:r>
    </w:p>
    <w:p w14:paraId="34F8B09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会展示订单号、会员ID、订单状态、订单金额、赠送金额、实际到账金额、创建时间、支付方式、支付渠道、汇率、充值币种、第三方单号和备注等信息。核对到账问题时，应重点关注订单状态、实际到账金额、赠送金额和备注说明。</w:t>
      </w:r>
    </w:p>
    <w:p w14:paraId="039C5CEC">
      <w:pPr>
        <w:pStyle w:val="16"/>
        <w:spacing w:after="60" w:line="276" w:lineRule="auto"/>
      </w:pPr>
      <w:r>
        <w:rPr>
          <w:rFonts w:ascii="微软雅黑" w:hAnsi="微软雅黑" w:eastAsia="微软雅黑"/>
          <w:b/>
          <w:color w:val="2F5597"/>
          <w:sz w:val="20"/>
        </w:rPr>
        <w:t>导出与对账</w:t>
      </w:r>
      <w:r>
        <w:rPr>
          <w:rFonts w:ascii="微软雅黑" w:hAnsi="微软雅黑" w:eastAsia="微软雅黑"/>
          <w:b w:val="0"/>
          <w:sz w:val="20"/>
        </w:rPr>
        <w:t>：页面支持导出表格，便于按时间段留档或交叉核对。导出前应确认当前页签、筛选条件和订单状态范围，避免把不同充值类型或无关时间段数据混在同一份结果中。</w:t>
      </w:r>
    </w:p>
    <w:p w14:paraId="6E4A36BC">
      <w:pPr>
        <w:pStyle w:val="6"/>
        <w:spacing w:after="60" w:line="276" w:lineRule="auto"/>
      </w:pPr>
      <w:r>
        <w:rPr>
          <w:rFonts w:ascii="微软雅黑" w:hAnsi="微软雅黑" w:eastAsia="微软雅黑"/>
          <w:b/>
          <w:i/>
          <w:color w:val="2F5597"/>
          <w:sz w:val="21"/>
        </w:rPr>
        <w:t>订单详情</w:t>
      </w:r>
    </w:p>
    <w:p w14:paraId="2B03C204">
      <w:pPr>
        <w:spacing w:after="60" w:line="276" w:lineRule="auto"/>
      </w:pPr>
      <w:r>
        <w:rPr>
          <w:rFonts w:ascii="微软雅黑" w:hAnsi="微软雅黑" w:eastAsia="微软雅黑"/>
          <w:b w:val="0"/>
          <w:sz w:val="20"/>
        </w:rPr>
        <w:t>点击列表“详情”后，可查看单笔在线充值订单的完整信息，适合进一步核对到账金额、第三方单号和更新时间。</w:t>
      </w:r>
    </w:p>
    <w:p w14:paraId="551A8179">
      <w:pPr>
        <w:spacing w:after="40"/>
        <w:jc w:val="center"/>
      </w:pPr>
      <w:r>
        <w:drawing>
          <wp:inline distT="0" distB="0" distL="114300" distR="114300">
            <wp:extent cx="3735705" cy="3686175"/>
            <wp:effectExtent l="0" t="0" r="1714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69"/>
                    <a:stretch>
                      <a:fillRect/>
                    </a:stretch>
                  </pic:blipFill>
                  <pic:spPr>
                    <a:xfrm>
                      <a:off x="0" y="0"/>
                      <a:ext cx="3735705" cy="3686175"/>
                    </a:xfrm>
                    <a:prstGeom prst="rect">
                      <a:avLst/>
                    </a:prstGeom>
                  </pic:spPr>
                </pic:pic>
              </a:graphicData>
            </a:graphic>
          </wp:inline>
        </w:drawing>
      </w:r>
    </w:p>
    <w:p w14:paraId="4A83F83B">
      <w:pPr>
        <w:pStyle w:val="15"/>
        <w:spacing w:after="120"/>
        <w:jc w:val="center"/>
      </w:pPr>
      <w:r>
        <w:rPr>
          <w:rFonts w:ascii="微软雅黑" w:hAnsi="微软雅黑" w:eastAsia="微软雅黑"/>
          <w:b w:val="0"/>
          <w:color w:val="707E92"/>
          <w:sz w:val="18"/>
        </w:rPr>
        <w:t>图：在线充值订单详情弹窗，用于查看单笔充值订单的金额、渠道和时间信息。</w:t>
      </w:r>
    </w:p>
    <w:p w14:paraId="38434D8B">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：详情弹窗会展示订单号、订单状态、会员ID、第三方单号、订单金额、实际到账金额、赠送金额、充值币种、汇率、手续费、支付方式、支付渠道、是否首充、备注、创建时间和更新时间。</w:t>
      </w:r>
    </w:p>
    <w:p w14:paraId="7ABF26F9">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：排查充值争议时，可优先通过详情页核对第三方单号、实际到账金额和更新时间，再决定是否继续结合支付通道数据或账变记录追查。若存在赠送金额，还应同步确认是否命中了当前充值活动规则。</w:t>
      </w:r>
    </w:p>
    <w:p w14:paraId="344F241A">
      <w:pPr>
        <w:pStyle w:val="6"/>
        <w:spacing w:after="60" w:line="276" w:lineRule="auto"/>
      </w:pPr>
      <w:r>
        <w:rPr>
          <w:rFonts w:ascii="微软雅黑" w:hAnsi="微软雅黑" w:eastAsia="微软雅黑"/>
          <w:b/>
          <w:i/>
          <w:color w:val="2F5597"/>
          <w:sz w:val="21"/>
        </w:rPr>
        <w:t>USDT充值</w:t>
      </w:r>
    </w:p>
    <w:p w14:paraId="7FF5C41C">
      <w:pPr>
        <w:spacing w:after="60" w:line="276" w:lineRule="auto"/>
      </w:pPr>
      <w:r>
        <w:rPr>
          <w:rFonts w:ascii="微软雅黑" w:hAnsi="微软雅黑" w:eastAsia="微软雅黑"/>
          <w:b w:val="0"/>
          <w:sz w:val="20"/>
        </w:rPr>
        <w:t>USDT 充值页签用于查询链路类充值订单，适合核对不同币种通道、链上支付方式和异常订单处理动作。</w:t>
      </w:r>
    </w:p>
    <w:p w14:paraId="49DCC285">
      <w:pPr>
        <w:spacing w:after="40"/>
        <w:jc w:val="center"/>
      </w:pPr>
      <w:r>
        <w:drawing>
          <wp:inline distT="0" distB="0" distL="114300" distR="114300">
            <wp:extent cx="5852160" cy="1971675"/>
            <wp:effectExtent l="0" t="0" r="15240"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70"/>
                    <a:stretch>
                      <a:fillRect/>
                    </a:stretch>
                  </pic:blipFill>
                  <pic:spPr>
                    <a:xfrm>
                      <a:off x="0" y="0"/>
                      <a:ext cx="5852160" cy="1972117"/>
                    </a:xfrm>
                    <a:prstGeom prst="rect">
                      <a:avLst/>
                    </a:prstGeom>
                  </pic:spPr>
                </pic:pic>
              </a:graphicData>
            </a:graphic>
          </wp:inline>
        </w:drawing>
      </w:r>
    </w:p>
    <w:p w14:paraId="7DC22AA8">
      <w:pPr>
        <w:pStyle w:val="15"/>
        <w:spacing w:after="120"/>
        <w:jc w:val="center"/>
      </w:pPr>
      <w:r>
        <w:rPr>
          <w:rFonts w:ascii="微软雅黑" w:hAnsi="微软雅黑" w:eastAsia="微软雅黑"/>
          <w:b w:val="0"/>
          <w:color w:val="707E92"/>
          <w:sz w:val="18"/>
        </w:rPr>
        <w:t>图：USDT 充值列表，用于查看链路充值订单状态并处理补单。</w:t>
      </w:r>
    </w:p>
    <w:p w14:paraId="013E306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：该页签支持按创建时间、会员ID 和订单状态筛选订单，列表中可查看订单金额、赠送金额、实际到账金额、支付方式、支付渠道、充值币种和第三方单号等信息。</w:t>
      </w:r>
    </w:p>
    <w:p w14:paraId="1B9BFD74">
      <w:pPr>
        <w:pStyle w:val="16"/>
        <w:spacing w:after="60" w:line="276" w:lineRule="auto"/>
      </w:pPr>
      <w:r>
        <w:rPr>
          <w:rFonts w:ascii="微软雅黑" w:hAnsi="微软雅黑" w:eastAsia="微软雅黑"/>
          <w:b/>
          <w:color w:val="2F5597"/>
          <w:sz w:val="20"/>
        </w:rPr>
        <w:t>状态识别</w:t>
      </w:r>
      <w:r>
        <w:rPr>
          <w:rFonts w:ascii="微软雅黑" w:hAnsi="微软雅黑" w:eastAsia="微软雅黑"/>
          <w:b w:val="0"/>
          <w:sz w:val="20"/>
        </w:rPr>
        <w:t>：当订单显示“待付款”时，通常表示会员尚未完成支付；“处理中”表示链路回调或系统入账仍在进行中；“充值成功”表示订单已完成到账；“已关闭”则应结合订单时间和后续处理记录判断是否超时关闭或异常终止。</w:t>
      </w:r>
    </w:p>
    <w:p w14:paraId="18567E72">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：列表操作区通常包含“详情”，部分异常订单还会提供“补单”入口，用于在已确认链上支付但系统未正常回写时补录交易信息。</w:t>
      </w:r>
    </w:p>
    <w:p w14:paraId="1DF963D5">
      <w:pPr>
        <w:pStyle w:val="6"/>
        <w:spacing w:after="60" w:line="276" w:lineRule="auto"/>
      </w:pPr>
      <w:r>
        <w:rPr>
          <w:rFonts w:ascii="微软雅黑" w:hAnsi="微软雅黑" w:eastAsia="微软雅黑"/>
          <w:b/>
          <w:i/>
          <w:color w:val="2F5597"/>
          <w:sz w:val="21"/>
        </w:rPr>
        <w:t>补单</w:t>
      </w:r>
    </w:p>
    <w:p w14:paraId="1623DAFB">
      <w:pPr>
        <w:spacing w:after="60" w:line="276" w:lineRule="auto"/>
      </w:pPr>
      <w:r>
        <w:rPr>
          <w:rFonts w:ascii="微软雅黑" w:hAnsi="微软雅黑" w:eastAsia="微软雅黑"/>
          <w:b w:val="0"/>
          <w:sz w:val="20"/>
        </w:rPr>
        <w:t>补单弹窗用于手动补录链路订单的交易编号，适合处理会员已完成支付、但系统未自动关联到账结果的异常场景。</w:t>
      </w:r>
    </w:p>
    <w:p w14:paraId="3E868C89">
      <w:pPr>
        <w:spacing w:after="40"/>
        <w:jc w:val="center"/>
      </w:pPr>
      <w:r>
        <w:drawing>
          <wp:inline distT="0" distB="0" distL="114300" distR="114300">
            <wp:extent cx="3534410" cy="1720215"/>
            <wp:effectExtent l="0" t="0" r="8890" b="1333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pic:cNvPicPr>
                  </pic:nvPicPr>
                  <pic:blipFill>
                    <a:blip r:embed="rId71"/>
                    <a:stretch>
                      <a:fillRect/>
                    </a:stretch>
                  </pic:blipFill>
                  <pic:spPr>
                    <a:xfrm>
                      <a:off x="0" y="0"/>
                      <a:ext cx="3534410" cy="1720215"/>
                    </a:xfrm>
                    <a:prstGeom prst="rect">
                      <a:avLst/>
                    </a:prstGeom>
                  </pic:spPr>
                </pic:pic>
              </a:graphicData>
            </a:graphic>
          </wp:inline>
        </w:drawing>
      </w:r>
    </w:p>
    <w:p w14:paraId="28F37863">
      <w:pPr>
        <w:pStyle w:val="15"/>
        <w:spacing w:after="120"/>
        <w:jc w:val="center"/>
      </w:pPr>
      <w:r>
        <w:rPr>
          <w:rFonts w:ascii="微软雅黑" w:hAnsi="微软雅黑" w:eastAsia="微软雅黑"/>
          <w:b w:val="0"/>
          <w:color w:val="707E92"/>
          <w:sz w:val="18"/>
        </w:rPr>
        <w:t>图：USDT 充值补单弹窗，用于录入 txId 并确认补单操作。</w:t>
      </w:r>
    </w:p>
    <w:p w14:paraId="39012CBF">
      <w:pPr>
        <w:pStyle w:val="16"/>
        <w:spacing w:after="60" w:line="276" w:lineRule="auto"/>
      </w:pPr>
      <w:r>
        <w:rPr>
          <w:rFonts w:ascii="微软雅黑" w:hAnsi="微软雅黑" w:eastAsia="微软雅黑"/>
          <w:b/>
          <w:color w:val="2F5597"/>
          <w:sz w:val="20"/>
        </w:rPr>
        <w:t>txId录入</w:t>
      </w:r>
      <w:r>
        <w:rPr>
          <w:rFonts w:ascii="微软雅黑" w:hAnsi="微软雅黑" w:eastAsia="微软雅黑"/>
          <w:b w:val="0"/>
          <w:sz w:val="20"/>
        </w:rPr>
        <w:t>：补单时需填写正确的 txId。录入前应先核对链上交易编号、订单金额、会员账号和订单时间，避免把错误交易回填到其他订单。</w:t>
      </w:r>
    </w:p>
    <w:p w14:paraId="4D6EB8B3">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：仅当确认会员已实际完成支付、且自动回调或系统关联未成功时，才建议使用补单。对于仍处于待付款或未确认到账的订单，不应直接执行补单。</w:t>
      </w:r>
    </w:p>
    <w:p w14:paraId="3B6E4E86">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：补单完成后，应重新核对订单状态、实际到账金额和相关账变记录，确认资金已正确入账；如仍未更新，应继续排查链路回调、通道数据或人工处理日志。</w:t>
      </w:r>
    </w:p>
    <w:p w14:paraId="55C231D4">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提现订单列表</w:t>
      </w:r>
    </w:p>
    <w:p w14:paraId="442542BB">
      <w:pPr>
        <w:spacing w:after="60" w:line="276" w:lineRule="auto"/>
      </w:pPr>
      <w:r>
        <w:rPr>
          <w:rFonts w:ascii="微软雅黑" w:hAnsi="微软雅黑" w:eastAsia="微软雅黑"/>
          <w:b w:val="0"/>
          <w:sz w:val="20"/>
        </w:rPr>
        <w:t>提现订单列表用于统一查询会员提现申请、跟踪审核与出款处理进度，并结合订单详情、重新支付和取消订单等操作完成出款处理。日常使用时可先在列表中按时间、会员和状态定位目标订单，再根据当前处理结果进入对应操作。</w:t>
      </w:r>
    </w:p>
    <w:p w14:paraId="4E033AE5">
      <w:pPr>
        <w:pStyle w:val="6"/>
        <w:spacing w:after="60" w:line="276" w:lineRule="auto"/>
      </w:pPr>
      <w:r>
        <w:rPr>
          <w:rFonts w:ascii="微软雅黑" w:hAnsi="微软雅黑" w:eastAsia="微软雅黑"/>
          <w:b/>
          <w:i/>
          <w:color w:val="2F5597"/>
          <w:sz w:val="21"/>
        </w:rPr>
        <w:t>订单列表</w:t>
      </w:r>
    </w:p>
    <w:p w14:paraId="11BB6727">
      <w:pPr>
        <w:spacing w:after="60" w:line="276" w:lineRule="auto"/>
      </w:pPr>
      <w:r>
        <w:rPr>
          <w:rFonts w:ascii="微软雅黑" w:hAnsi="微软雅黑" w:eastAsia="微软雅黑"/>
          <w:b w:val="0"/>
          <w:sz w:val="20"/>
        </w:rPr>
        <w:t>订单列表是处理提现申请的主入口，适合财务、客服和风控人员快速查看订单状态、实际出款金额和备注说明，并继续进入详情或异常处理操作。</w:t>
      </w:r>
    </w:p>
    <w:p w14:paraId="248771D3">
      <w:pPr>
        <w:spacing w:after="40"/>
        <w:jc w:val="center"/>
      </w:pPr>
      <w:r>
        <w:drawing>
          <wp:inline distT="0" distB="0" distL="114300" distR="114300">
            <wp:extent cx="5852160" cy="2109470"/>
            <wp:effectExtent l="0" t="0" r="15240" b="508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pic:cNvPicPr>
                      <a:picLocks noChangeAspect="1"/>
                    </pic:cNvPicPr>
                  </pic:nvPicPr>
                  <pic:blipFill>
                    <a:blip r:embed="rId72"/>
                    <a:stretch>
                      <a:fillRect/>
                    </a:stretch>
                  </pic:blipFill>
                  <pic:spPr>
                    <a:xfrm>
                      <a:off x="0" y="0"/>
                      <a:ext cx="5852160" cy="2109746"/>
                    </a:xfrm>
                    <a:prstGeom prst="rect">
                      <a:avLst/>
                    </a:prstGeom>
                  </pic:spPr>
                </pic:pic>
              </a:graphicData>
            </a:graphic>
          </wp:inline>
        </w:drawing>
      </w:r>
    </w:p>
    <w:p w14:paraId="7A2574A1">
      <w:pPr>
        <w:pStyle w:val="15"/>
        <w:spacing w:after="120"/>
        <w:jc w:val="center"/>
      </w:pPr>
      <w:r>
        <w:rPr>
          <w:rFonts w:ascii="微软雅黑" w:hAnsi="微软雅黑" w:eastAsia="微软雅黑"/>
          <w:b w:val="0"/>
          <w:color w:val="707E92"/>
          <w:sz w:val="18"/>
        </w:rPr>
        <w:t>图：提现订单列表主表，用于按会员、订单状态和时间范围查询提现订单。</w:t>
      </w:r>
    </w:p>
    <w:p w14:paraId="2912053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：页面支持按申请时间、会员ID、订单号和订单状态筛选订单，并可配合自动刷新快速查看待审核、处理中或异常失败的提现申请。处理催单或客诉时，建议先固定时间范围和会员账号，再缩小到具体状态。</w:t>
      </w:r>
    </w:p>
    <w:p w14:paraId="4A5F4505">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通常展示订单号、订单状态、商户ID、会员ID、创建时间、更新时间、提现金额、实际金额、提现方式、操作人和备注等信息。核对订单时应重点关注实际金额、状态变化和备注中记录的三方返回或人工处理说明。</w:t>
      </w:r>
    </w:p>
    <w:p w14:paraId="1F492494">
      <w:pPr>
        <w:pStyle w:val="16"/>
        <w:spacing w:after="60" w:line="276" w:lineRule="auto"/>
      </w:pPr>
      <w:r>
        <w:rPr>
          <w:rFonts w:ascii="微软雅黑" w:hAnsi="微软雅黑" w:eastAsia="微软雅黑"/>
          <w:b/>
          <w:color w:val="2F5597"/>
          <w:sz w:val="20"/>
        </w:rPr>
        <w:t>状态流转</w:t>
      </w:r>
      <w:r>
        <w:rPr>
          <w:rFonts w:ascii="微软雅黑" w:hAnsi="微软雅黑" w:eastAsia="微软雅黑"/>
          <w:b w:val="0"/>
          <w:sz w:val="20"/>
        </w:rPr>
        <w:t>：常见状态包括待初审、初审不通过、复审不通过、待支付、支付中、已失败和已完成等。处理过程中应结合当前状态决定后续动作，避免对已终态订单重复发起支付或误做人工取消。</w:t>
      </w:r>
    </w:p>
    <w:p w14:paraId="0F8E698F">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：列表操作区通常提供详情、重新支付和取消订单等入口。只有在确认订单状态和失败原因后，才建议继续执行重新支付或取消订单，避免影响资金流转和对账口径。</w:t>
      </w:r>
    </w:p>
    <w:p w14:paraId="6D4E175B">
      <w:pPr>
        <w:pStyle w:val="6"/>
        <w:spacing w:after="60" w:line="276" w:lineRule="auto"/>
      </w:pPr>
      <w:r>
        <w:rPr>
          <w:rFonts w:ascii="微软雅黑" w:hAnsi="微软雅黑" w:eastAsia="微软雅黑"/>
          <w:b/>
          <w:i/>
          <w:color w:val="2F5597"/>
          <w:sz w:val="21"/>
        </w:rPr>
        <w:t>订单详情</w:t>
      </w:r>
    </w:p>
    <w:p w14:paraId="166594F0">
      <w:pPr>
        <w:spacing w:after="60" w:line="276" w:lineRule="auto"/>
      </w:pPr>
      <w:r>
        <w:rPr>
          <w:rFonts w:ascii="微软雅黑" w:hAnsi="微软雅黑" w:eastAsia="微软雅黑"/>
          <w:b w:val="0"/>
          <w:sz w:val="20"/>
        </w:rPr>
        <w:t>订单详情弹窗用于查看单笔提现订单的完整基础信息，适合在审核、复核和处理异常时快速确认订单金额、时间和备注。</w:t>
      </w:r>
    </w:p>
    <w:p w14:paraId="22619769">
      <w:pPr>
        <w:spacing w:after="40"/>
        <w:jc w:val="center"/>
      </w:pPr>
      <w:r>
        <w:drawing>
          <wp:inline distT="0" distB="0" distL="114300" distR="114300">
            <wp:extent cx="5852160" cy="3394075"/>
            <wp:effectExtent l="0" t="0" r="15240" b="1587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a:picLocks noChangeAspect="1"/>
                    </pic:cNvPicPr>
                  </pic:nvPicPr>
                  <pic:blipFill>
                    <a:blip r:embed="rId73"/>
                    <a:stretch>
                      <a:fillRect/>
                    </a:stretch>
                  </pic:blipFill>
                  <pic:spPr>
                    <a:xfrm>
                      <a:off x="0" y="0"/>
                      <a:ext cx="5852160" cy="3394424"/>
                    </a:xfrm>
                    <a:prstGeom prst="rect">
                      <a:avLst/>
                    </a:prstGeom>
                  </pic:spPr>
                </pic:pic>
              </a:graphicData>
            </a:graphic>
          </wp:inline>
        </w:drawing>
      </w:r>
    </w:p>
    <w:p w14:paraId="1723445C">
      <w:pPr>
        <w:pStyle w:val="15"/>
        <w:spacing w:after="120"/>
        <w:jc w:val="center"/>
      </w:pPr>
      <w:r>
        <w:rPr>
          <w:rFonts w:ascii="微软雅黑" w:hAnsi="微软雅黑" w:eastAsia="微软雅黑"/>
          <w:b w:val="0"/>
          <w:color w:val="707E92"/>
          <w:sz w:val="18"/>
        </w:rPr>
        <w:t>图：提现订单详情弹窗，用于查看单笔提现订单的状态、金额和处理时间。</w:t>
      </w:r>
    </w:p>
    <w:p w14:paraId="69E6CCC1">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：详情弹窗通常展示订单号、订单状态、会员ID、商户ID、提现金额、实际金额、申请时间、操作时间和备注等内容，便于快速核对单笔订单的完整处理记录。</w:t>
      </w:r>
    </w:p>
    <w:p w14:paraId="18EFD1E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：处理审核争议或玩家咨询时，可先通过详情确认订单金额、实际到账金额和状态，再结合备注判断是否存在三方返回异常、风控驳回或人工处理记录。</w:t>
      </w:r>
    </w:p>
    <w:p w14:paraId="7736380A">
      <w:pPr>
        <w:pStyle w:val="6"/>
        <w:spacing w:after="60" w:line="276" w:lineRule="auto"/>
      </w:pPr>
      <w:r>
        <w:rPr>
          <w:rFonts w:ascii="微软雅黑" w:hAnsi="微软雅黑" w:eastAsia="微软雅黑"/>
          <w:b/>
          <w:i/>
          <w:color w:val="2F5597"/>
          <w:sz w:val="21"/>
        </w:rPr>
        <w:t>重新支付</w:t>
      </w:r>
    </w:p>
    <w:p w14:paraId="1ED474C7">
      <w:pPr>
        <w:spacing w:after="60" w:line="276" w:lineRule="auto"/>
      </w:pPr>
      <w:r>
        <w:rPr>
          <w:rFonts w:ascii="微软雅黑" w:hAnsi="微软雅黑" w:eastAsia="微软雅黑"/>
          <w:b w:val="0"/>
          <w:sz w:val="20"/>
        </w:rPr>
        <w:t>重新支付弹窗用于对代付失败的提现订单再次发起支付请求，适合在已确认订单仍需继续出款、且失败原因已排查清楚时使用。</w:t>
      </w:r>
    </w:p>
    <w:p w14:paraId="4C174AAC">
      <w:pPr>
        <w:spacing w:after="40"/>
        <w:jc w:val="center"/>
      </w:pPr>
      <w:r>
        <w:drawing>
          <wp:inline distT="0" distB="0" distL="114300" distR="114300">
            <wp:extent cx="5852160" cy="5235575"/>
            <wp:effectExtent l="0" t="0" r="15240" b="317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pic:cNvPicPr>
                      <a:picLocks noChangeAspect="1"/>
                    </pic:cNvPicPr>
                  </pic:nvPicPr>
                  <pic:blipFill>
                    <a:blip r:embed="rId74"/>
                    <a:stretch>
                      <a:fillRect/>
                    </a:stretch>
                  </pic:blipFill>
                  <pic:spPr>
                    <a:xfrm>
                      <a:off x="0" y="0"/>
                      <a:ext cx="5852160" cy="5236144"/>
                    </a:xfrm>
                    <a:prstGeom prst="rect">
                      <a:avLst/>
                    </a:prstGeom>
                  </pic:spPr>
                </pic:pic>
              </a:graphicData>
            </a:graphic>
          </wp:inline>
        </w:drawing>
      </w:r>
    </w:p>
    <w:p w14:paraId="6D2F3C23">
      <w:pPr>
        <w:pStyle w:val="15"/>
        <w:spacing w:after="120"/>
        <w:jc w:val="center"/>
      </w:pPr>
      <w:r>
        <w:rPr>
          <w:rFonts w:ascii="微软雅黑" w:hAnsi="微软雅黑" w:eastAsia="微软雅黑"/>
          <w:b w:val="0"/>
          <w:color w:val="707E92"/>
          <w:sz w:val="18"/>
        </w:rPr>
        <w:t>图：重新支付弹窗，用于确认再次调用代付接口并选择代付通道。</w:t>
      </w:r>
    </w:p>
    <w:p w14:paraId="14434498">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：重新支付通常用于三方代付失败但订单仍需继续出款的场景，例如临时通道异常、余额不足或通道切换后需重新提交。执行前应先确认失败原因已处理，避免重复提交无效请求。</w:t>
      </w:r>
    </w:p>
    <w:p w14:paraId="3975E5D1">
      <w:pPr>
        <w:pStyle w:val="16"/>
        <w:spacing w:after="60" w:line="276" w:lineRule="auto"/>
      </w:pPr>
      <w:r>
        <w:rPr>
          <w:rFonts w:ascii="微软雅黑" w:hAnsi="微软雅黑" w:eastAsia="微软雅黑"/>
          <w:b/>
          <w:color w:val="2F5597"/>
          <w:sz w:val="20"/>
        </w:rPr>
        <w:t>通道选择</w:t>
      </w:r>
      <w:r>
        <w:rPr>
          <w:rFonts w:ascii="微软雅黑" w:hAnsi="微软雅黑" w:eastAsia="微软雅黑"/>
          <w:b w:val="0"/>
          <w:sz w:val="20"/>
        </w:rPr>
        <w:t>：弹窗中需重新选择代付通道。选择前应先确认当前可用通道的状态、支持的提现方式和出款能力，避免再次提交到不可用或不匹配的通道。</w:t>
      </w:r>
    </w:p>
    <w:p w14:paraId="5D3E4DC3">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：确认重新支付后，系统会再次调用三方代付接口，并把最新返回结果同步记录到备注。操作后应继续关注订单状态是否进入支付中或完成。</w:t>
      </w:r>
    </w:p>
    <w:p w14:paraId="7FB985A3">
      <w:pPr>
        <w:pStyle w:val="6"/>
        <w:spacing w:after="60" w:line="276" w:lineRule="auto"/>
      </w:pPr>
      <w:r>
        <w:rPr>
          <w:rFonts w:ascii="微软雅黑" w:hAnsi="微软雅黑" w:eastAsia="微软雅黑"/>
          <w:b/>
          <w:i/>
          <w:color w:val="2F5597"/>
          <w:sz w:val="21"/>
        </w:rPr>
        <w:t>取消订单</w:t>
      </w:r>
    </w:p>
    <w:p w14:paraId="63662334">
      <w:pPr>
        <w:spacing w:after="60" w:line="276" w:lineRule="auto"/>
      </w:pPr>
      <w:r>
        <w:rPr>
          <w:rFonts w:ascii="微软雅黑" w:hAnsi="微软雅黑" w:eastAsia="微软雅黑"/>
          <w:b w:val="0"/>
          <w:sz w:val="20"/>
        </w:rPr>
        <w:t>取消订单弹窗用于终止当前提现申请，并按页面提示把未完成出款的金额退回系统余额，适合处理无法继续支付或明确无需继续出款的订单。</w:t>
      </w:r>
    </w:p>
    <w:p w14:paraId="769BDB41">
      <w:pPr>
        <w:spacing w:after="40"/>
        <w:jc w:val="center"/>
      </w:pPr>
      <w:r>
        <w:drawing>
          <wp:inline distT="0" distB="0" distL="114300" distR="114300">
            <wp:extent cx="5852160" cy="8082915"/>
            <wp:effectExtent l="0" t="0" r="15240" b="1333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pic:cNvPicPr>
                      <a:picLocks noChangeAspect="1"/>
                    </pic:cNvPicPr>
                  </pic:nvPicPr>
                  <pic:blipFill>
                    <a:blip r:embed="rId75"/>
                    <a:stretch>
                      <a:fillRect/>
                    </a:stretch>
                  </pic:blipFill>
                  <pic:spPr>
                    <a:xfrm>
                      <a:off x="0" y="0"/>
                      <a:ext cx="5852160" cy="8083463"/>
                    </a:xfrm>
                    <a:prstGeom prst="rect">
                      <a:avLst/>
                    </a:prstGeom>
                  </pic:spPr>
                </pic:pic>
              </a:graphicData>
            </a:graphic>
          </wp:inline>
        </w:drawing>
      </w:r>
    </w:p>
    <w:p w14:paraId="781B6452">
      <w:pPr>
        <w:pStyle w:val="15"/>
        <w:spacing w:after="120"/>
        <w:jc w:val="center"/>
      </w:pPr>
      <w:r>
        <w:rPr>
          <w:rFonts w:ascii="微软雅黑" w:hAnsi="微软雅黑" w:eastAsia="微软雅黑"/>
          <w:b w:val="0"/>
          <w:color w:val="707E92"/>
          <w:sz w:val="18"/>
        </w:rPr>
        <w:t>图：取消订单弹窗，用于确认终止提现订单并填写备注。</w:t>
      </w:r>
    </w:p>
    <w:p w14:paraId="08279046">
      <w:pPr>
        <w:pStyle w:val="16"/>
        <w:spacing w:after="60" w:line="276" w:lineRule="auto"/>
      </w:pPr>
      <w:r>
        <w:rPr>
          <w:rFonts w:ascii="微软雅黑" w:hAnsi="微软雅黑" w:eastAsia="微软雅黑"/>
          <w:b/>
          <w:color w:val="2F5597"/>
          <w:sz w:val="20"/>
        </w:rPr>
        <w:t>取消影响</w:t>
      </w:r>
      <w:r>
        <w:rPr>
          <w:rFonts w:ascii="微软雅黑" w:hAnsi="微软雅黑" w:eastAsia="微软雅黑"/>
          <w:b w:val="0"/>
          <w:sz w:val="20"/>
        </w:rPr>
        <w:t>：取消订单后，页面通常会把订单状态更新为失败或关闭，并按当前规则将未完成出款的金额退回对应余额。执行前应先确认该订单确实无需继续支付，避免误取消正常订单。</w:t>
      </w:r>
    </w:p>
    <w:p w14:paraId="7BFCE3C1">
      <w:pPr>
        <w:pStyle w:val="16"/>
        <w:spacing w:after="60" w:line="276" w:lineRule="auto"/>
      </w:pPr>
      <w:r>
        <w:rPr>
          <w:rFonts w:ascii="微软雅黑" w:hAnsi="微软雅黑" w:eastAsia="微软雅黑"/>
          <w:b/>
          <w:color w:val="2F5597"/>
          <w:sz w:val="20"/>
        </w:rPr>
        <w:t>备注说明</w:t>
      </w:r>
      <w:r>
        <w:rPr>
          <w:rFonts w:ascii="微软雅黑" w:hAnsi="微软雅黑" w:eastAsia="微软雅黑"/>
          <w:b w:val="0"/>
          <w:sz w:val="20"/>
        </w:rPr>
        <w:t>：弹窗支持填写备注，建议明确记录取消原因、处理人和特殊说明，便于后续客服、财务或风控继续追溯订单处理过程。</w:t>
      </w:r>
    </w:p>
    <w:p w14:paraId="292FAFE2">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：对支付失败、通道不可用或风控确认不再放款的订单，可使用取消订单完成收口；操作后建议同步核对账变记录和会员余额，确认资金已按预期回退。</w:t>
      </w:r>
    </w:p>
    <w:p w14:paraId="738BC6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提现风控审核</w:t>
      </w:r>
    </w:p>
    <w:p w14:paraId="52B3596C">
      <w:r>
        <w:drawing>
          <wp:inline distT="0" distB="0" distL="114300" distR="114300">
            <wp:extent cx="6388735" cy="2425065"/>
            <wp:effectExtent l="0" t="0" r="12065" b="1333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76"/>
                    <a:stretch>
                      <a:fillRect/>
                    </a:stretch>
                  </pic:blipFill>
                  <pic:spPr>
                    <a:xfrm>
                      <a:off x="0" y="0"/>
                      <a:ext cx="6388735" cy="2425065"/>
                    </a:xfrm>
                    <a:prstGeom prst="rect">
                      <a:avLst/>
                    </a:prstGeom>
                    <a:noFill/>
                    <a:ln>
                      <a:noFill/>
                    </a:ln>
                  </pic:spPr>
                </pic:pic>
              </a:graphicData>
            </a:graphic>
          </wp:inline>
        </w:drawing>
      </w:r>
    </w:p>
    <w:p w14:paraId="60A7B9D6">
      <w:r>
        <w:drawing>
          <wp:inline distT="0" distB="0" distL="114300" distR="114300">
            <wp:extent cx="5146040" cy="4397375"/>
            <wp:effectExtent l="0" t="0" r="16510" b="317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77"/>
                    <a:stretch>
                      <a:fillRect/>
                    </a:stretch>
                  </pic:blipFill>
                  <pic:spPr>
                    <a:xfrm>
                      <a:off x="0" y="0"/>
                      <a:ext cx="5146040" cy="4397375"/>
                    </a:xfrm>
                    <a:prstGeom prst="rect">
                      <a:avLst/>
                    </a:prstGeom>
                    <a:noFill/>
                    <a:ln>
                      <a:noFill/>
                    </a:ln>
                  </pic:spPr>
                </pic:pic>
              </a:graphicData>
            </a:graphic>
          </wp:inline>
        </w:drawing>
      </w:r>
    </w:p>
    <w:p w14:paraId="756FC23B">
      <w:r>
        <w:drawing>
          <wp:inline distT="0" distB="0" distL="114300" distR="114300">
            <wp:extent cx="5708650" cy="5008245"/>
            <wp:effectExtent l="0" t="0" r="6350" b="190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78"/>
                    <a:stretch>
                      <a:fillRect/>
                    </a:stretch>
                  </pic:blipFill>
                  <pic:spPr>
                    <a:xfrm>
                      <a:off x="0" y="0"/>
                      <a:ext cx="5708650" cy="5008245"/>
                    </a:xfrm>
                    <a:prstGeom prst="rect">
                      <a:avLst/>
                    </a:prstGeom>
                    <a:noFill/>
                    <a:ln>
                      <a:noFill/>
                    </a:ln>
                  </pic:spPr>
                </pic:pic>
              </a:graphicData>
            </a:graphic>
          </wp:inline>
        </w:drawing>
      </w:r>
      <w:bookmarkStart w:id="0" w:name="_GoBack"/>
      <w:r>
        <w:drawing>
          <wp:inline distT="0" distB="0" distL="114300" distR="114300">
            <wp:extent cx="5741035" cy="2066290"/>
            <wp:effectExtent l="0" t="0" r="12065" b="1016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79"/>
                    <a:stretch>
                      <a:fillRect/>
                    </a:stretch>
                  </pic:blipFill>
                  <pic:spPr>
                    <a:xfrm>
                      <a:off x="0" y="0"/>
                      <a:ext cx="5741035" cy="2066290"/>
                    </a:xfrm>
                    <a:prstGeom prst="rect">
                      <a:avLst/>
                    </a:prstGeom>
                    <a:noFill/>
                    <a:ln>
                      <a:noFill/>
                    </a:ln>
                  </pic:spPr>
                </pic:pic>
              </a:graphicData>
            </a:graphic>
          </wp:inline>
        </w:drawing>
      </w:r>
      <w:bookmarkEnd w:id="0"/>
    </w:p>
    <w:p w14:paraId="310B88C2">
      <w:r>
        <w:drawing>
          <wp:inline distT="0" distB="0" distL="114300" distR="114300">
            <wp:extent cx="6396355" cy="5025390"/>
            <wp:effectExtent l="0" t="0" r="4445" b="3810"/>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80"/>
                    <a:stretch>
                      <a:fillRect/>
                    </a:stretch>
                  </pic:blipFill>
                  <pic:spPr>
                    <a:xfrm>
                      <a:off x="0" y="0"/>
                      <a:ext cx="6396355" cy="5025390"/>
                    </a:xfrm>
                    <a:prstGeom prst="rect">
                      <a:avLst/>
                    </a:prstGeom>
                    <a:noFill/>
                    <a:ln>
                      <a:noFill/>
                    </a:ln>
                  </pic:spPr>
                </pic:pic>
              </a:graphicData>
            </a:graphic>
          </wp:inline>
        </w:drawing>
      </w:r>
    </w:p>
    <w:p w14:paraId="7D7A45F6">
      <w:pPr>
        <w:pStyle w:val="16"/>
        <w:spacing w:after="60" w:line="276" w:lineRule="auto"/>
      </w:pPr>
      <w:r>
        <w:rPr>
          <w:rFonts w:ascii="微软雅黑" w:hAnsi="微软雅黑" w:eastAsia="微软雅黑"/>
          <w:b/>
          <w:color w:val="2F5597"/>
          <w:sz w:val="20"/>
        </w:rPr>
        <w:t>提现风控审核</w:t>
      </w:r>
      <w:r>
        <w:rPr>
          <w:rFonts w:ascii="微软雅黑" w:hAnsi="微软雅黑" w:eastAsia="微软雅黑"/>
          <w:b w:val="0"/>
          <w:sz w:val="20"/>
        </w:rPr>
        <w:t>：用于处理触发风控的提现订单。</w:t>
      </w:r>
    </w:p>
    <w:p w14:paraId="0111A933">
      <w:pPr>
        <w:pStyle w:val="16"/>
        <w:spacing w:after="60" w:line="276" w:lineRule="auto"/>
      </w:pPr>
      <w:r>
        <w:t>详情查看：查看风控原因、会员信息和订单详情，执行通过、拒绝或补充审核。其中，复核通过后订单会进入支付流程。</w:t>
      </w:r>
    </w:p>
    <w:p w14:paraId="2D338E16">
      <w:pPr>
        <w:pStyle w:val="16"/>
        <w:spacing w:after="60" w:line="276" w:lineRule="auto"/>
      </w:pPr>
      <w:r>
        <w:t>影响范围：审核结果会影响资金出款，需按风控规则和财务要求处理；复核通过后订单进入支付流程，后续需继续关注出款进度。</w:t>
      </w:r>
    </w:p>
    <w:p w14:paraId="0761347B">
      <w:pPr>
        <w:pStyle w:val="5"/>
        <w:keepNext/>
        <w:spacing w:before="180" w:after="100" w:line="259" w:lineRule="auto"/>
      </w:pPr>
      <w:r>
        <w:rPr>
          <w:rFonts w:ascii="微软雅黑" w:hAnsi="微软雅黑" w:eastAsia="微软雅黑"/>
          <w:b/>
          <w:color w:val="2F5597"/>
          <w:sz w:val="25"/>
        </w:rPr>
        <w:t>支付通道数据</w:t>
      </w:r>
    </w:p>
    <w:p w14:paraId="09887DB0">
      <w:pPr>
        <w:pStyle w:val="16"/>
        <w:spacing w:after="60" w:line="276" w:lineRule="auto"/>
      </w:pPr>
      <w:r>
        <w:rPr>
          <w:rFonts w:ascii="微软雅黑" w:hAnsi="微软雅黑" w:eastAsia="微软雅黑"/>
          <w:b/>
          <w:color w:val="2F5597"/>
          <w:sz w:val="20"/>
        </w:rPr>
        <w:t>支付通道数据</w:t>
      </w:r>
      <w:r>
        <w:rPr>
          <w:rFonts w:ascii="微软雅黑" w:hAnsi="微软雅黑" w:eastAsia="微软雅黑"/>
          <w:b w:val="0"/>
          <w:sz w:val="20"/>
        </w:rPr>
        <w:t>：用于查看支付通道的交易和成功率数据。</w:t>
      </w:r>
    </w:p>
    <w:p w14:paraId="7F05234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：按通道、时间或状态筛选，查看充值笔数、金额和成功率。</w:t>
      </w:r>
    </w:p>
    <w:p w14:paraId="3EC02D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：用于判断通道质量，异常时联系通道配置或财务人员处理。</w:t>
      </w:r>
    </w:p>
    <w:p w14:paraId="0CF38EB6">
      <w:pPr>
        <w:pStyle w:val="5"/>
        <w:keepNext/>
        <w:spacing w:before="180" w:after="100" w:line="259" w:lineRule="auto"/>
      </w:pPr>
      <w:r>
        <w:rPr>
          <w:rFonts w:ascii="微软雅黑" w:hAnsi="微软雅黑" w:eastAsia="微软雅黑"/>
          <w:b/>
          <w:color w:val="2F5597"/>
          <w:sz w:val="25"/>
        </w:rPr>
        <w:t>人工加扣款</w:t>
      </w:r>
    </w:p>
    <w:p w14:paraId="22ADBA27">
      <w:pPr>
        <w:pStyle w:val="16"/>
        <w:spacing w:after="60" w:line="276" w:lineRule="auto"/>
      </w:pPr>
      <w:r>
        <w:rPr>
          <w:rFonts w:ascii="微软雅黑" w:hAnsi="微软雅黑" w:eastAsia="微软雅黑"/>
          <w:b/>
          <w:color w:val="2F5597"/>
          <w:sz w:val="20"/>
        </w:rPr>
        <w:t>人工加扣款</w:t>
      </w:r>
      <w:r>
        <w:rPr>
          <w:rFonts w:ascii="微软雅黑" w:hAnsi="微软雅黑" w:eastAsia="微软雅黑"/>
          <w:b w:val="0"/>
          <w:sz w:val="20"/>
        </w:rPr>
        <w:t>：用于对会员账户执行人工加款或扣款。</w:t>
      </w:r>
    </w:p>
    <w:p w14:paraId="1B6DC83A">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：填写会员、金额、类型和备注，提交后查看处理结果。</w:t>
      </w:r>
    </w:p>
    <w:p w14:paraId="5F73C63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：此操作直接影响会员余额，提交前必须核对会员和金额。</w:t>
      </w:r>
    </w:p>
    <w:p w14:paraId="53760425">
      <w:pPr>
        <w:pStyle w:val="5"/>
        <w:keepNext/>
        <w:spacing w:before="180" w:after="100" w:line="259" w:lineRule="auto"/>
      </w:pPr>
      <w:r>
        <w:rPr>
          <w:rFonts w:ascii="微软雅黑" w:hAnsi="微软雅黑" w:eastAsia="微软雅黑"/>
          <w:b/>
          <w:color w:val="2F5597"/>
          <w:sz w:val="25"/>
        </w:rPr>
        <w:t>账变记录</w:t>
      </w:r>
    </w:p>
    <w:p w14:paraId="2926E6FC">
      <w:pPr>
        <w:pStyle w:val="16"/>
        <w:spacing w:after="60" w:line="276" w:lineRule="auto"/>
      </w:pPr>
      <w:r>
        <w:rPr>
          <w:rFonts w:ascii="微软雅黑" w:hAnsi="微软雅黑" w:eastAsia="微软雅黑"/>
          <w:b/>
          <w:color w:val="2F5597"/>
          <w:sz w:val="20"/>
        </w:rPr>
        <w:t>账变记录</w:t>
      </w:r>
      <w:r>
        <w:rPr>
          <w:rFonts w:ascii="微软雅黑" w:hAnsi="微软雅黑" w:eastAsia="微软雅黑"/>
          <w:b w:val="0"/>
          <w:sz w:val="20"/>
        </w:rPr>
        <w:t>：用于查询会员资金变动明细。</w:t>
      </w:r>
    </w:p>
    <w:p w14:paraId="2C27ED6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：按会员、账变类型、订单号或时间筛选，查看余额变化。</w:t>
      </w:r>
    </w:p>
    <w:p w14:paraId="222C52D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：排查资金问题时优先结合订单、活动和人工加扣款记录核对。</w:t>
      </w:r>
    </w:p>
    <w:p w14:paraId="124545B9">
      <w:pPr>
        <w:pStyle w:val="5"/>
        <w:keepNext/>
        <w:spacing w:before="180" w:after="100" w:line="259" w:lineRule="auto"/>
      </w:pPr>
      <w:r>
        <w:rPr>
          <w:rFonts w:ascii="微软雅黑" w:hAnsi="微软雅黑" w:eastAsia="微软雅黑"/>
          <w:b/>
          <w:color w:val="2F5597"/>
          <w:sz w:val="25"/>
        </w:rPr>
        <w:t>资金账变类型</w:t>
      </w:r>
    </w:p>
    <w:p w14:paraId="5ACF9B78">
      <w:pPr>
        <w:pStyle w:val="16"/>
        <w:spacing w:after="60" w:line="276" w:lineRule="auto"/>
      </w:pPr>
      <w:r>
        <w:rPr>
          <w:rFonts w:ascii="微软雅黑" w:hAnsi="微软雅黑" w:eastAsia="微软雅黑"/>
          <w:b/>
          <w:color w:val="2F5597"/>
          <w:sz w:val="20"/>
        </w:rPr>
        <w:t>资金账变类型</w:t>
      </w:r>
      <w:r>
        <w:rPr>
          <w:rFonts w:ascii="微软雅黑" w:hAnsi="微软雅黑" w:eastAsia="微软雅黑"/>
          <w:b w:val="0"/>
          <w:sz w:val="20"/>
        </w:rPr>
        <w:t>：用于维护资金账变类型和展示名称。</w:t>
      </w:r>
    </w:p>
    <w:p w14:paraId="72393E2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：查看、启用、停用或调整账变类型配置。</w:t>
      </w:r>
    </w:p>
    <w:p w14:paraId="7E7F817A">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：类型配置会影响账变筛选和前后台展示，调整前需确认口径。</w:t>
      </w:r>
    </w:p>
    <w:p w14:paraId="3E3C5FA6">
      <w:pPr>
        <w:pStyle w:val="5"/>
        <w:keepNext/>
        <w:spacing w:before="180" w:after="100" w:line="259" w:lineRule="auto"/>
      </w:pPr>
      <w:r>
        <w:rPr>
          <w:rFonts w:ascii="微软雅黑" w:hAnsi="微软雅黑" w:eastAsia="微软雅黑"/>
          <w:b/>
          <w:color w:val="2F5597"/>
          <w:sz w:val="25"/>
        </w:rPr>
        <w:t>打码管理</w:t>
      </w:r>
    </w:p>
    <w:p w14:paraId="5C333D1A">
      <w:pPr>
        <w:pStyle w:val="16"/>
        <w:spacing w:after="60" w:line="276" w:lineRule="auto"/>
      </w:pPr>
      <w:r>
        <w:rPr>
          <w:rFonts w:ascii="微软雅黑" w:hAnsi="微软雅黑" w:eastAsia="微软雅黑"/>
          <w:b/>
          <w:color w:val="2F5597"/>
          <w:sz w:val="20"/>
        </w:rPr>
        <w:t>打码管理</w:t>
      </w:r>
      <w:r>
        <w:rPr>
          <w:rFonts w:ascii="微软雅黑" w:hAnsi="微软雅黑" w:eastAsia="微软雅黑"/>
          <w:b w:val="0"/>
          <w:sz w:val="20"/>
        </w:rPr>
        <w:t>：用于查看和管理会员打码量要求。</w:t>
      </w:r>
    </w:p>
    <w:p w14:paraId="4EE4A40A">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：查询会员打码进度，核对活动、充值或人工调整产生的打码要求。</w:t>
      </w:r>
    </w:p>
    <w:p w14:paraId="6DF2562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：处理提现或活动问题时，应结合打码完成情况判断。</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14:paraId="054CB3D5">
      <w:pPr>
        <w:pStyle w:val="16"/>
        <w:spacing w:after="60" w:line="276" w:lineRule="auto"/>
      </w:pPr>
      <w:r>
        <w:rPr>
          <w:rFonts w:ascii="微软雅黑" w:hAnsi="微软雅黑" w:eastAsia="微软雅黑"/>
          <w:b/>
          <w:color w:val="2F5597"/>
          <w:sz w:val="20"/>
        </w:rPr>
        <w:t>综合数据报表</w:t>
      </w:r>
      <w:r>
        <w:rPr>
          <w:rFonts w:ascii="微软雅黑" w:hAnsi="微软雅黑" w:eastAsia="微软雅黑"/>
          <w:b w:val="0"/>
          <w:sz w:val="20"/>
        </w:rPr>
        <w:t>：用于查看站点综合运营数据。</w:t>
      </w:r>
    </w:p>
    <w:p w14:paraId="0315C21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：按时间筛选充值、提现、投注、输赢、会员等关键指标。</w:t>
      </w:r>
    </w:p>
    <w:p w14:paraId="51484006">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pPr>
      <w:r>
        <w:rPr>
          <w:rFonts w:ascii="微软雅黑" w:hAnsi="微软雅黑" w:eastAsia="微软雅黑"/>
          <w:b/>
          <w:color w:val="2F5597"/>
          <w:sz w:val="25"/>
        </w:rPr>
        <w:t>游戏人数据表</w:t>
      </w:r>
    </w:p>
    <w:p w14:paraId="260A50A6">
      <w:pPr>
        <w:pStyle w:val="16"/>
        <w:spacing w:after="60" w:line="276" w:lineRule="auto"/>
      </w:pPr>
      <w:r>
        <w:rPr>
          <w:rFonts w:ascii="微软雅黑" w:hAnsi="微软雅黑" w:eastAsia="微软雅黑"/>
          <w:b/>
          <w:color w:val="2F5597"/>
          <w:sz w:val="20"/>
        </w:rPr>
        <w:t>游戏人数据表</w:t>
      </w:r>
      <w:r>
        <w:rPr>
          <w:rFonts w:ascii="微软雅黑" w:hAnsi="微软雅黑" w:eastAsia="微软雅黑"/>
          <w:b w:val="0"/>
          <w:sz w:val="20"/>
        </w:rPr>
        <w:t>：用于查看游戏维度的玩家人数数据。</w:t>
      </w:r>
    </w:p>
    <w:p w14:paraId="7744656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：按时间、游戏或渠道筛选，查看活跃、投注和参与人数。</w:t>
      </w:r>
    </w:p>
    <w:p w14:paraId="4FBA4DE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pPr>
      <w:r>
        <w:rPr>
          <w:rFonts w:ascii="微软雅黑" w:hAnsi="微软雅黑" w:eastAsia="微软雅黑"/>
          <w:b/>
          <w:color w:val="2F5597"/>
          <w:sz w:val="25"/>
        </w:rPr>
        <w:t>优惠数据报表</w:t>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pPr>
      <w:r>
        <w:rPr>
          <w:rFonts w:ascii="微软雅黑" w:hAnsi="微软雅黑" w:eastAsia="微软雅黑"/>
          <w:b/>
          <w:color w:val="2F5597"/>
          <w:sz w:val="25"/>
        </w:rPr>
        <w:t>充值留存报表</w:t>
      </w:r>
    </w:p>
    <w:p w14:paraId="35DAE308">
      <w:pPr>
        <w:pStyle w:val="16"/>
        <w:spacing w:after="60" w:line="276" w:lineRule="auto"/>
      </w:pPr>
      <w:r>
        <w:rPr>
          <w:rFonts w:ascii="微软雅黑" w:hAnsi="微软雅黑" w:eastAsia="微软雅黑"/>
          <w:b/>
          <w:color w:val="2F5597"/>
          <w:sz w:val="20"/>
        </w:rPr>
        <w:t>充值留存报表</w:t>
      </w:r>
      <w:r>
        <w:rPr>
          <w:rFonts w:ascii="微软雅黑" w:hAnsi="微软雅黑" w:eastAsia="微软雅黑"/>
          <w:b w:val="0"/>
          <w:sz w:val="20"/>
        </w:rPr>
        <w:t>：用于查看充值用户后续留存情况。</w:t>
      </w:r>
    </w:p>
    <w:p w14:paraId="23854D5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：按首充日期、渠道或站点筛选，查看次日、多日留存。</w:t>
      </w:r>
    </w:p>
    <w:p w14:paraId="35B907D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：用于评估充值用户质量和运营活动效果。</w:t>
      </w:r>
    </w:p>
    <w:p w14:paraId="6B51C8CF">
      <w:pPr>
        <w:pStyle w:val="5"/>
        <w:keepNext/>
        <w:spacing w:before="180" w:after="100" w:line="259" w:lineRule="auto"/>
      </w:pPr>
      <w:r>
        <w:rPr>
          <w:rFonts w:ascii="微软雅黑" w:hAnsi="微软雅黑" w:eastAsia="微软雅黑"/>
          <w:b/>
          <w:color w:val="2F5597"/>
          <w:sz w:val="25"/>
        </w:rPr>
        <w:t>代理结算明细</w:t>
      </w:r>
    </w:p>
    <w:p w14:paraId="7B3232AF">
      <w:pPr>
        <w:pStyle w:val="16"/>
        <w:spacing w:after="60" w:line="276" w:lineRule="auto"/>
      </w:pPr>
      <w:r>
        <w:rPr>
          <w:rFonts w:ascii="微软雅黑" w:hAnsi="微软雅黑" w:eastAsia="微软雅黑"/>
          <w:b/>
          <w:color w:val="2F5597"/>
          <w:sz w:val="20"/>
        </w:rPr>
        <w:t>代理结算明细</w:t>
      </w:r>
      <w:r>
        <w:rPr>
          <w:rFonts w:ascii="微软雅黑" w:hAnsi="微软雅黑" w:eastAsia="微软雅黑"/>
          <w:b w:val="0"/>
          <w:sz w:val="20"/>
        </w:rPr>
        <w:t>：用于查看代理结算明细和结算结果。</w:t>
      </w:r>
    </w:p>
    <w:p w14:paraId="20462E4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：按代理、结算周期或状态筛选，查看佣金、返水和调整项。</w:t>
      </w:r>
    </w:p>
    <w:p w14:paraId="004262F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：结算前需核对代理配置、会员数据和异常调整。</w:t>
      </w:r>
    </w:p>
    <w:p w14:paraId="028AA85F">
      <w:pPr>
        <w:pStyle w:val="5"/>
        <w:keepNext/>
        <w:spacing w:before="180" w:after="100" w:line="259" w:lineRule="auto"/>
      </w:pPr>
      <w:r>
        <w:rPr>
          <w:rFonts w:ascii="微软雅黑" w:hAnsi="微软雅黑" w:eastAsia="微软雅黑"/>
          <w:b/>
          <w:color w:val="2F5597"/>
          <w:sz w:val="25"/>
        </w:rPr>
        <w:t>VIP数据统计</w:t>
      </w:r>
    </w:p>
    <w:p w14:paraId="6651434E">
      <w:pPr>
        <w:pStyle w:val="16"/>
        <w:spacing w:after="60" w:line="276" w:lineRule="auto"/>
      </w:pPr>
      <w:r>
        <w:rPr>
          <w:rFonts w:ascii="微软雅黑" w:hAnsi="微软雅黑" w:eastAsia="微软雅黑"/>
          <w:b/>
          <w:color w:val="2F5597"/>
          <w:sz w:val="20"/>
        </w:rPr>
        <w:t>VIP数据统计</w:t>
      </w:r>
      <w:r>
        <w:rPr>
          <w:rFonts w:ascii="微软雅黑" w:hAnsi="微软雅黑" w:eastAsia="微软雅黑"/>
          <w:b w:val="0"/>
          <w:sz w:val="20"/>
        </w:rPr>
        <w:t>：用于统计各 VIP 等级会员数据。</w:t>
      </w:r>
    </w:p>
    <w:p w14:paraId="259A9454">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：按时间或等级查看会员数量、充值、投注和升降级情况。</w:t>
      </w:r>
    </w:p>
    <w:p w14:paraId="57D7C6C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14:paraId="631FA4A6">
      <w:pPr>
        <w:pStyle w:val="16"/>
        <w:spacing w:after="60" w:line="276" w:lineRule="auto"/>
      </w:pPr>
      <w:r>
        <w:rPr>
          <w:rFonts w:ascii="微软雅黑" w:hAnsi="微软雅黑" w:eastAsia="微软雅黑"/>
          <w:b/>
          <w:color w:val="2F5597"/>
          <w:sz w:val="20"/>
        </w:rPr>
        <w:t>游戏记录</w:t>
      </w:r>
      <w:r>
        <w:rPr>
          <w:rFonts w:ascii="微软雅黑" w:hAnsi="微软雅黑" w:eastAsia="微软雅黑"/>
          <w:b w:val="0"/>
          <w:sz w:val="20"/>
        </w:rPr>
        <w:t>：用于查询玩家游戏投注记录。</w:t>
      </w:r>
    </w:p>
    <w:p w14:paraId="47CD2E8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：按玩家、游戏、订单号、状态或时间筛选，查看投注明细。</w:t>
      </w:r>
    </w:p>
    <w:p w14:paraId="03FB3BAC">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14:paraId="1A4ADA83">
      <w:pPr>
        <w:pStyle w:val="16"/>
        <w:spacing w:after="60" w:line="276" w:lineRule="auto"/>
      </w:pPr>
      <w:r>
        <w:rPr>
          <w:rFonts w:ascii="微软雅黑" w:hAnsi="微软雅黑" w:eastAsia="微软雅黑"/>
          <w:b/>
          <w:color w:val="2F5597"/>
          <w:sz w:val="20"/>
        </w:rPr>
        <w:t>用户留存</w:t>
      </w:r>
      <w:r>
        <w:rPr>
          <w:rFonts w:ascii="微软雅黑" w:hAnsi="微软雅黑" w:eastAsia="微软雅黑"/>
          <w:b w:val="0"/>
          <w:sz w:val="20"/>
        </w:rPr>
        <w:t>：用于查看注册或活跃用户的留存情况。</w:t>
      </w:r>
    </w:p>
    <w:p w14:paraId="409BDBF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：按日期、渠道或用户分组筛选，查看留存比例。</w:t>
      </w:r>
    </w:p>
    <w:p w14:paraId="545D7255">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14:paraId="74B4BFBB">
      <w:pPr>
        <w:pStyle w:val="16"/>
        <w:spacing w:after="60" w:line="276" w:lineRule="auto"/>
      </w:pPr>
      <w:r>
        <w:rPr>
          <w:rFonts w:ascii="微软雅黑" w:hAnsi="微软雅黑" w:eastAsia="微软雅黑"/>
          <w:b/>
          <w:color w:val="2F5597"/>
          <w:sz w:val="20"/>
        </w:rPr>
        <w:t>用户分析</w:t>
      </w:r>
      <w:r>
        <w:rPr>
          <w:rFonts w:ascii="微软雅黑" w:hAnsi="微软雅黑" w:eastAsia="微软雅黑"/>
          <w:b w:val="0"/>
          <w:sz w:val="20"/>
        </w:rPr>
        <w:t>：用于分析用户结构、活跃和行为数据。</w:t>
      </w:r>
    </w:p>
    <w:p w14:paraId="55A63E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：按时间、渠道或用户类型筛选，查看新增、活跃、充值等指标。</w:t>
      </w:r>
    </w:p>
    <w:p w14:paraId="764ACB6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：用于用户运营决策，需结合留存、充值和活动数据判断。</w:t>
      </w:r>
    </w:p>
    <w:p w14:paraId="6E8DFB1B">
      <w:pPr>
        <w:pStyle w:val="5"/>
        <w:keepNext/>
        <w:spacing w:before="180" w:after="100" w:line="259" w:lineRule="auto"/>
      </w:pPr>
      <w:r>
        <w:rPr>
          <w:rFonts w:ascii="微软雅黑" w:hAnsi="微软雅黑" w:eastAsia="微软雅黑"/>
          <w:b/>
          <w:color w:val="2F5597"/>
          <w:sz w:val="25"/>
        </w:rPr>
        <w:t>LTV</w:t>
      </w:r>
    </w:p>
    <w:p w14:paraId="5D591226">
      <w:pPr>
        <w:pStyle w:val="16"/>
        <w:spacing w:after="60" w:line="276" w:lineRule="auto"/>
      </w:pPr>
      <w:r>
        <w:rPr>
          <w:rFonts w:ascii="微软雅黑" w:hAnsi="微软雅黑" w:eastAsia="微软雅黑"/>
          <w:b/>
          <w:color w:val="2F5597"/>
          <w:sz w:val="20"/>
        </w:rPr>
        <w:t>LTV</w:t>
      </w:r>
      <w:r>
        <w:rPr>
          <w:rFonts w:ascii="微软雅黑" w:hAnsi="微软雅黑" w:eastAsia="微软雅黑"/>
          <w:b w:val="0"/>
          <w:sz w:val="20"/>
        </w:rPr>
        <w:t>：用于查看用户生命周期价值数据。</w:t>
      </w:r>
    </w:p>
    <w:p w14:paraId="2FAF872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：按注册日期、渠道或用户分组筛选，查看不同周期价值表现。</w:t>
      </w:r>
    </w:p>
    <w:p w14:paraId="6C0E154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：用于评估投放回收和用户质量，需与渠道成本结合分析。</w:t>
      </w:r>
    </w:p>
    <w:p w14:paraId="72DD9253">
      <w:pPr>
        <w:pStyle w:val="5"/>
        <w:keepNext/>
        <w:spacing w:before="180" w:after="100" w:line="259" w:lineRule="auto"/>
      </w:pPr>
      <w:r>
        <w:rPr>
          <w:rFonts w:ascii="微软雅黑" w:hAnsi="微软雅黑" w:eastAsia="微软雅黑"/>
          <w:b/>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59DE9601">
      <w:pPr>
        <w:pStyle w:val="5"/>
        <w:keepNext/>
        <w:spacing w:before="180" w:after="100" w:line="259" w:lineRule="auto"/>
      </w:pPr>
      <w:r>
        <w:rPr>
          <w:rFonts w:ascii="微软雅黑" w:hAnsi="微软雅黑" w:eastAsia="微软雅黑"/>
          <w:b/>
          <w:color w:val="2F5597"/>
          <w:sz w:val="25"/>
        </w:rPr>
        <w:t>用户分群查询</w:t>
      </w:r>
    </w:p>
    <w:p w14:paraId="5C0CAEB1">
      <w:pPr>
        <w:pStyle w:val="16"/>
        <w:spacing w:after="60" w:line="276" w:lineRule="auto"/>
      </w:pPr>
      <w:r>
        <w:rPr>
          <w:rFonts w:ascii="微软雅黑" w:hAnsi="微软雅黑" w:eastAsia="微软雅黑"/>
          <w:b/>
          <w:color w:val="2F5597"/>
          <w:sz w:val="20"/>
        </w:rPr>
        <w:t>用户分群查询</w:t>
      </w:r>
      <w:r>
        <w:rPr>
          <w:rFonts w:ascii="微软雅黑" w:hAnsi="微软雅黑" w:eastAsia="微软雅黑"/>
          <w:b w:val="0"/>
          <w:sz w:val="20"/>
        </w:rPr>
        <w:t>：用于查询用户分群结果和分群成员。</w:t>
      </w:r>
    </w:p>
    <w:p w14:paraId="35F9A45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：按分群条件、标签或会员信息筛选，查看命中用户。</w:t>
      </w:r>
    </w:p>
    <w:p w14:paraId="18848A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：分群结果可用于活动、消息推送和精细化运营。</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14:paraId="614F7F9C">
      <w:pPr>
        <w:pStyle w:val="16"/>
        <w:spacing w:after="60" w:line="276" w:lineRule="auto"/>
      </w:pPr>
      <w:r>
        <w:rPr>
          <w:rFonts w:ascii="微软雅黑" w:hAnsi="微软雅黑" w:eastAsia="微软雅黑"/>
          <w:b/>
          <w:color w:val="2F5597"/>
          <w:sz w:val="20"/>
        </w:rPr>
        <w:t>推荐频道管理</w:t>
      </w:r>
      <w:r>
        <w:rPr>
          <w:rFonts w:ascii="微软雅黑" w:hAnsi="微软雅黑" w:eastAsia="微软雅黑"/>
          <w:b w:val="0"/>
          <w:sz w:val="20"/>
        </w:rPr>
        <w:t>：用于维护前台推荐频道和展示内容。</w:t>
      </w:r>
    </w:p>
    <w:p w14:paraId="1071B0F6">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：新增、编辑、排序、启用或停用推荐频道。</w:t>
      </w:r>
    </w:p>
    <w:p w14:paraId="5D4D30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14:paraId="0FBFB201">
      <w:pPr>
        <w:pStyle w:val="16"/>
        <w:spacing w:after="60" w:line="276" w:lineRule="auto"/>
      </w:pPr>
      <w:r>
        <w:rPr>
          <w:rFonts w:ascii="微软雅黑" w:hAnsi="微软雅黑" w:eastAsia="微软雅黑"/>
          <w:b/>
          <w:color w:val="2F5597"/>
          <w:sz w:val="20"/>
        </w:rPr>
        <w:t>游戏类型设置</w:t>
      </w:r>
      <w:r>
        <w:rPr>
          <w:rFonts w:ascii="微软雅黑" w:hAnsi="微软雅黑" w:eastAsia="微软雅黑"/>
          <w:b w:val="0"/>
          <w:sz w:val="20"/>
        </w:rPr>
        <w:t>：用于维护游戏类型分类。</w:t>
      </w:r>
    </w:p>
    <w:p w14:paraId="25ABDC9B">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：新增、编辑、排序、启用或停用游戏类型。</w:t>
      </w:r>
    </w:p>
    <w:p w14:paraId="48A5F3B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14:paraId="79105434">
      <w:pPr>
        <w:pStyle w:val="16"/>
        <w:spacing w:after="60" w:line="276" w:lineRule="auto"/>
      </w:pPr>
      <w:r>
        <w:rPr>
          <w:rFonts w:ascii="微软雅黑" w:hAnsi="微软雅黑" w:eastAsia="微软雅黑"/>
          <w:b/>
          <w:color w:val="2F5597"/>
          <w:sz w:val="20"/>
        </w:rPr>
        <w:t>游戏频道管理</w:t>
      </w:r>
      <w:r>
        <w:rPr>
          <w:rFonts w:ascii="微软雅黑" w:hAnsi="微软雅黑" w:eastAsia="微软雅黑"/>
          <w:b w:val="0"/>
          <w:sz w:val="20"/>
        </w:rPr>
        <w:t>：用于维护游戏频道和频道内游戏展示。</w:t>
      </w:r>
    </w:p>
    <w:p w14:paraId="39ED2534">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：配置频道名称、排序、展示游戏和启停状态。</w:t>
      </w:r>
    </w:p>
    <w:p w14:paraId="728279E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14:paraId="22BFEA74">
      <w:pPr>
        <w:pStyle w:val="16"/>
        <w:spacing w:after="60" w:line="276" w:lineRule="auto"/>
      </w:pPr>
      <w:r>
        <w:rPr>
          <w:rFonts w:ascii="微软雅黑" w:hAnsi="微软雅黑" w:eastAsia="微软雅黑"/>
          <w:b/>
          <w:color w:val="2F5597"/>
          <w:sz w:val="20"/>
        </w:rPr>
        <w:t>子游戏列表</w:t>
      </w:r>
      <w:r>
        <w:rPr>
          <w:rFonts w:ascii="微软雅黑" w:hAnsi="微软雅黑" w:eastAsia="微软雅黑"/>
          <w:b w:val="0"/>
          <w:sz w:val="20"/>
        </w:rPr>
        <w:t>：用于查看和管理子游戏信息。</w:t>
      </w:r>
    </w:p>
    <w:p w14:paraId="3A9BF828">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：按厂商、类型或状态筛选，启用、停用或调整游戏展示。</w:t>
      </w:r>
    </w:p>
    <w:p w14:paraId="367A88C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14:paraId="1A33C13A">
      <w:pPr>
        <w:pStyle w:val="16"/>
        <w:spacing w:after="60" w:line="276" w:lineRule="auto"/>
      </w:pPr>
      <w:r>
        <w:rPr>
          <w:rFonts w:ascii="微软雅黑" w:hAnsi="微软雅黑" w:eastAsia="微软雅黑"/>
          <w:b/>
          <w:color w:val="2F5597"/>
          <w:sz w:val="20"/>
        </w:rPr>
        <w:t>游戏统计</w:t>
      </w:r>
      <w:r>
        <w:rPr>
          <w:rFonts w:ascii="微软雅黑" w:hAnsi="微软雅黑" w:eastAsia="微软雅黑"/>
          <w:b w:val="0"/>
          <w:sz w:val="20"/>
        </w:rPr>
        <w:t>：用于查看游戏投注和输赢统计。</w:t>
      </w:r>
    </w:p>
    <w:p w14:paraId="0D86C84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：按游戏、厂商或时间筛选，查看投注人数、投注额和输赢。</w:t>
      </w:r>
    </w:p>
    <w:p w14:paraId="5CBCC1E0">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14:paraId="287B5C7A">
      <w:pPr>
        <w:pStyle w:val="16"/>
        <w:spacing w:after="60" w:line="276" w:lineRule="auto"/>
      </w:pPr>
      <w:r>
        <w:rPr>
          <w:rFonts w:ascii="微软雅黑" w:hAnsi="微软雅黑" w:eastAsia="微软雅黑"/>
          <w:b/>
          <w:color w:val="2F5597"/>
          <w:sz w:val="20"/>
        </w:rPr>
        <w:t>游戏厂商统计</w:t>
      </w:r>
      <w:r>
        <w:rPr>
          <w:rFonts w:ascii="微软雅黑" w:hAnsi="微软雅黑" w:eastAsia="微软雅黑"/>
          <w:b w:val="0"/>
          <w:sz w:val="20"/>
        </w:rPr>
        <w:t>：用于查看各游戏厂商数据表现。</w:t>
      </w:r>
    </w:p>
    <w:p w14:paraId="6719718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：按厂商和时间筛选，查看投注、输赢和活跃数据。</w:t>
      </w:r>
    </w:p>
    <w:p w14:paraId="458A5AC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14:paraId="1B48DE56">
      <w:pPr>
        <w:pStyle w:val="16"/>
        <w:spacing w:after="60" w:line="276" w:lineRule="auto"/>
      </w:pPr>
      <w:r>
        <w:rPr>
          <w:rFonts w:ascii="微软雅黑" w:hAnsi="微软雅黑" w:eastAsia="微软雅黑"/>
          <w:b/>
          <w:color w:val="2F5597"/>
          <w:sz w:val="20"/>
        </w:rPr>
        <w:t>在线玩家列表</w:t>
      </w:r>
      <w:r>
        <w:rPr>
          <w:rFonts w:ascii="微软雅黑" w:hAnsi="微软雅黑" w:eastAsia="微软雅黑"/>
          <w:b w:val="0"/>
          <w:sz w:val="20"/>
        </w:rPr>
        <w:t>：用于查看当前在线玩家。</w:t>
      </w:r>
    </w:p>
    <w:p w14:paraId="6CC5D4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：按会员、渠道或状态筛选，查看在线时间、终端和会员信息。</w:t>
      </w:r>
    </w:p>
    <w:p w14:paraId="50D074F6">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14:paraId="20FF2DF4">
      <w:pPr>
        <w:pStyle w:val="16"/>
        <w:spacing w:after="60" w:line="276" w:lineRule="auto"/>
      </w:pPr>
      <w:r>
        <w:rPr>
          <w:rFonts w:ascii="微软雅黑" w:hAnsi="微软雅黑" w:eastAsia="微软雅黑"/>
          <w:b/>
          <w:color w:val="2F5597"/>
          <w:sz w:val="20"/>
        </w:rPr>
        <w:t>所有会员</w:t>
      </w:r>
      <w:r>
        <w:rPr>
          <w:rFonts w:ascii="微软雅黑" w:hAnsi="微软雅黑" w:eastAsia="微软雅黑"/>
          <w:b w:val="0"/>
          <w:sz w:val="20"/>
        </w:rPr>
        <w:t>：用于查询和管理会员基础信息。</w:t>
      </w:r>
    </w:p>
    <w:p w14:paraId="2BA1C63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：按会员账号、ID、状态或注册时间筛选，查看资料、余额和行为信息。</w:t>
      </w:r>
    </w:p>
    <w:p w14:paraId="4871796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14:paraId="3C970DBD">
      <w:pPr>
        <w:pStyle w:val="16"/>
        <w:spacing w:after="60" w:line="276" w:lineRule="auto"/>
      </w:pPr>
      <w:r>
        <w:rPr>
          <w:rFonts w:ascii="微软雅黑" w:hAnsi="微软雅黑" w:eastAsia="微软雅黑"/>
          <w:b/>
          <w:color w:val="2F5597"/>
          <w:sz w:val="20"/>
        </w:rPr>
        <w:t>VIP设置</w:t>
      </w:r>
      <w:r>
        <w:rPr>
          <w:rFonts w:ascii="微软雅黑" w:hAnsi="微软雅黑" w:eastAsia="微软雅黑"/>
          <w:b w:val="0"/>
          <w:sz w:val="20"/>
        </w:rPr>
        <w:t>：用于配置 VIP 等级、权益和升级条件。</w:t>
      </w:r>
    </w:p>
    <w:p w14:paraId="64A3E67E">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：设置等级名称、升级条件、保级条件、奖励和启停状态。</w:t>
      </w:r>
    </w:p>
    <w:p w14:paraId="2B732B8F">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14:paraId="04EABB9C">
      <w:pPr>
        <w:pStyle w:val="16"/>
        <w:spacing w:after="60" w:line="276" w:lineRule="auto"/>
      </w:pPr>
      <w:r>
        <w:rPr>
          <w:rFonts w:ascii="微软雅黑" w:hAnsi="微软雅黑" w:eastAsia="微软雅黑"/>
          <w:b/>
          <w:color w:val="2F5597"/>
          <w:sz w:val="20"/>
        </w:rPr>
        <w:t>有奖反馈</w:t>
      </w:r>
      <w:r>
        <w:rPr>
          <w:rFonts w:ascii="微软雅黑" w:hAnsi="微软雅黑" w:eastAsia="微软雅黑"/>
          <w:b w:val="0"/>
          <w:sz w:val="20"/>
        </w:rPr>
        <w:t>：用于查看和处理会员反馈奖励。</w:t>
      </w:r>
    </w:p>
    <w:p w14:paraId="2A5C855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：筛选反馈记录，查看内容、处理状态并发放或拒绝奖励。</w:t>
      </w:r>
    </w:p>
    <w:p w14:paraId="2A97AFAD">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14:paraId="32E84B52">
      <w:pPr>
        <w:pStyle w:val="16"/>
        <w:spacing w:after="60" w:line="276" w:lineRule="auto"/>
      </w:pPr>
      <w:r>
        <w:rPr>
          <w:rFonts w:ascii="微软雅黑" w:hAnsi="微软雅黑" w:eastAsia="微软雅黑"/>
          <w:b/>
          <w:color w:val="2F5597"/>
          <w:sz w:val="20"/>
        </w:rPr>
        <w:t>代理列表</w:t>
      </w:r>
      <w:r>
        <w:rPr>
          <w:rFonts w:ascii="微软雅黑" w:hAnsi="微软雅黑" w:eastAsia="微软雅黑"/>
          <w:b w:val="0"/>
          <w:sz w:val="20"/>
        </w:rPr>
        <w:t>：用于查询和管理代理账号。</w:t>
      </w:r>
    </w:p>
    <w:p w14:paraId="2764B9F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：按代理账号、状态或时间筛选，查看代理信息和下级数据。</w:t>
      </w:r>
    </w:p>
    <w:p w14:paraId="0468D12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14:paraId="63DBE911">
      <w:pPr>
        <w:pStyle w:val="16"/>
        <w:spacing w:after="60" w:line="276" w:lineRule="auto"/>
      </w:pPr>
      <w:r>
        <w:rPr>
          <w:rFonts w:ascii="微软雅黑" w:hAnsi="微软雅黑" w:eastAsia="微软雅黑"/>
          <w:b/>
          <w:color w:val="2F5597"/>
          <w:sz w:val="20"/>
        </w:rPr>
        <w:t>代理配置</w:t>
      </w:r>
      <w:r>
        <w:rPr>
          <w:rFonts w:ascii="微软雅黑" w:hAnsi="微软雅黑" w:eastAsia="微软雅黑"/>
          <w:b w:val="0"/>
          <w:sz w:val="20"/>
        </w:rPr>
        <w:t>：用于维护代理返佣、返水和结算规则。</w:t>
      </w:r>
    </w:p>
    <w:p w14:paraId="48F29FA1">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：设置代理等级、比例、结算周期和启停状态。</w:t>
      </w:r>
    </w:p>
    <w:p w14:paraId="29D47E7C">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14:paraId="5EB7FD94">
      <w:pPr>
        <w:pStyle w:val="16"/>
        <w:spacing w:after="60" w:line="276" w:lineRule="auto"/>
      </w:pPr>
      <w:r>
        <w:rPr>
          <w:rFonts w:ascii="微软雅黑" w:hAnsi="微软雅黑" w:eastAsia="微软雅黑"/>
          <w:b/>
          <w:color w:val="2F5597"/>
          <w:sz w:val="20"/>
        </w:rPr>
        <w:t>代理领取记录</w:t>
      </w:r>
      <w:r>
        <w:rPr>
          <w:rFonts w:ascii="微软雅黑" w:hAnsi="微软雅黑" w:eastAsia="微软雅黑"/>
          <w:b w:val="0"/>
          <w:sz w:val="20"/>
        </w:rPr>
        <w:t>：用于查看代理奖励或佣金领取记录。</w:t>
      </w:r>
    </w:p>
    <w:p w14:paraId="06F90DFE">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：按代理、状态或时间筛选，查看领取金额和处理结果。</w:t>
      </w:r>
    </w:p>
    <w:p w14:paraId="749874C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14:paraId="760FEA40">
      <w:pPr>
        <w:pStyle w:val="16"/>
        <w:spacing w:after="60" w:line="276" w:lineRule="auto"/>
      </w:pPr>
      <w:r>
        <w:rPr>
          <w:rFonts w:ascii="微软雅黑" w:hAnsi="微软雅黑" w:eastAsia="微软雅黑"/>
          <w:b/>
          <w:color w:val="2F5597"/>
          <w:sz w:val="20"/>
        </w:rPr>
        <w:t>代理数据查询</w:t>
      </w:r>
      <w:r>
        <w:rPr>
          <w:rFonts w:ascii="微软雅黑" w:hAnsi="微软雅黑" w:eastAsia="微软雅黑"/>
          <w:b w:val="0"/>
          <w:sz w:val="20"/>
        </w:rPr>
        <w:t>：用于查询代理维度的运营数据。</w:t>
      </w:r>
    </w:p>
    <w:p w14:paraId="1F17117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：按代理和时间筛选，查看下级会员、充值、投注和佣金数据。</w:t>
      </w:r>
    </w:p>
    <w:p w14:paraId="344CFFF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14:paraId="60BA53C8">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14:paraId="325491E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14:paraId="33E46AA7">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14:paraId="2C8865F6">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14:paraId="32E92F7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14:paraId="5E5377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14:paraId="179154A2">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14:paraId="17CFACE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14:paraId="11541BF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14:paraId="53ACBE49">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14:paraId="0E0D782B">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14:paraId="6B9A34F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14:paraId="4CD48A6E">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14:paraId="345CE640">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14:paraId="4D0AB50D">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14:paraId="265AE88E">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14:paraId="171EC97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14:paraId="1C825F0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14:paraId="22F48B13">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14:paraId="5A32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14:paraId="6B00DA32">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14:paraId="71BBEE76">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14:paraId="4D46181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14:paraId="66F52684">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14:paraId="0D55633A">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14:paraId="3FAC7D6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14:paraId="29164E8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14:paraId="343B0883">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14:paraId="5CB49EC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14:paraId="00BDF11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14:paraId="13FFCB8C">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14:paraId="0C95FAE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14:paraId="44846780">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14:paraId="46360FD6">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14:paraId="6FC547C0">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14:paraId="3751F99B">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14:paraId="2BD5E249">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14:paraId="204C081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14:paraId="7AEC321F">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14:paraId="01BD4412">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14:paraId="19C6307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14:paraId="77DB7B4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14:paraId="2D46A050">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14:paraId="0E2DA1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14:paraId="177BEA7D">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100"/>
      </w:pPr>
    </w:p>
    <w:p w14:paraId="47EA7662">
      <w:pPr>
        <w:spacing w:after="40"/>
      </w:pPr>
    </w:p>
    <w:p w14:paraId="1DD5EFF0">
      <w:pPr>
        <w:spacing w:after="120"/>
      </w:pPr>
    </w:p>
    <w:p w14:paraId="2162B6BE">
      <w:pPr>
        <w:spacing w:after="60" w:line="276" w:lineRule="auto"/>
      </w:pPr>
    </w:p>
    <w:p w14:paraId="21DF37FA">
      <w:pPr>
        <w:spacing w:after="60" w:line="276" w:lineRule="auto"/>
      </w:pPr>
    </w:p>
    <w:p w14:paraId="61EC073D">
      <w:pPr>
        <w:spacing w:after="100"/>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100"/>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100"/>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100"/>
      </w:pPr>
    </w:p>
    <w:p w14:paraId="1C59233A">
      <w:pPr>
        <w:spacing w:after="60" w:line="276" w:lineRule="auto"/>
      </w:pPr>
    </w:p>
    <w:p w14:paraId="173B6EA6">
      <w:pPr>
        <w:spacing w:after="60" w:line="276" w:lineRule="auto"/>
      </w:pPr>
    </w:p>
    <w:p w14:paraId="7A4B564B">
      <w:pPr>
        <w:spacing w:after="60" w:line="276" w:lineRule="auto"/>
      </w:pPr>
    </w:p>
    <w:p w14:paraId="1C0B8D10">
      <w:pPr>
        <w:spacing w:after="100"/>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100"/>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40"/>
      </w:pPr>
    </w:p>
    <w:p w14:paraId="76AC0E76">
      <w:pPr>
        <w:spacing w:after="120"/>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40"/>
      </w:pPr>
    </w:p>
    <w:p w14:paraId="4EFCB32C">
      <w:pPr>
        <w:spacing w:after="120"/>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01C69A6"/>
    <w:rsid w:val="15F63412"/>
    <w:rsid w:val="17F0696C"/>
    <w:rsid w:val="183B3024"/>
    <w:rsid w:val="18FA3DCE"/>
    <w:rsid w:val="1E20265C"/>
    <w:rsid w:val="259865AB"/>
    <w:rsid w:val="274033B7"/>
    <w:rsid w:val="29C87436"/>
    <w:rsid w:val="308E051A"/>
    <w:rsid w:val="38A20FFB"/>
    <w:rsid w:val="3AEF22C6"/>
    <w:rsid w:val="449F4114"/>
    <w:rsid w:val="48E318B7"/>
    <w:rsid w:val="4E892E94"/>
    <w:rsid w:val="4F407994"/>
    <w:rsid w:val="578C750D"/>
    <w:rsid w:val="59C16051"/>
    <w:rsid w:val="5DB26AD9"/>
    <w:rsid w:val="61DB474F"/>
    <w:rsid w:val="6E5F3FAE"/>
    <w:rsid w:val="72EE6907"/>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3" Type="http://schemas.openxmlformats.org/officeDocument/2006/relationships/fontTable" Target="fontTable.xml"/><Relationship Id="rId82" Type="http://schemas.openxmlformats.org/officeDocument/2006/relationships/customXml" Target="../customXml/item1.xml"/><Relationship Id="rId81" Type="http://schemas.openxmlformats.org/officeDocument/2006/relationships/numbering" Target="numbering.xml"/><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94</Pages>
  <Words>19204</Words>
  <Characters>20050</Characters>
  <Lines>0</Lines>
  <Paragraphs>0</Paragraphs>
  <TotalTime>21</TotalTime>
  <ScaleCrop>false</ScaleCrop>
  <LinksUpToDate>false</LinksUpToDate>
  <CharactersWithSpaces>20257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2026-06-10T07:58:12Z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