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35767">
      <w:pPr>
        <w:spacing w:after="240"/>
        <w:jc w:val="center"/>
      </w:pPr>
      <w:r>
        <w:rPr>
          <w:rFonts w:ascii="微软雅黑" w:hAnsi="微软雅黑" w:eastAsia="微软雅黑"/>
          <w:b/>
          <w:color w:val="254061"/>
          <w:sz w:val="36"/>
        </w:rPr>
        <w:t>商户后台操作手册</w:t>
      </w:r>
    </w:p>
    <w:p w14:paraId="696FE8DC">
      <w:pPr>
        <w:pStyle w:val="3"/>
        <w:keepNext/>
        <w:spacing w:before="360" w:after="240" w:lineRule="auto" w:line="276"/>
        <w:rPr>
          <w:sz w:val="32"/>
          <w:szCs w:val="32"/>
        </w:rPr>
      </w:pPr>
      <w:r>
        <w:rPr>
          <w:rFonts w:ascii="微软雅黑" w:hAnsi="微软雅黑" w:eastAsia="微软雅黑"/>
          <w:b/>
          <w:color w:val="17365D"/>
          <w:sz w:val="40"/>
          <w:szCs w:val="32"/>
        </w:rPr>
        <w:t>一、手册说明</w:t>
      </w:r>
    </w:p>
    <w:p w14:paraId="3F2BB956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适用对象</w:t>
      </w:r>
    </w:p>
    <w:p w14:paraId="444207F1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本手册适用于商户后台的运营、客服、财务、风控、代理管理、数据分析和管理员等后台使用人员。</w:t>
      </w:r>
    </w:p>
    <w:p w14:paraId="30B473FA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后台角色说明</w:t>
      </w:r>
    </w:p>
    <w:p w14:paraId="71333E6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商户创建或维护后台账号时，只能选择系统已配置好的角色；不同角色对应不同菜单、按钮和数据范围。若角色权限不满足业务需要，需要联系平台管理员或上级管理方调整。</w:t>
      </w:r>
    </w:p>
    <w:p w14:paraId="45E9A768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常见操作约定</w:t>
      </w:r>
    </w:p>
    <w:p w14:paraId="251E6B2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查询用于按条件筛选数据；重置用于清空筛选条件；新增/编辑通常在弹窗或表单中完成；启用/停用控制配置是否生效；导出需先确认数据范围；审核类操作必须填写明确处理意见。</w:t>
      </w:r>
    </w:p>
    <w:p w14:paraId="78C3B691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数据与权限说明</w:t>
      </w:r>
    </w:p>
    <w:p w14:paraId="7C79F2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后台数据受站点、角色、菜单权限和数据权限共同控制。同一页面在不同账号下看到的按钮、字段和数据范围可能不同。报表数据可能存在统计延迟，资金和订单问题应以订单明细与账变记录交叉核对。</w:t>
      </w:r>
    </w:p>
    <w:p w14:paraId="058A6547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二、登录与基础导航</w:t>
      </w:r>
    </w:p>
    <w:p w14:paraId="1E9B3755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登录</w:t>
      </w:r>
    </w:p>
    <w:p w14:paraId="6DC5364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打开后台地址进入登录界面，输入账号和密码后登录。登录后仅展示当前角色有权限访问的菜单。</w:t>
      </w:r>
    </w:p>
    <w:p w14:paraId="2ED3C41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第一次登录会要求绑定谷歌验证器，之后登录需要输入正确的谷歌验证码才可登录成功。</w:t>
      </w:r>
    </w:p>
    <w:p w14:paraId="03B40B16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菜单导航</w:t>
      </w:r>
    </w:p>
    <w:p w14:paraId="036DA0D9">
      <w:pPr>
        <w:spacing w:after="40"/>
        <w:jc w:val="center"/>
      </w:pPr>
      <w:r>
        <w:drawing>
          <wp:inline distT="0" distB="0" distL="114300" distR="114300">
            <wp:extent cx="5715000" cy="61277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C96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图1：顶部导航栏与基础入口。</w:t>
      </w:r>
    </w:p>
    <w:p w14:paraId="7DB56B7B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左上角菜单图标用于展开或收起页面目录。</w:t>
      </w:r>
    </w:p>
    <w:p w14:paraId="479393E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页面目录是主要导航入口，可先点击一级模块，再进入对应页面处理业务。</w:t>
      </w:r>
    </w:p>
    <w:p w14:paraId="40BCF88C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顶部时间区域用于查看当前系统时间及对应时区；商户余额区域用于查看当前商户账户可用额度。</w:t>
      </w:r>
    </w:p>
    <w:p w14:paraId="5EF1D3F1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点击“充值”按钮可进入商户充值页面；点击站点下拉框可切换当前操作和查看的站点。</w:t>
      </w:r>
    </w:p>
    <w:p w14:paraId="5CF69300">
      <w:pPr>
        <w:spacing w:after="40"/>
        <w:jc w:val="center"/>
      </w:pPr>
      <w:r>
        <w:drawing>
          <wp:inline distT="0" distB="0" distL="114300" distR="114300">
            <wp:extent cx="5715000" cy="338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FE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图2：顶部导航栏右侧区域。</w:t>
      </w:r>
    </w:p>
    <w:p w14:paraId="4E5A0E7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点击主题开关，可切换页面显示模式。</w:t>
      </w:r>
    </w:p>
    <w:p w14:paraId="0F8AD9E8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点击声音图标，可开启或关闭系统提示音。</w:t>
      </w:r>
    </w:p>
    <w:p w14:paraId="5C7D4480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点击背景样式图标，可切换页面背景显示效果。</w:t>
      </w:r>
    </w:p>
    <w:p w14:paraId="4A55B6A9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点击界面尺寸选项，可在默认、中、小、迷你之间切换页面显示尺寸。</w:t>
      </w:r>
    </w:p>
    <w:p w14:paraId="4B423F7E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点击语言入口，可切换系统显示语言。</w:t>
      </w:r>
    </w:p>
    <w:p w14:paraId="09AA4FBD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点击通知图标，可查看系统通知或消息提醒。</w:t>
      </w:r>
    </w:p>
    <w:p w14:paraId="004514B3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点击站点下拉框，可切换当前操作和查看的站点。</w:t>
      </w:r>
    </w:p>
    <w:p w14:paraId="65A72DD5">
      <w:pPr>
        <w:pStyle w:val="16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点击头像图标，可退出当前登录账号。</w:t>
      </w:r>
    </w:p>
    <w:p w14:paraId="6DBB32BC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筛选、表格、分页、弹窗、状态开关等通用操作</w:t>
      </w:r>
    </w:p>
    <w:p w14:paraId="4460A6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筛选：</w:t>
      </w:r>
      <w:r>
        <w:rPr>
          <w:rFonts w:ascii="微软雅黑" w:hAnsi="微软雅黑" w:eastAsia="微软雅黑"/>
          <w:b w:val="0"/>
          <w:sz w:val="20"/>
        </w:rPr>
        <w:t>输入时间、账号、状态、渠道、类型等条件后点击查询；结果不符合预期时先重置再重新查询。</w:t>
      </w:r>
    </w:p>
    <w:p w14:paraId="2D0F5F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表格：</w:t>
      </w:r>
      <w:r>
        <w:rPr>
          <w:rFonts w:ascii="微软雅黑" w:hAnsi="微软雅黑" w:eastAsia="微软雅黑"/>
          <w:b w:val="0"/>
          <w:sz w:val="20"/>
        </w:rPr>
        <w:t>表格通常承载列表数据，支持查看状态、金额、时间、操作人和行内操作。</w:t>
      </w:r>
    </w:p>
    <w:p w14:paraId="4046FD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分页：</w:t>
      </w:r>
      <w:r>
        <w:rPr>
          <w:rFonts w:ascii="微软雅黑" w:hAnsi="微软雅黑" w:eastAsia="微软雅黑"/>
          <w:b w:val="0"/>
          <w:sz w:val="20"/>
        </w:rPr>
        <w:t>列表数据较多时通过分页切换；排查问题时注意当前页码和每页条数。</w:t>
      </w:r>
    </w:p>
    <w:p w14:paraId="35437C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弹窗：</w:t>
      </w:r>
      <w:r>
        <w:rPr>
          <w:rFonts w:ascii="微软雅黑" w:hAnsi="微软雅黑" w:eastAsia="微软雅黑"/>
          <w:b w:val="0"/>
          <w:sz w:val="20"/>
        </w:rPr>
        <w:t>新增、编辑、审核、确认等操作通常在弹窗中完成，关闭前需确认是否保存。</w:t>
      </w:r>
    </w:p>
    <w:p w14:paraId="59FC88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状态开关：</w:t>
      </w:r>
      <w:r>
        <w:rPr>
          <w:rFonts w:ascii="微软雅黑" w:hAnsi="微软雅黑" w:eastAsia="微软雅黑"/>
          <w:b w:val="0"/>
          <w:sz w:val="20"/>
        </w:rPr>
        <w:t>启用后配置生效，停用后配置隐藏或失效；停用前应确认是否影响线上业务。</w:t>
      </w:r>
    </w:p>
    <w:p w14:paraId="24826FDC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三、首页</w:t>
      </w:r>
    </w:p>
    <w:p w14:paraId="011B137F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默认看板</w:t>
      </w:r>
    </w:p>
    <w:p w14:paraId="31BDE98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登入后台后即可见首页看板，用于快速查看站点当下的即时状况。</w:t>
      </w:r>
    </w:p>
    <w:p w14:paraId="65BE6AE2">
      <w:pPr>
        <w:spacing w:after="40"/>
        <w:jc w:val="center"/>
      </w:pPr>
      <w:r>
        <w:drawing>
          <wp:inline distT="0" distB="0" distL="114300" distR="114300">
            <wp:extent cx="5715000" cy="2453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087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图3：首页看板，用于查看站点核心数据与待处理事项。</w:t>
      </w:r>
    </w:p>
    <w:p w14:paraId="26EB95C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模块定位：</w:t>
      </w:r>
      <w:r>
        <w:rPr>
          <w:rFonts w:ascii="微软雅黑" w:hAnsi="微软雅黑" w:eastAsia="微软雅黑"/>
          <w:b w:val="0"/>
          <w:sz w:val="20"/>
        </w:rPr>
        <w:t>首页用于经营总览和待办提醒，是商户进入后台后的默认查看入口。</w:t>
      </w:r>
    </w:p>
    <w:p w14:paraId="26DE2C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重点查看今日、昨日、本月等关键指标，并通过快捷入口进入高频业务页面。</w:t>
      </w:r>
    </w:p>
    <w:p w14:paraId="2615A54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字段说明：</w:t>
      </w:r>
      <w:r>
        <w:rPr>
          <w:rFonts w:ascii="微软雅黑" w:hAnsi="微软雅黑" w:eastAsia="微软雅黑"/>
          <w:b w:val="0"/>
          <w:sz w:val="20"/>
        </w:rPr>
        <w:t>常见字段包含注册人数、充值金额、提现金额、投注金额、输赢、待审核订单和异常提醒。</w:t>
      </w:r>
    </w:p>
    <w:p w14:paraId="7F2418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操作流程：</w:t>
      </w:r>
      <w:r>
        <w:rPr>
          <w:rFonts w:ascii="微软雅黑" w:hAnsi="微软雅黑" w:eastAsia="微软雅黑"/>
          <w:b w:val="0"/>
          <w:sz w:val="20"/>
        </w:rPr>
        <w:t>进入后台后先查看看板指标，再根据待办或异常入口进入对应模块处理。</w:t>
      </w:r>
    </w:p>
    <w:p w14:paraId="3F73621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注意事项：</w:t>
      </w:r>
      <w:r>
        <w:rPr>
          <w:rFonts w:ascii="微软雅黑" w:hAnsi="微软雅黑" w:eastAsia="微软雅黑"/>
          <w:b w:val="0"/>
          <w:sz w:val="20"/>
        </w:rPr>
        <w:t>看板数据通常存在刷新周期，遇到口径差异时以具体报表和订单明细为准。</w:t>
      </w:r>
    </w:p>
    <w:p w14:paraId="4D4F27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常见问题：</w:t>
      </w:r>
      <w:r>
        <w:rPr>
          <w:rFonts w:ascii="微软雅黑" w:hAnsi="微软雅黑" w:eastAsia="微软雅黑"/>
          <w:b w:val="0"/>
          <w:sz w:val="20"/>
        </w:rPr>
        <w:t>看板数据与报表不同步时，优先检查统计时间、刷新频率、站点筛选和数据口径。</w:t>
      </w:r>
    </w:p>
    <w:p w14:paraId="50AB8CB3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四、站点配置</w:t>
      </w:r>
    </w:p>
    <w:p w14:paraId="09A77A3A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C890A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A2E6C01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F34775A">
      <w:pPr>
        <w:pStyle w:val="5"/>
        <w:keepNext/>
        <w:spacing w:before="180" w:after="100" w:lineRule="auto" w:line="259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模板管理</w:t>
      </w:r>
    </w:p>
    <w:p w14:paraId="67DB1E2D">
      <w:pPr>
        <w:spacing w:after="40"/>
        <w:jc w:val="center"/>
      </w:pPr>
      <w:r>
        <w:drawing>
          <wp:inline distT="0" distB="0" distL="114300" distR="114300">
            <wp:extent cx="5715000" cy="2611120"/>
            <wp:effectExtent l="0" t="0" r="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95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图4：模板管理页面，用于维护首页、登录页和 VIP 页展示方案。</w:t>
      </w:r>
    </w:p>
    <w:p w14:paraId="6AE206A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模板管理用于维护前台页面的装修模板和展示方案，位于站点配置目录下。运营人员可在同一页面内选择首页、登录页、VIP 页模板，添加页面组件，预览手机端效果，并调整页面主题或组件属性。模板保存并启用后，会影响用户在前台看到的页面结构、视觉风格和功能入口。</w:t>
      </w:r>
    </w:p>
    <w:p w14:paraId="4EA9C39D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左侧组件区</w:t>
      </w:r>
    </w:p>
    <w:p w14:paraId="1D3F2BD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页面类型：</w:t>
      </w:r>
      <w:r>
        <w:rPr>
          <w:rFonts w:ascii="微软雅黑" w:hAnsi="微软雅黑" w:eastAsia="微软雅黑"/>
          <w:b w:val="0"/>
          <w:sz w:val="20"/>
        </w:rPr>
        <w:t>顶部可在首页模板、登录模板、VIP 模板之间切换，不同模板下展示可用的组件或样式。</w:t>
      </w:r>
    </w:p>
    <w:p w14:paraId="24B068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首页模板：</w:t>
      </w:r>
      <w:r>
        <w:rPr>
          <w:rFonts w:ascii="微软雅黑" w:hAnsi="微软雅黑" w:eastAsia="微软雅黑"/>
          <w:b w:val="0"/>
          <w:sz w:val="20"/>
        </w:rPr>
        <w:t>按营销、导航、内容、基础等分组选择组件，例如轮播图、奖池、公告栏、快捷入口、楼层导航、个人引导、底部导航和游戏模块。</w:t>
      </w:r>
    </w:p>
    <w:p w14:paraId="47731C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登录模板：</w:t>
      </w:r>
      <w:r>
        <w:rPr>
          <w:rFonts w:ascii="微软雅黑" w:hAnsi="微软雅黑" w:eastAsia="微软雅黑"/>
          <w:b w:val="0"/>
          <w:sz w:val="20"/>
        </w:rPr>
        <w:t>用于选择登录展示方式，包含弹框模式和页面模式。</w:t>
      </w:r>
    </w:p>
    <w:p w14:paraId="421409C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VIP模板：</w:t>
      </w:r>
      <w:r>
        <w:rPr>
          <w:rFonts w:ascii="微软雅黑" w:hAnsi="微软雅黑" w:eastAsia="微软雅黑"/>
          <w:b w:val="0"/>
          <w:sz w:val="20"/>
        </w:rPr>
        <w:t>用于选择 VIP 页面展示样式，包含模板 A、模板 B、模板 C 等不同布局。</w:t>
      </w:r>
    </w:p>
    <w:p w14:paraId="17F1547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点击或拖拽组件到中间预览区；当前选中的 Tab、模板或组件会高亮显示。</w:t>
      </w:r>
    </w:p>
    <w:p w14:paraId="193F00FC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中间页面预览区</w:t>
      </w:r>
    </w:p>
    <w:p w14:paraId="7153AD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页面预览：</w:t>
      </w:r>
      <w:r>
        <w:rPr>
          <w:rFonts w:ascii="微软雅黑" w:hAnsi="微软雅黑" w:eastAsia="微软雅黑"/>
          <w:b w:val="0"/>
          <w:sz w:val="20"/>
        </w:rPr>
        <w:t>中间区域用于实时预览当前页面装修效果，顶部可编辑页面名称，并提供创建/更改、撤销、重做等操作。</w:t>
      </w:r>
      <w:bookmarkStart w:id="0" w:name="_GoBack"/>
      <w:bookmarkEnd w:id="0"/>
    </w:p>
    <w:p w14:paraId="4BECB09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预览内容：</w:t>
      </w:r>
      <w:r>
        <w:rPr>
          <w:rFonts w:ascii="微软雅黑" w:hAnsi="微软雅黑" w:eastAsia="微软雅黑"/>
          <w:b w:val="0"/>
          <w:sz w:val="20"/>
        </w:rPr>
        <w:t>首页模板展示首页布局和已添加组件；登录模板展示弹框登录或页面登录；VIP 模板展示对应 VIP 页面样式。</w:t>
      </w:r>
    </w:p>
    <w:p w14:paraId="342D70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组件操作：</w:t>
      </w:r>
      <w:r>
        <w:rPr>
          <w:rFonts w:ascii="微软雅黑" w:hAnsi="微软雅黑" w:eastAsia="微软雅黑"/>
          <w:b w:val="0"/>
          <w:sz w:val="20"/>
        </w:rPr>
        <w:t>未添加组件时显示添加提示；添加组件后按页面顺序展示。点击组件后可看到选中边框、组件标题以及上移、下移、删除等操作。</w:t>
      </w:r>
    </w:p>
    <w:p w14:paraId="572CCD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联动规则：</w:t>
      </w:r>
      <w:r>
        <w:rPr>
          <w:rFonts w:ascii="微软雅黑" w:hAnsi="微软雅黑" w:eastAsia="微软雅黑"/>
          <w:b w:val="0"/>
          <w:sz w:val="20"/>
        </w:rPr>
        <w:t>选中预览区组件后，右侧会同步切换为该组件的属性配置。</w:t>
      </w:r>
    </w:p>
    <w:p w14:paraId="71BF1D1F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右侧设置区</w:t>
      </w:r>
    </w:p>
    <w:p w14:paraId="032B67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页面设置：</w:t>
      </w:r>
      <w:r>
        <w:rPr>
          <w:rFonts w:ascii="微软雅黑" w:hAnsi="微软雅黑" w:eastAsia="微软雅黑"/>
          <w:b w:val="0"/>
          <w:sz w:val="20"/>
        </w:rPr>
        <w:t>未选中组件时，右侧用于配置页面全局主题和视觉样式，例如主题预设、自定义主色调、页面背景色、页面背景图片、高级颜色配置和按钮样式。</w:t>
      </w:r>
    </w:p>
    <w:p w14:paraId="09C7F7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组件属性：</w:t>
      </w:r>
      <w:r>
        <w:rPr>
          <w:rFonts w:ascii="微软雅黑" w:hAnsi="微软雅黑" w:eastAsia="微软雅黑"/>
          <w:b w:val="0"/>
          <w:sz w:val="20"/>
        </w:rPr>
        <w:t>选中组件时，右侧用于配置当前组件的展示状态、样式、内容、图片、滚动、播放、颜色、跳转和排序等参数。</w:t>
      </w:r>
    </w:p>
    <w:p w14:paraId="20C841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应用更改：</w:t>
      </w:r>
      <w:r>
        <w:rPr>
          <w:rFonts w:ascii="微软雅黑" w:hAnsi="微软雅黑" w:eastAsia="微软雅黑"/>
          <w:b w:val="0"/>
          <w:sz w:val="20"/>
        </w:rPr>
        <w:t>修改组件属性后，需要点击应用更改或保存，配置才会同步到中间预览区和最终模板。</w:t>
      </w:r>
    </w:p>
    <w:p w14:paraId="44DF108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区分页面全局设置和组件属性，避免把右侧全局主题配置误认为某个组件的单独配置。</w:t>
      </w:r>
    </w:p>
    <w:p w14:paraId="004854E8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组件说明</w:t>
      </w:r>
    </w:p>
    <w:p w14:paraId="11D85364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组件说明按模板管理中常见组件逐项整理。后续补充截图时，可在对应组件下继续追加字段截图、弹窗说明或配置示例。</w:t>
      </w:r>
    </w:p>
    <w:p w14:paraId="52A0F926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轮播图（Banner/Carousel）</w:t>
      </w:r>
    </w:p>
    <w:p w14:paraId="68CABF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用于配置首页或活动页 Banner 轮播，是前台最主要的视觉入口之一，常用于展示活动、品牌、游戏推荐或充值引导。</w:t>
      </w:r>
    </w:p>
    <w:p w14:paraId="2D1423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组件名称、删除、可见性、轮播样式、自动播放、播放间隔、显示指示器、指示器样式、轮播项列表、圆角和应用更改。</w:t>
      </w:r>
    </w:p>
    <w:p w14:paraId="3557161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轮播项配置：</w:t>
      </w:r>
      <w:r>
        <w:rPr>
          <w:rFonts w:ascii="微软雅黑" w:hAnsi="微软雅黑" w:eastAsia="微软雅黑"/>
          <w:b w:val="0"/>
          <w:sz w:val="20"/>
        </w:rPr>
        <w:t>每一帧可配置图片、跳转链接、打开方式、排序权重和生效时间；多张 Banner 同时配置时，应检查展示顺序和生效时间是否冲突。</w:t>
      </w:r>
    </w:p>
    <w:p w14:paraId="460F1E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重点检查图片尺寸、移动端裁切、跳转地址、打开方式和活动有效期；上线前确认自动播放间隔不会影响用户阅读。</w:t>
      </w:r>
    </w:p>
    <w:p w14:paraId="37D2A502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奖池（Jackpot）</w:t>
      </w:r>
    </w:p>
    <w:p w14:paraId="011519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用于展示奖金池或动态金额，适合放在首页营销区域，用来强化活动氛围和奖金规模感。</w:t>
      </w:r>
    </w:p>
    <w:p w14:paraId="307FBB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组件名称、删除、可见性、背景图片、数值变动速度、奖金数字颜色、奖金字体大小、奖金字体粗细、数字动画效果、起始数值、货币符号、千分位分隔符和应用更改。</w:t>
      </w:r>
    </w:p>
    <w:p w14:paraId="3EB22F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背景图片决定奖池区域视觉效果；数字颜色、字号、字重和动画决定金额可读性；起始数值和变动速度影响前台展示节奏。</w:t>
      </w:r>
    </w:p>
    <w:p w14:paraId="68EE9F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检查金额格式、货币符号、千分位分隔和背景图对比度，避免数字不清晰或与实际活动口径冲突。</w:t>
      </w:r>
    </w:p>
    <w:p w14:paraId="2A997B6B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公告栏（Notice/Marquee）</w:t>
      </w:r>
    </w:p>
    <w:p w14:paraId="4EF9DA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用于展示平台公告、活动提醒、中奖播报或重要通知，通常放在首页靠前位置。</w:t>
      </w:r>
    </w:p>
    <w:p w14:paraId="519B8F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组件名称、删除、可见性、滚动方向、滚动速度、背景颜色、文字颜色、消息图标、自定义消息图标、公告内容列表、单行显示行数和应用更改。</w:t>
      </w:r>
    </w:p>
    <w:p w14:paraId="0CD614B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公告内容配置：</w:t>
      </w:r>
      <w:r>
        <w:rPr>
          <w:rFonts w:ascii="微软雅黑" w:hAnsi="微软雅黑" w:eastAsia="微软雅黑"/>
          <w:b w:val="0"/>
          <w:sz w:val="20"/>
        </w:rPr>
        <w:t>每条公告可配置消息文本、跳转链接和排序；横向滚动适合单行短消息，纵向滚动适合多条公告轮播。</w:t>
      </w:r>
    </w:p>
    <w:p w14:paraId="4000DB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发布前检查文字长度、颜色对比、跳转链接和排序；重要公告建议避免滚动过快。</w:t>
      </w:r>
    </w:p>
    <w:p w14:paraId="19C17F47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快捷入口（Quick Entry）</w:t>
      </w:r>
    </w:p>
    <w:p w14:paraId="2F8BC3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用于配置首页常用功能入口，帮助用户快速进入充值、提现、活动、客服、VIP、任务等高频页面。</w:t>
      </w:r>
    </w:p>
    <w:p w14:paraId="77180B8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组件名称、删除、可见性、展示样式、每行数量、行数、入口项列表、图标大小、文字大小和应用更改。</w:t>
      </w:r>
    </w:p>
    <w:p w14:paraId="5B9186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入口项配置：</w:t>
      </w:r>
      <w:r>
        <w:rPr>
          <w:rFonts w:ascii="微软雅黑" w:hAnsi="微软雅黑" w:eastAsia="微软雅黑"/>
          <w:b w:val="0"/>
          <w:sz w:val="20"/>
        </w:rPr>
        <w:t>每个入口可配置入口名称、图标、选中图标、跳转信息、打开方式、角标、排序权重和单项可见性。</w:t>
      </w:r>
    </w:p>
    <w:p w14:paraId="1F235A0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检查入口名称是否简洁、图标是否匹配业务含义、跳转目标是否正确、角标是否误导用户，并控制入口数量避免首页拥挤。</w:t>
      </w:r>
    </w:p>
    <w:p w14:paraId="2767962E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楼层导航（Floor Navigation）</w:t>
      </w:r>
    </w:p>
    <w:p w14:paraId="7CCB47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用于页面内分区导航，帮助用户快速跳转到指定楼层或组件区域，适合内容较长的首页或活动页。</w:t>
      </w:r>
    </w:p>
    <w:p w14:paraId="409CF8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组件名称、删除、可见性、展示样式、吸顶偏移、导航项列表、背景颜色、文字颜色、选中文字颜色、滚动动画和应用更改。</w:t>
      </w:r>
    </w:p>
    <w:p w14:paraId="6B6E008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每个导航项可配置楼层名称、锚点目标、图标、选中态样式和排序；锚点目标应与页面组件或区域 ID 对应。</w:t>
      </w:r>
    </w:p>
    <w:p w14:paraId="06C935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检查锚点是否能准确定位、吸顶偏移是否遮挡内容、选中态是否清晰；移动端尤其要关注导航宽度和滚动体验。</w:t>
      </w:r>
    </w:p>
    <w:p w14:paraId="1480D2E5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个人引导（User Guide / Profile Entry）</w:t>
      </w:r>
    </w:p>
    <w:p w14:paraId="067B36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用于展示用户登录前后的引导区域，承担登录注册引导、用户信息展示和快捷功能入口。</w:t>
      </w:r>
    </w:p>
    <w:p w14:paraId="2C4F18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组件名称、删除、可见性、未登录展示内容、已登录展示内容、背景图和应用更改。</w:t>
      </w:r>
    </w:p>
    <w:p w14:paraId="51143D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未登录配置：</w:t>
      </w:r>
      <w:r>
        <w:rPr>
          <w:rFonts w:ascii="微软雅黑" w:hAnsi="微软雅黑" w:eastAsia="微软雅黑"/>
          <w:b w:val="0"/>
          <w:sz w:val="20"/>
        </w:rPr>
        <w:t>可配置标题文案、副标题、登录按钮文案、注册按钮文案、按钮样式和默认头像。</w:t>
      </w:r>
    </w:p>
    <w:p w14:paraId="3F34506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已登录配置：</w:t>
      </w:r>
      <w:r>
        <w:rPr>
          <w:rFonts w:ascii="微软雅黑" w:hAnsi="微软雅黑" w:eastAsia="微软雅黑"/>
          <w:b w:val="0"/>
          <w:sz w:val="20"/>
        </w:rPr>
        <w:t>可配置是否显示用户昵称、用户头像、VIP 等级、账户余额、快捷功能和跳转信息。</w:t>
      </w:r>
    </w:p>
    <w:p w14:paraId="5B1614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未登录态重点检查登录/注册按钮是否清晰；已登录态重点检查余额、VIP、快捷入口和个人中心跳转是否准确。</w:t>
      </w:r>
    </w:p>
    <w:p w14:paraId="16555CEB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底部导航（Bottom Navigation / TabBar）</w:t>
      </w:r>
    </w:p>
    <w:p w14:paraId="2A076B5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用于配置移动端底部 Tab 栏，是用户切换首页、活动、游戏、会员中心等核心页面的主导航。</w:t>
      </w:r>
    </w:p>
    <w:p w14:paraId="54016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组件名称、删除、可见性、背景颜色、背景图片、文字颜色、选中文字颜色、导航项列表、中间突出项、中间突出图标、分隔线和应用更改。</w:t>
      </w:r>
    </w:p>
    <w:p w14:paraId="513FE64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导航项配置：</w:t>
      </w:r>
      <w:r>
        <w:rPr>
          <w:rFonts w:ascii="微软雅黑" w:hAnsi="微软雅黑" w:eastAsia="微软雅黑"/>
          <w:b w:val="0"/>
          <w:sz w:val="20"/>
        </w:rPr>
        <w:t>每个 Tab 可配置名称、默认图标、选中图标、跳转页面、角标、排序和单项可见性。</w:t>
      </w:r>
    </w:p>
    <w:p w14:paraId="1B1F3F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通常控制在 3 到 5 个 Tab；检查默认图标和选中图标是否成套、跳转页面是否正确、中间突出项是否遮挡内容。</w:t>
      </w:r>
    </w:p>
    <w:p w14:paraId="1467E303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游戏模块（Game Module）</w:t>
      </w:r>
    </w:p>
    <w:p w14:paraId="5DF0F2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用于展示游戏分类和游戏列表，是首页承接用户进入游戏的重要区域。</w:t>
      </w:r>
    </w:p>
    <w:p w14:paraId="586AF6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组件名称、删除、可见性、游戏分类、分类 Tab 展示、分类 Tab 样式、展示数量、排列样式、卡片样式、卡片圆角、加载更多、排序规则、搜索功能、收藏筛选、厂商筛选、空态提示和应用更改。</w:t>
      </w:r>
    </w:p>
    <w:p w14:paraId="656E42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展示配置：</w:t>
      </w:r>
      <w:r>
        <w:rPr>
          <w:rFonts w:ascii="微软雅黑" w:hAnsi="微软雅黑" w:eastAsia="微软雅黑"/>
          <w:b w:val="0"/>
          <w:sz w:val="20"/>
        </w:rPr>
        <w:t>可选择热门、老虎机、真人、棋牌、体育、捕鱼等分类；卡片可按图片、名称、厂商等不同信息组合展示。</w:t>
      </w:r>
    </w:p>
    <w:p w14:paraId="3B323D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检查游戏分类、展示数量、排序规则和加载更多方式；无游戏时需配置清晰空态提示，避免前台出现空白区域。</w:t>
      </w:r>
    </w:p>
    <w:p w14:paraId="4D3B121C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登录模板组件（Login Template）</w:t>
      </w:r>
    </w:p>
    <w:p w14:paraId="2F58A5A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用于配置登录页或登录弹窗的展示方式和登录相关入口。</w:t>
      </w:r>
    </w:p>
    <w:p w14:paraId="1168ACE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组件名称、删除、可见性、登录展示方式、登录方式、默认登录方式、登录按钮样式、注册按钮样式、第三方登录入口、公告弹框样式、返回顶部、记住密码、忘记密码入口、背景图/颜色、Logo 图片和应用更改。</w:t>
      </w:r>
    </w:p>
    <w:p w14:paraId="1B5774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按钮与入口配置：</w:t>
      </w:r>
      <w:r>
        <w:rPr>
          <w:rFonts w:ascii="微软雅黑" w:hAnsi="微软雅黑" w:eastAsia="微软雅黑"/>
          <w:b w:val="0"/>
          <w:sz w:val="20"/>
        </w:rPr>
        <w:t>登录按钮可配置文案、颜色、圆角和宽度；注册按钮可配置文案、颜色和展示位置；第三方登录入口可配置是否显示、支持平台和展示样式。</w:t>
      </w:r>
    </w:p>
    <w:p w14:paraId="6A6F6F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公告与背景配置：</w:t>
      </w:r>
      <w:r>
        <w:rPr>
          <w:rFonts w:ascii="微软雅黑" w:hAnsi="微软雅黑" w:eastAsia="微软雅黑"/>
          <w:b w:val="0"/>
          <w:sz w:val="20"/>
        </w:rPr>
        <w:t>公告弹框可配置标题、内容、图片和关闭方式；页面背景可使用图片或颜色，Logo 图片需与品牌设置保持一致。</w:t>
      </w:r>
    </w:p>
    <w:p w14:paraId="06A3E39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检查默认登录方式、第三方登录入口、忘记密码入口和公告弹框是否符合当前站点登录策略。</w:t>
      </w:r>
    </w:p>
    <w:p w14:paraId="26D8A71C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VIP模板组件（VIP Template）</w:t>
      </w:r>
    </w:p>
    <w:p w14:paraId="4D98742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功能用途：</w:t>
      </w:r>
      <w:r>
        <w:rPr>
          <w:rFonts w:ascii="微软雅黑" w:hAnsi="微软雅黑" w:eastAsia="微软雅黑"/>
          <w:b w:val="0"/>
          <w:sz w:val="20"/>
        </w:rPr>
        <w:t>用于配置 VIP 页面整体布局、等级展示、权益说明和奖励领取入口。</w:t>
      </w:r>
    </w:p>
    <w:p w14:paraId="6B476FD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主要配置：</w:t>
      </w:r>
      <w:r>
        <w:rPr>
          <w:rFonts w:ascii="微软雅黑" w:hAnsi="微软雅黑" w:eastAsia="微软雅黑"/>
          <w:b w:val="0"/>
          <w:sz w:val="20"/>
        </w:rPr>
        <w:t>组件名称、删除、可见性、模板布局、等级信息展示、升级条件、权益内容、奖励展示、规则说明和应用更改。</w:t>
      </w:r>
    </w:p>
    <w:p w14:paraId="32A66E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等级配置：</w:t>
      </w:r>
      <w:r>
        <w:rPr>
          <w:rFonts w:ascii="微软雅黑" w:hAnsi="微软雅黑" w:eastAsia="微软雅黑"/>
          <w:b w:val="0"/>
          <w:sz w:val="20"/>
        </w:rPr>
        <w:t>可配置当前等级展示、等级图标、等级名称、等级进度条、等级背景色或背景图。</w:t>
      </w:r>
    </w:p>
    <w:p w14:paraId="4EC558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权益与奖励配置：</w:t>
      </w:r>
      <w:r>
        <w:rPr>
          <w:rFonts w:ascii="微软雅黑" w:hAnsi="微软雅黑" w:eastAsia="微软雅黑"/>
          <w:b w:val="0"/>
          <w:sz w:val="20"/>
        </w:rPr>
        <w:t>可配置权益列表、权益图标、权益描述、适用等级、权益对比表、升级奖励、周/月奖励、返水比例和奖励领取按钮。</w:t>
      </w:r>
    </w:p>
    <w:p w14:paraId="23E9E5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使用要点：</w:t>
      </w:r>
      <w:r>
        <w:rPr>
          <w:rFonts w:ascii="微软雅黑" w:hAnsi="微软雅黑" w:eastAsia="微软雅黑"/>
          <w:b w:val="0"/>
          <w:sz w:val="20"/>
        </w:rPr>
        <w:t>检查等级名称、升级条件、权益适用等级、奖励领取按钮和规则说明是否与实际 VIP 规则一致。</w:t>
      </w:r>
    </w:p>
    <w:p w14:paraId="7FB3C05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上线检查：</w:t>
      </w:r>
      <w:r>
        <w:rPr>
          <w:rFonts w:ascii="微软雅黑" w:hAnsi="微软雅黑" w:eastAsia="微软雅黑"/>
          <w:b w:val="0"/>
          <w:sz w:val="20"/>
        </w:rPr>
        <w:t>保存模板前重点检查模板类型、组件顺序、图片尺寸、跳转链接、颜色风格、按钮效果和手机端预览展示。</w:t>
      </w:r>
    </w:p>
    <w:p w14:paraId="58A85BEC">
      <w:pPr>
        <w:pStyle w:val="16"/>
        <w:numPr>
          <w:numId w:val="0"/>
        </w:numPr>
        <w:spacing w:after="40" w:line="276" w:lineRule="auto"/>
        <w:ind w:leftChars="0"/>
      </w:pPr>
    </w:p>
    <w:p w14:paraId="5BD504D3">
      <w:pPr>
        <w:pStyle w:val="5"/>
        <w:keepNext/>
        <w:spacing w:before="180" w:after="100" w:lineRule="auto" w:line="259"/>
        <w:rPr>
          <w:sz w:val="24"/>
          <w:szCs w:val="28"/>
        </w:rPr>
      </w:pPr>
      <w:r>
        <w:rPr>
          <w:rFonts w:ascii="微软雅黑" w:hAnsi="微软雅黑" w:eastAsia="微软雅黑"/>
          <w:b/>
          <w:color w:val="2F5597"/>
          <w:sz w:val="25"/>
          <w:szCs w:val="28"/>
        </w:rPr>
        <w:t>站点</w:t>
      </w:r>
      <w:r>
        <w:rPr>
          <w:rFonts w:hint="eastAsia" w:ascii="微软雅黑" w:hAnsi="微软雅黑" w:eastAsia="微软雅黑"/>
          <w:b/>
          <w:color w:val="2F5597"/>
          <w:sz w:val="25"/>
          <w:szCs w:val="28"/>
          <w:lang w:val="en-US" w:eastAsia="zh-CN"/>
        </w:rPr>
        <w:t>应用</w:t>
      </w:r>
      <w:r>
        <w:rPr>
          <w:rFonts w:ascii="微软雅黑" w:hAnsi="微软雅黑" w:eastAsia="微软雅黑"/>
          <w:b/>
          <w:color w:val="2F5597"/>
          <w:sz w:val="25"/>
          <w:szCs w:val="28"/>
        </w:rPr>
        <w:t>配置</w:t>
      </w:r>
    </w:p>
    <w:p w14:paraId="5AA986FC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站点</w:t>
      </w:r>
      <w:r>
        <w:rPr>
          <w:rFonts w:hint="eastAsia"/>
          <w:b w:val="0"/>
          <w:sz w:val="20"/>
          <w:lang w:val="en-US" w:eastAsia="zh-CN"/>
        </w:rPr>
        <w:t>应用</w:t>
      </w:r>
      <w:r>
        <w:rPr>
          <w:rFonts w:ascii="微软雅黑" w:hAnsi="微软雅黑" w:eastAsia="微软雅黑"/>
          <w:b w:val="0"/>
          <w:sz w:val="20"/>
        </w:rPr>
        <w:t>配置用于维护站点基础展示、首页入口、分享卡片和活动入口等前台基础配置。</w:t>
      </w:r>
    </w:p>
    <w:p w14:paraId="4954CB97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网站图标</w:t>
      </w:r>
    </w:p>
    <w:p w14:paraId="222930A4">
      <w:pPr>
        <w:spacing w:after="40"/>
        <w:jc w:val="center"/>
      </w:pPr>
      <w:r>
        <w:drawing>
          <wp:inline distT="0" distB="0" distL="114300" distR="114300">
            <wp:extent cx="5715000" cy="160718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1B9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图5：网站图标配置卡片，用于维护站点 Logo 与 Favicon。</w:t>
      </w:r>
    </w:p>
    <w:p w14:paraId="5CB786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Logo：</w:t>
      </w:r>
      <w:r>
        <w:rPr>
          <w:rFonts w:ascii="微软雅黑" w:hAnsi="微软雅黑" w:eastAsia="微软雅黑"/>
          <w:b w:val="0"/>
          <w:sz w:val="20"/>
        </w:rPr>
        <w:t>上传或替换站点主 Logo，通常展示在前台页头、登录页或品牌露出位置；需按页面提示控制图片尺寸、格式和文件大小。</w:t>
      </w:r>
    </w:p>
    <w:p w14:paraId="2A2DB8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Favicon：</w:t>
      </w:r>
      <w:r>
        <w:rPr>
          <w:rFonts w:ascii="微软雅黑" w:hAnsi="微软雅黑" w:eastAsia="微软雅黑"/>
          <w:b w:val="0"/>
          <w:sz w:val="20"/>
        </w:rPr>
        <w:t>上传浏览器标签页图标，建议使用 32*32 或等比例图片，保证在浏览器标签、收藏夹等位置清晰展示。</w:t>
      </w:r>
    </w:p>
    <w:p w14:paraId="519123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点击右上角编辑进入编辑态，替换图片后保存；保存前检查图片是否清晰、是否符合品牌规范。</w:t>
      </w:r>
    </w:p>
    <w:p w14:paraId="3C4FE6D9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币种管理</w:t>
      </w:r>
    </w:p>
    <w:p w14:paraId="53A2BE1B">
      <w:pPr>
        <w:spacing w:after="40"/>
        <w:jc w:val="center"/>
      </w:pPr>
      <w:r>
        <w:drawing>
          <wp:inline distT="0" distB="0" distL="114300" distR="114300">
            <wp:extent cx="5715000" cy="14732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E3C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图6：币种管理配置卡片，用于维护站点货币图标和货币符号。</w:t>
      </w:r>
    </w:p>
    <w:p w14:paraId="2295EF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货币图标：</w:t>
      </w:r>
      <w:r>
        <w:rPr>
          <w:rFonts w:ascii="微软雅黑" w:hAnsi="微软雅黑" w:eastAsia="微软雅黑"/>
          <w:b w:val="0"/>
          <w:sz w:val="20"/>
        </w:rPr>
        <w:t>上传前台展示用的币种图标，常用于钱包、金额、充值或活动奖励等场景。</w:t>
      </w:r>
    </w:p>
    <w:p w14:paraId="329868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货币符号：</w:t>
      </w:r>
      <w:r>
        <w:rPr>
          <w:rFonts w:ascii="微软雅黑" w:hAnsi="微软雅黑" w:eastAsia="微软雅黑"/>
          <w:b w:val="0"/>
          <w:sz w:val="20"/>
        </w:rPr>
        <w:t>配置金额前后展示的币种符号，需与站点实际结算币种保持一致。</w:t>
      </w:r>
    </w:p>
    <w:p w14:paraId="237882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点击编辑后调整图标或符号，保存前确认币种展示不会与活动、充值、提现页面口径冲突。</w:t>
      </w:r>
    </w:p>
    <w:p w14:paraId="42EF6174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分享卡片配置</w:t>
      </w:r>
    </w:p>
    <w:p w14:paraId="555E6BD3">
      <w:pPr>
        <w:spacing w:after="40"/>
        <w:jc w:val="center"/>
      </w:pPr>
      <w:r>
        <w:drawing>
          <wp:inline distT="0" distB="0" distL="114300" distR="114300">
            <wp:extent cx="5715000" cy="16960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120A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图7：分享卡片配置卡片，用于维护 Social Share / Open Graph 分享信息。</w:t>
      </w:r>
    </w:p>
    <w:p w14:paraId="018D1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og:title：</w:t>
      </w:r>
      <w:r>
        <w:rPr>
          <w:rFonts w:ascii="微软雅黑" w:hAnsi="微软雅黑" w:eastAsia="微软雅黑"/>
          <w:b w:val="0"/>
          <w:sz w:val="20"/>
        </w:rPr>
        <w:t>设置外部渠道分享时展示的标题，建议简洁表达品牌或活动主题。</w:t>
      </w:r>
    </w:p>
    <w:p w14:paraId="16BC66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og:description：</w:t>
      </w:r>
      <w:r>
        <w:rPr>
          <w:rFonts w:ascii="微软雅黑" w:hAnsi="微软雅黑" w:eastAsia="微软雅黑"/>
          <w:b w:val="0"/>
          <w:sz w:val="20"/>
        </w:rPr>
        <w:t>设置分享描述文案，用于补充说明站点、活动或推广卖点。</w:t>
      </w:r>
    </w:p>
    <w:p w14:paraId="0DD331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og:image：</w:t>
      </w:r>
      <w:r>
        <w:rPr>
          <w:rFonts w:ascii="微软雅黑" w:hAnsi="微软雅黑" w:eastAsia="微软雅黑"/>
          <w:b w:val="0"/>
          <w:sz w:val="20"/>
        </w:rPr>
        <w:t>上传分享预览图，需检查图片比例、清晰度和裁切效果。</w:t>
      </w:r>
    </w:p>
    <w:p w14:paraId="41881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og:url：</w:t>
      </w:r>
      <w:r>
        <w:rPr>
          <w:rFonts w:ascii="微软雅黑" w:hAnsi="微软雅黑" w:eastAsia="微软雅黑"/>
          <w:b w:val="0"/>
          <w:sz w:val="20"/>
        </w:rPr>
        <w:t>设置分享落地地址，需确认链接可访问且与当前活动或站点入口一致。</w:t>
      </w:r>
    </w:p>
    <w:p w14:paraId="70A219B5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侧滑优惠中心</w:t>
      </w:r>
    </w:p>
    <w:p w14:paraId="4134DE7F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0143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图8：侧滑优惠中心配置卡片，用于维护前台侧滑活动入口。</w:t>
      </w:r>
    </w:p>
    <w:p w14:paraId="603773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活动卡片：</w:t>
      </w:r>
      <w:r>
        <w:rPr>
          <w:rFonts w:ascii="微软雅黑" w:hAnsi="微软雅黑" w:eastAsia="微软雅黑"/>
          <w:b w:val="0"/>
          <w:sz w:val="20"/>
        </w:rPr>
        <w:t>每个卡片对应一个侧滑入口，包含标识、名称、路由、排序、图标和启用状态。</w:t>
      </w:r>
    </w:p>
    <w:p w14:paraId="18A3F27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新增：</w:t>
      </w:r>
      <w:r>
        <w:rPr>
          <w:rFonts w:ascii="微软雅黑" w:hAnsi="微软雅黑" w:eastAsia="微软雅黑"/>
          <w:b w:val="0"/>
          <w:sz w:val="20"/>
        </w:rPr>
        <w:t>点击右上角新增创建新的侧滑入口，填写名称、路由、排序并上传图标。</w:t>
      </w:r>
    </w:p>
    <w:p w14:paraId="7F2ACB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启用状态：</w:t>
      </w:r>
      <w:r>
        <w:rPr>
          <w:rFonts w:ascii="微软雅黑" w:hAnsi="微软雅黑" w:eastAsia="微软雅黑"/>
          <w:b w:val="0"/>
          <w:sz w:val="20"/>
        </w:rPr>
        <w:t>开关开启后前台展示，关闭后隐藏；排序数字越小通常展示越靠前。</w:t>
      </w:r>
    </w:p>
    <w:p w14:paraId="2CE7F81E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首页快捷操作配置</w:t>
      </w:r>
    </w:p>
    <w:p w14:paraId="5928A28D">
      <w:pPr>
        <w:spacing w:after="40"/>
        <w:jc w:val="center"/>
      </w:pPr>
      <w:r>
        <w:drawing>
          <wp:inline distT="0" distB="0" distL="114300" distR="114300">
            <wp:extent cx="57150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60DE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图9：首页快捷操作配置卡片，用于维护首页快捷入口。</w:t>
      </w:r>
    </w:p>
    <w:p w14:paraId="2AD5049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快捷入口：</w:t>
      </w:r>
      <w:r>
        <w:rPr>
          <w:rFonts w:ascii="微软雅黑" w:hAnsi="微软雅黑" w:eastAsia="微软雅黑"/>
          <w:b w:val="0"/>
          <w:sz w:val="20"/>
        </w:rPr>
        <w:t>配置首页常用功能入口，如分享赚钱、待领取、利息宝、实时返水、任务中心、VIP 等。</w:t>
      </w:r>
    </w:p>
    <w:p w14:paraId="43B6BD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展示信息：</w:t>
      </w:r>
      <w:r>
        <w:rPr>
          <w:rFonts w:ascii="微软雅黑" w:hAnsi="微软雅黑" w:eastAsia="微软雅黑"/>
          <w:b w:val="0"/>
          <w:sz w:val="20"/>
        </w:rPr>
        <w:t>每个入口包含名称、路由、排序、颜色、图标和启用状态。</w:t>
      </w:r>
    </w:p>
    <w:p w14:paraId="1B56C3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通过新增、编辑、删除维护入口列表；保存前检查路由、图标和排序。</w:t>
      </w:r>
    </w:p>
    <w:p w14:paraId="0EA33020">
      <w:pPr>
        <w:pStyle w:val="6"/>
        <w:keepNext/>
        <w:spacing w:before="120" w:after="60" w:lineRule="auto" w:line="252"/>
      </w:pPr>
      <w:r>
        <w:rPr>
          <w:rFonts w:ascii="微软雅黑" w:hAnsi="微软雅黑" w:eastAsia="微软雅黑"/>
          <w:b/>
          <w:color w:val="44546A"/>
          <w:sz w:val="22"/>
        </w:rPr>
        <w:t>首页悬浮按钮配置</w:t>
      </w:r>
    </w:p>
    <w:p w14:paraId="557875E2">
      <w:pPr>
        <w:spacing w:after="40"/>
        <w:jc w:val="center"/>
      </w:pPr>
      <w:r>
        <w:drawing>
          <wp:inline distT="0" distB="0" distL="114300" distR="114300">
            <wp:extent cx="5715000" cy="1875155"/>
            <wp:effectExtent l="0" t="0" r="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186">
      <w:pPr>
        <w:spacing w:after="80"/>
        <w:jc w:val="center"/>
      </w:pPr>
      <w:r>
        <w:rPr>
          <w:rFonts w:ascii="微软雅黑" w:hAnsi="微软雅黑" w:eastAsia="微软雅黑"/>
          <w:b w:val="0"/>
          <w:color w:val="606C80"/>
          <w:sz w:val="18"/>
        </w:rPr>
        <w:t>图10：首页悬浮按钮配置卡片，用于维护首页左右侧悬浮按钮组。</w:t>
      </w:r>
    </w:p>
    <w:p w14:paraId="5BE4C7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悬浮框：</w:t>
      </w:r>
      <w:r>
        <w:rPr>
          <w:rFonts w:ascii="微软雅黑" w:hAnsi="微软雅黑" w:eastAsia="微软雅黑"/>
          <w:b w:val="0"/>
          <w:sz w:val="20"/>
        </w:rPr>
        <w:t>按左侧或右侧配置悬浮按钮组，每组包含位置、排序、按钮数和启用状态。</w:t>
      </w:r>
    </w:p>
    <w:p w14:paraId="5E63988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按钮项：</w:t>
      </w:r>
      <w:r>
        <w:rPr>
          <w:rFonts w:ascii="微软雅黑" w:hAnsi="微软雅黑" w:eastAsia="微软雅黑"/>
          <w:b w:val="0"/>
          <w:sz w:val="20"/>
        </w:rPr>
        <w:t>每个按钮项可配置图标、名称、跳转目标和开关状态。</w:t>
      </w:r>
    </w:p>
    <w:p w14:paraId="42B2AC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操作方式：</w:t>
      </w:r>
      <w:r>
        <w:rPr>
          <w:rFonts w:ascii="微软雅黑" w:hAnsi="微软雅黑" w:eastAsia="微软雅黑"/>
          <w:b w:val="0"/>
          <w:sz w:val="20"/>
        </w:rPr>
        <w:t>点击新增创建悬浮框，点击编辑维护按钮项；保存前检查左右位置是否冲突、移动端是否遮挡主要内容。</w:t>
      </w:r>
    </w:p>
    <w:p w14:paraId="5ED5CAEC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品牌设置</w:t>
      </w:r>
    </w:p>
    <w:p w14:paraId="2EE786A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用于处理“品牌设置”相关后台业务，具体说明可在后续补充截图时继续细化。</w:t>
      </w:r>
    </w:p>
    <w:p w14:paraId="337B1AA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D4F24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A9DF58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站点域名</w:t>
      </w:r>
    </w:p>
    <w:p w14:paraId="41A68F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用于处理“站点域名”相关后台业务，具体说明可在后续补充截图时继续细化。</w:t>
      </w:r>
    </w:p>
    <w:p w14:paraId="5C5A66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84449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2387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客服配置</w:t>
      </w:r>
    </w:p>
    <w:p w14:paraId="4605F1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用于处理“客服配置”相关后台业务，具体说明可在后续补充截图时继续细化。</w:t>
      </w:r>
    </w:p>
    <w:p w14:paraId="031D6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4171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3533C1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分享配置</w:t>
      </w:r>
    </w:p>
    <w:p w14:paraId="52B668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用于处理“分享配置”相关后台业务，具体说明可在后续补充截图时继续细化。</w:t>
      </w:r>
    </w:p>
    <w:p w14:paraId="192829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DAA842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506ED41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第三方登录配置</w:t>
      </w:r>
    </w:p>
    <w:p w14:paraId="0F215A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用于处理“第三方登录配置”相关后台业务，具体说明可在后续补充截图时继续细化。</w:t>
      </w:r>
    </w:p>
    <w:p w14:paraId="025A64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26B1B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4C8E05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支付通道配置</w:t>
      </w:r>
    </w:p>
    <w:p w14:paraId="48343A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用于处理“支付通道配置”相关后台业务，具体说明可在后续补充截图时继续细化。</w:t>
      </w:r>
    </w:p>
    <w:p w14:paraId="24224A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FF1DDC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BA2849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广告埋点配置</w:t>
      </w:r>
    </w:p>
    <w:p w14:paraId="65CC74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用于处理“广告埋点配置”相关后台业务，具体说明可在后续补充截图时继续细化。</w:t>
      </w:r>
    </w:p>
    <w:p w14:paraId="1D4CCE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06CE9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A8A80AC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音乐管理</w:t>
      </w:r>
    </w:p>
    <w:p w14:paraId="2556DC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用于处理“音乐管理”相关后台业务，具体说明可在后续补充截图时继续细化。</w:t>
      </w:r>
    </w:p>
    <w:p w14:paraId="73C194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CAF08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0489EA7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五、运营中心</w:t>
      </w:r>
    </w:p>
    <w:p w14:paraId="243C499A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7FA3E1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D4CFE54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9FAB625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用户分群思维导图</w:t>
      </w:r>
    </w:p>
    <w:p w14:paraId="495530D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用于处理“用户分群思维导图”相关后台业务，具体说明可在后续补充截图时继续细化。</w:t>
      </w:r>
    </w:p>
    <w:p w14:paraId="2545681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8073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E329C9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站点维护管理</w:t>
      </w:r>
    </w:p>
    <w:p w14:paraId="023444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用于处理“站点维护管理”相关后台业务，具体说明可在后续补充截图时继续细化。</w:t>
      </w:r>
    </w:p>
    <w:p w14:paraId="64E1C5F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201B9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F87390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平台公告</w:t>
      </w:r>
    </w:p>
    <w:p w14:paraId="3F3C1E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用于处理“平台公告”相关后台业务，具体说明可在后续补充截图时继续细化。</w:t>
      </w:r>
    </w:p>
    <w:p w14:paraId="6C204C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F2660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4C9FC42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给平台提建议</w:t>
      </w:r>
    </w:p>
    <w:p w14:paraId="4E2D2F9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用于处理“给平台提建议”相关后台业务，具体说明可在后续补充截图时继续细化。</w:t>
      </w:r>
    </w:p>
    <w:p w14:paraId="6E1041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A7FDAF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9E645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会员投诉列表</w:t>
      </w:r>
    </w:p>
    <w:p w14:paraId="6EB7F8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用于处理“会员投诉列表”相关后台业务，具体说明可在后续补充截图时继续细化。</w:t>
      </w:r>
    </w:p>
    <w:p w14:paraId="5B7BEB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9E61E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EC7769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消息推送</w:t>
      </w:r>
    </w:p>
    <w:p w14:paraId="1BA89E8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用于处理“消息推送”相关后台业务，具体说明可在后续补充截图时继续细化。</w:t>
      </w:r>
    </w:p>
    <w:p w14:paraId="5970A2A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F4989B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DEBA92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宣传管理</w:t>
      </w:r>
    </w:p>
    <w:p w14:paraId="5D11006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用于处理“宣传管理”相关后台业务，具体说明可在后续补充截图时继续细化。</w:t>
      </w:r>
    </w:p>
    <w:p w14:paraId="3F65D83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EF60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9D66ED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客服中心</w:t>
      </w:r>
    </w:p>
    <w:p w14:paraId="78D074B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用于处理“客服中心”相关后台业务，具体说明可在后续补充截图时继续细化。</w:t>
      </w:r>
    </w:p>
    <w:p w14:paraId="1388BF3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4203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3F86C3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任务中心</w:t>
      </w:r>
    </w:p>
    <w:p w14:paraId="34F62E7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用于处理“任务中心”相关后台业务，具体说明可在后续补充截图时继续细化。</w:t>
      </w:r>
    </w:p>
    <w:p w14:paraId="381E64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BF90CD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5A28C8D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落地页管理</w:t>
      </w:r>
    </w:p>
    <w:p w14:paraId="435042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用于处理“落地页管理”相关后台业务，具体说明可在后续补充截图时继续细化。</w:t>
      </w:r>
    </w:p>
    <w:p w14:paraId="55BB8F9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C30472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7C06F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活动排行统计</w:t>
      </w:r>
    </w:p>
    <w:p w14:paraId="3617A24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用于处理“活动排行统计”相关后台业务，具体说明可在后续补充截图时继续细化。</w:t>
      </w:r>
    </w:p>
    <w:p w14:paraId="5728F15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56161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F49B09C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六、优惠活动</w:t>
      </w:r>
    </w:p>
    <w:p w14:paraId="672254AC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D010F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23A8F73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489C7955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优惠活动列表</w:t>
      </w:r>
    </w:p>
    <w:p w14:paraId="2CCB15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用于处理“优惠活动列表”相关后台业务，具体说明可在后续补充截图时继续细化。</w:t>
      </w:r>
    </w:p>
    <w:p w14:paraId="60673AB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8814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E0C8557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幸运转盘配置</w:t>
      </w:r>
    </w:p>
    <w:p w14:paraId="69DA5D4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用于处理“幸运转盘配置”相关后台业务，具体说明可在后续补充截图时继续细化。</w:t>
      </w:r>
    </w:p>
    <w:p w14:paraId="373615F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A15085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6D48AC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新增活动</w:t>
      </w:r>
    </w:p>
    <w:p w14:paraId="5E2A09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用于处理“新增活动”相关后台业务，具体说明可在后续补充截图时继续细化。</w:t>
      </w:r>
    </w:p>
    <w:p w14:paraId="13C8425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9FE4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BFA7C18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活动分析</w:t>
      </w:r>
    </w:p>
    <w:p w14:paraId="4830525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用于处理“活动分析”相关后台业务，具体说明可在后续补充截图时继续细化。</w:t>
      </w:r>
    </w:p>
    <w:p w14:paraId="526A0D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916D95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888D1C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65155C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176BB0A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6F121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F5B3AE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票券中心</w:t>
      </w:r>
    </w:p>
    <w:p w14:paraId="18543AA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用于处理“票券中心”相关后台业务，具体说明可在后续补充截图时继续细化。</w:t>
      </w:r>
    </w:p>
    <w:p w14:paraId="426C512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55F9E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B5E40D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票券使用记录</w:t>
      </w:r>
    </w:p>
    <w:p w14:paraId="23744D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用于处理“票券使用记录”相关后台业务，具体说明可在后续补充截图时继续细化。</w:t>
      </w:r>
    </w:p>
    <w:p w14:paraId="57D3FC2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E9060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11BE088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全局配置</w:t>
      </w:r>
    </w:p>
    <w:p w14:paraId="1051BA3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用于处理“全局配置”相关后台业务，具体说明可在后续补充截图时继续细化。</w:t>
      </w:r>
    </w:p>
    <w:p w14:paraId="61887E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F047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3F0063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七、财务中心</w:t>
      </w:r>
    </w:p>
    <w:p w14:paraId="3CB29151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7616E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1ECDFC1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3EECD788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会员提现设置</w:t>
      </w:r>
    </w:p>
    <w:p w14:paraId="136D534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用于处理“会员提现设置”相关后台业务，具体说明可在后续补充截图时继续细化。</w:t>
      </w:r>
    </w:p>
    <w:p w14:paraId="2639D9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0735A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33CA22C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会员充值配置</w:t>
      </w:r>
    </w:p>
    <w:p w14:paraId="2E60B06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用于处理“会员充值配置”相关后台业务，具体说明可在后续补充截图时继续细化。</w:t>
      </w:r>
    </w:p>
    <w:p w14:paraId="381DA6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EC1EF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C845537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充值订单列表</w:t>
      </w:r>
    </w:p>
    <w:p w14:paraId="205232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用于处理“充值订单列表”相关后台业务，具体说明可在后续补充截图时继续细化。</w:t>
      </w:r>
    </w:p>
    <w:p w14:paraId="13F76F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B22D9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C231D4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提现订单列表</w:t>
      </w:r>
    </w:p>
    <w:p w14:paraId="179D9B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用于处理“提现订单列表”相关后台业务，具体说明可在后续补充截图时继续细化。</w:t>
      </w:r>
    </w:p>
    <w:p w14:paraId="47BF752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700BF6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8BC6AE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提现风控审核</w:t>
      </w:r>
    </w:p>
    <w:p w14:paraId="7FE746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用于处理“提现风控审核”相关后台业务，具体说明可在后续补充截图时继续细化。</w:t>
      </w:r>
    </w:p>
    <w:p w14:paraId="3ACBAF3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13A79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761347B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支付通道数据</w:t>
      </w:r>
    </w:p>
    <w:p w14:paraId="6F853A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用于处理“支付通道数据”相关后台业务，具体说明可在后续补充截图时继续细化。</w:t>
      </w:r>
    </w:p>
    <w:p w14:paraId="796E58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FCB78F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CF38EB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人工加扣款</w:t>
      </w:r>
    </w:p>
    <w:p w14:paraId="1A4652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用于处理“人工加扣款”相关后台业务，具体说明可在后续补充截图时继续细化。</w:t>
      </w:r>
    </w:p>
    <w:p w14:paraId="33F6561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0D752B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3760425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账变记录</w:t>
      </w:r>
    </w:p>
    <w:p w14:paraId="2031CFE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用于处理“账变记录”相关后台业务，具体说明可在后续补充截图时继续细化。</w:t>
      </w:r>
    </w:p>
    <w:p w14:paraId="7681523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B1CF29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24545B9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资金账变类型</w:t>
      </w:r>
    </w:p>
    <w:p w14:paraId="582B6D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用于处理“资金账变类型”相关后台业务，具体说明可在后续补充截图时继续细化。</w:t>
      </w:r>
    </w:p>
    <w:p w14:paraId="38A4628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52E7F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E3C5FA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打码管理</w:t>
      </w:r>
    </w:p>
    <w:p w14:paraId="10EDADE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用于处理“打码管理”相关后台业务，具体说明可在后续补充截图时继续细化。</w:t>
      </w:r>
    </w:p>
    <w:p w14:paraId="28C0B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4A3443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5C4E9E9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八、数据报表</w:t>
      </w:r>
    </w:p>
    <w:p w14:paraId="5016B412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EA7E716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6892336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82E6EB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综合数据报表</w:t>
      </w:r>
    </w:p>
    <w:p w14:paraId="71D0E1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用于处理“综合数据报表”相关后台业务，具体说明可在后续补充截图时继续细化。</w:t>
      </w:r>
    </w:p>
    <w:p w14:paraId="4CCC9C0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FBB1CE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D9CF65D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游戏人数据表</w:t>
      </w:r>
    </w:p>
    <w:p w14:paraId="3FDFD4E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用于处理“游戏人数据表”相关后台业务，具体说明可在后续补充截图时继续细化。</w:t>
      </w:r>
    </w:p>
    <w:p w14:paraId="2A372C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3A1EB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380F61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优惠数据报表</w:t>
      </w:r>
    </w:p>
    <w:p w14:paraId="370C463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用于处理“优惠数据报表”相关后台业务，具体说明可在后续补充截图时继续细化。</w:t>
      </w:r>
    </w:p>
    <w:p w14:paraId="0B41744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1F88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72DC0E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充值留存报表</w:t>
      </w:r>
    </w:p>
    <w:p w14:paraId="4174512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用于处理“充值留存报表”相关后台业务，具体说明可在后续补充截图时继续细化。</w:t>
      </w:r>
    </w:p>
    <w:p w14:paraId="6BEC154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430BBD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B51C8CF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代理结算明细</w:t>
      </w:r>
    </w:p>
    <w:p w14:paraId="52DBC36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用于处理“代理结算明细”相关后台业务，具体说明可在后续补充截图时继续细化。</w:t>
      </w:r>
    </w:p>
    <w:p w14:paraId="26C8346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9F54BE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28AA85F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VIP数据统计</w:t>
      </w:r>
    </w:p>
    <w:p w14:paraId="46FE16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用于处理“VIP数据统计”相关后台业务，具体说明可在后续补充截图时继续细化。</w:t>
      </w:r>
    </w:p>
    <w:p w14:paraId="1FE009F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DBBEE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928B10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数据排行</w:t>
      </w:r>
    </w:p>
    <w:p w14:paraId="5592D4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用于处理“数据排行”相关后台业务，具体说明可在后续补充截图时继续细化。</w:t>
      </w:r>
    </w:p>
    <w:p w14:paraId="074DA6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0B5C08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5BCB24D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游戏记录</w:t>
      </w:r>
    </w:p>
    <w:p w14:paraId="2FF4082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用于处理“游戏记录”相关后台业务，具体说明可在后续补充截图时继续细化。</w:t>
      </w:r>
    </w:p>
    <w:p w14:paraId="36A1073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1FDEC7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82256E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用户留存</w:t>
      </w:r>
    </w:p>
    <w:p w14:paraId="068C61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用于处理“用户留存”相关后台业务，具体说明可在后续补充截图时继续细化。</w:t>
      </w:r>
    </w:p>
    <w:p w14:paraId="07D9A0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3E6B7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F4FB0CF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用户分析</w:t>
      </w:r>
    </w:p>
    <w:p w14:paraId="68C14E7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用于处理“用户分析”相关后台业务，具体说明可在后续补充截图时继续细化。</w:t>
      </w:r>
    </w:p>
    <w:p w14:paraId="5A960B5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4EAB43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E8DFB1B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LTV</w:t>
      </w:r>
    </w:p>
    <w:p w14:paraId="1D0A67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用于处理“LTV”相关后台业务，具体说明可在后续补充截图时继续细化。</w:t>
      </w:r>
    </w:p>
    <w:p w14:paraId="74FB09E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CE9B16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2DD9253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活动统计报表</w:t>
      </w:r>
    </w:p>
    <w:p w14:paraId="02EC7D2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用于处理“活动统计报表”相关后台业务，具体说明可在后续补充截图时继续细化。</w:t>
      </w:r>
    </w:p>
    <w:p w14:paraId="62193E0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404AA9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3D9923F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充值分布表</w:t>
      </w:r>
    </w:p>
    <w:p w14:paraId="0177E31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用于处理“充值分布表”相关后台业务，具体说明可在后续补充截图时继续细化。</w:t>
      </w:r>
    </w:p>
    <w:p w14:paraId="2B8BD3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2536C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28F47D2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任务统计报表</w:t>
      </w:r>
    </w:p>
    <w:p w14:paraId="58FECAC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用于处理“任务统计报表”相关后台业务，具体说明可在后续补充截图时继续细化。</w:t>
      </w:r>
    </w:p>
    <w:p w14:paraId="1652A51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3B31F6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59DE9601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用户分群查询</w:t>
      </w:r>
    </w:p>
    <w:p w14:paraId="23EFCE2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用于处理“用户分群查询”相关后台业务，具体说明可在后续补充截图时继续细化。</w:t>
      </w:r>
    </w:p>
    <w:p w14:paraId="766525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EB15B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8FBAEC0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九、游戏中心</w:t>
      </w:r>
    </w:p>
    <w:p w14:paraId="7FE60D52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A5B98BB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47740A8C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5D44EC52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推荐频道管理</w:t>
      </w:r>
    </w:p>
    <w:p w14:paraId="76E175E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用于处理“推荐频道管理”相关后台业务，具体说明可在后续补充截图时继续细化。</w:t>
      </w:r>
    </w:p>
    <w:p w14:paraId="690792F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0B2847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EA5E4B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游戏类型设置</w:t>
      </w:r>
    </w:p>
    <w:p w14:paraId="2219A3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用于处理“游戏类型设置”相关后台业务，具体说明可在后续补充截图时继续细化。</w:t>
      </w:r>
    </w:p>
    <w:p w14:paraId="1EEA60D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EFA37E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B2C4F27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游戏频道管理</w:t>
      </w:r>
    </w:p>
    <w:p w14:paraId="40EE5EC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用于处理“游戏频道管理”相关后台业务，具体说明可在后续补充截图时继续细化。</w:t>
      </w:r>
    </w:p>
    <w:p w14:paraId="44D7AFB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1A8A96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618AAB0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子游戏列表</w:t>
      </w:r>
    </w:p>
    <w:p w14:paraId="40658A9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用于处理“子游戏列表”相关后台业务，具体说明可在后续补充截图时继续细化。</w:t>
      </w:r>
    </w:p>
    <w:p w14:paraId="44EAB25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788EBF9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D89B257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游戏统计</w:t>
      </w:r>
    </w:p>
    <w:p w14:paraId="17C3904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用于处理“游戏统计”相关后台业务，具体说明可在后续补充截图时继续细化。</w:t>
      </w:r>
    </w:p>
    <w:p w14:paraId="0E2F2B7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8B102C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1EEA7F1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游戏厂商统计</w:t>
      </w:r>
    </w:p>
    <w:p w14:paraId="6B4E1F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用于处理“游戏厂商统计”相关后台业务，具体说明可在后续补充截图时继续细化。</w:t>
      </w:r>
    </w:p>
    <w:p w14:paraId="335E47C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22ECE1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4C4832E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十、用户管理</w:t>
      </w:r>
    </w:p>
    <w:p w14:paraId="33F41098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A2B0F0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3F1E533F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859F249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在线玩家列表</w:t>
      </w:r>
    </w:p>
    <w:p w14:paraId="5641BA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用于处理“在线玩家列表”相关后台业务，具体说明可在后续补充截图时继续细化。</w:t>
      </w:r>
    </w:p>
    <w:p w14:paraId="083D906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C015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114301A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所有会员</w:t>
      </w:r>
    </w:p>
    <w:p w14:paraId="7E8B79D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用于处理“所有会员”相关后台业务，具体说明可在后续补充截图时继续细化。</w:t>
      </w:r>
    </w:p>
    <w:p w14:paraId="399488F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364D76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53421E3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VIP设置</w:t>
      </w:r>
    </w:p>
    <w:p w14:paraId="729E762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用于处理“VIP设置”相关后台业务，具体说明可在后续补充截图时继续细化。</w:t>
      </w:r>
    </w:p>
    <w:p w14:paraId="0F373DE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9BA500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C6CA3D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有奖反馈</w:t>
      </w:r>
    </w:p>
    <w:p w14:paraId="717DD10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用于处理“有奖反馈”相关后台业务，具体说明可在后续补充截图时继续细化。</w:t>
      </w:r>
    </w:p>
    <w:p w14:paraId="4E6976F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C00165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557F0E8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十一、代理中心</w:t>
      </w:r>
    </w:p>
    <w:p w14:paraId="6AE93606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74E2E54E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1377E732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314494A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代理列表</w:t>
      </w:r>
    </w:p>
    <w:p w14:paraId="0C170B7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用于处理“代理列表”相关后台业务，具体说明可在后续补充截图时继续细化。</w:t>
      </w:r>
    </w:p>
    <w:p w14:paraId="0EF840D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4A30A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B2F927C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代理配置</w:t>
      </w:r>
    </w:p>
    <w:p w14:paraId="28011AC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用于处理“代理配置”相关后台业务，具体说明可在后续补充截图时继续细化。</w:t>
      </w:r>
    </w:p>
    <w:p w14:paraId="184D7C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5773D4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A8BCCC2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代理领取记录</w:t>
      </w:r>
    </w:p>
    <w:p w14:paraId="627B18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用于处理“代理领取记录”相关后台业务，具体说明可在后续补充截图时继续细化。</w:t>
      </w:r>
    </w:p>
    <w:p w14:paraId="0B01704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2CA078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3B26D9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代理数据查询</w:t>
      </w:r>
    </w:p>
    <w:p w14:paraId="12170BA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用于处理“代理数据查询”相关后台业务，具体说明可在后续补充截图时继续细化。</w:t>
      </w:r>
    </w:p>
    <w:p w14:paraId="19F214C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6278EA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74D3D42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十二、风险中心</w:t>
      </w:r>
    </w:p>
    <w:p w14:paraId="7208F2D2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34F9B4F2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27AAD9D0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AC7DCE7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黑名单</w:t>
      </w:r>
    </w:p>
    <w:p w14:paraId="694CAF9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用于处理“黑名单”相关后台业务，具体说明可在后续补充截图时继续细化。</w:t>
      </w:r>
    </w:p>
    <w:p w14:paraId="0F0EAAC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B6D00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4F6DF181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刷子监控</w:t>
      </w:r>
    </w:p>
    <w:p w14:paraId="0A32899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用于处理“刷子监控”相关后台业务，具体说明可在后续补充截图时继续细化。</w:t>
      </w:r>
    </w:p>
    <w:p w14:paraId="392C16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0541615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9A82894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游戏获利监控</w:t>
      </w:r>
    </w:p>
    <w:p w14:paraId="5A7757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用于处理“游戏获利监控”相关后台业务，具体说明可在后续补充截图时继续细化。</w:t>
      </w:r>
    </w:p>
    <w:p w14:paraId="1FBD2CF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C100D4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9A02A3E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十三、商户中心</w:t>
      </w:r>
    </w:p>
    <w:p w14:paraId="3C317668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274A9CA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5DB9F037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BD38823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商户信息</w:t>
      </w:r>
    </w:p>
    <w:p w14:paraId="3CE12F7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用于处理“商户信息”相关后台业务，具体说明可在后续补充截图时继续细化。</w:t>
      </w:r>
    </w:p>
    <w:p w14:paraId="4002BBD3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F34242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C613849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商户充值</w:t>
      </w:r>
    </w:p>
    <w:p w14:paraId="6ED90DD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用于处理“商户充值”相关后台业务，具体说明可在后续补充截图时继续细化。</w:t>
      </w:r>
    </w:p>
    <w:p w14:paraId="129FF11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8CDA1F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0EFC80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充值记录</w:t>
      </w:r>
    </w:p>
    <w:p w14:paraId="12B2252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用于处理“充值记录”相关后台业务，具体说明可在后续补充截图时继续细化。</w:t>
      </w:r>
    </w:p>
    <w:p w14:paraId="1BF8571C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3BAAB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7DD52377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商户账变记录</w:t>
      </w:r>
    </w:p>
    <w:p w14:paraId="2DD24E4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用于处理“商户账变记录”相关后台业务，具体说明可在后续补充截图时继续细化。</w:t>
      </w:r>
    </w:p>
    <w:p w14:paraId="0B321B1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6D2E40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F816A64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商户账单</w:t>
      </w:r>
    </w:p>
    <w:p w14:paraId="6F551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用于处理“商户账单”相关后台业务，具体说明可在后续补充截图时继续细化。</w:t>
      </w:r>
    </w:p>
    <w:p w14:paraId="20CD7CC9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25F61E8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1057E2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十四、埋点配置</w:t>
      </w:r>
    </w:p>
    <w:p w14:paraId="1A4841E7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3D46073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036EE977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0E8B6AA6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埋点统计</w:t>
      </w:r>
    </w:p>
    <w:p w14:paraId="4ED2D2BA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用于处理“埋点统计”相关后台业务，具体说明可在后续补充截图时继续细化。</w:t>
      </w:r>
    </w:p>
    <w:p w14:paraId="6171D0A8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FA6B70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62A7254E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会话列表</w:t>
      </w:r>
    </w:p>
    <w:p w14:paraId="274DE27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用于处理“会话列表”相关后台业务，具体说明可在后续补充截图时继续细化。</w:t>
      </w:r>
    </w:p>
    <w:p w14:paraId="104803E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79297A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0691814E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事件流水</w:t>
      </w:r>
    </w:p>
    <w:p w14:paraId="6DF9B16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用于处理“事件流水”相关后台业务，具体说明可在后续补充截图时继续细化。</w:t>
      </w:r>
    </w:p>
    <w:p w14:paraId="63543BC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5E3A06D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4EAE7AC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十五、人事中心</w:t>
      </w:r>
    </w:p>
    <w:p w14:paraId="7AC80F8A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模块定位</w:t>
      </w:r>
    </w:p>
    <w:p w14:paraId="12BC2C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本章节按后台真实菜单顺序整理，页面说明与后台左侧菜单保持一致，便于商户按菜单路径查找和操作。</w:t>
      </w:r>
    </w:p>
    <w:p w14:paraId="746668F0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页面说明</w:t>
      </w:r>
    </w:p>
    <w:p w14:paraId="60DB4134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账号管理</w:t>
      </w:r>
    </w:p>
    <w:p w14:paraId="3E752984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用于处理“账号管理”相关后台业务，具体说明可在后续补充截图时继续细化。</w:t>
      </w:r>
    </w:p>
    <w:p w14:paraId="757E6A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49F397F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3F94B793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日志管理</w:t>
      </w:r>
    </w:p>
    <w:p w14:paraId="60076406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页面说明：</w:t>
      </w:r>
      <w:r>
        <w:rPr>
          <w:rFonts w:ascii="微软雅黑" w:hAnsi="微软雅黑" w:eastAsia="微软雅黑"/>
          <w:b w:val="0"/>
          <w:sz w:val="20"/>
        </w:rPr>
        <w:t>日志管理用于查看后台账号登录、操作和系统异常相关记录。</w:t>
      </w:r>
    </w:p>
    <w:p w14:paraId="0E6C1E1E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管理员登录日志</w:t>
      </w:r>
    </w:p>
    <w:p w14:paraId="4905F31E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用于处理“管理员登录日志”相关后台业务，具体说明可在后续补充截图时继续细化。</w:t>
      </w:r>
    </w:p>
    <w:p w14:paraId="6807C3E5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2C7ABA1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608BA6D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管理员操作日志</w:t>
      </w:r>
    </w:p>
    <w:p w14:paraId="7B2F9F17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用于处理“管理员操作日志”相关后台业务，具体说明可在后续补充截图时继续细化。</w:t>
      </w:r>
    </w:p>
    <w:p w14:paraId="75CD293F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1512610B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2F0E95FE">
      <w:pPr>
        <w:pStyle w:val="5"/>
        <w:keepNext/>
        <w:spacing w:before="180" w:after="100" w:lineRule="auto" w:line="259"/>
      </w:pPr>
      <w:r>
        <w:rPr>
          <w:rFonts w:ascii="微软雅黑" w:hAnsi="微软雅黑" w:eastAsia="微软雅黑"/>
          <w:b/>
          <w:color w:val="2F5597"/>
          <w:sz w:val="25"/>
        </w:rPr>
        <w:t>系统异常日志</w:t>
      </w:r>
    </w:p>
    <w:p w14:paraId="5D1D8FA2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页面介绍：</w:t>
      </w:r>
      <w:r>
        <w:rPr>
          <w:rFonts w:ascii="微软雅黑" w:hAnsi="微软雅黑" w:eastAsia="微软雅黑"/>
          <w:b w:val="0"/>
          <w:sz w:val="20"/>
        </w:rPr>
        <w:t>用于处理“系统异常日志”相关后台业务，具体说明可在后续补充截图时继续细化。</w:t>
      </w:r>
    </w:p>
    <w:p w14:paraId="42FF2620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常用操作：</w:t>
      </w:r>
      <w:r>
        <w:rPr>
          <w:rFonts w:ascii="微软雅黑" w:hAnsi="微软雅黑" w:eastAsia="微软雅黑"/>
          <w:b w:val="0"/>
          <w:sz w:val="20"/>
        </w:rPr>
        <w:t>进入页面后先通过筛选条件定位数据或配置项，再执行页面支持的新增、编辑、启用、停用、审核、导出或查看详情等操作。</w:t>
      </w:r>
    </w:p>
    <w:p w14:paraId="672CCEED">
      <w:pPr>
        <w:pStyle w:val="16"/>
        <w:spacing w:after="40" w:line="276" w:lineRule="auto"/>
      </w:pPr>
      <w:r>
        <w:rPr>
          <w:rFonts w:ascii="微软雅黑" w:hAnsi="微软雅黑" w:eastAsia="微软雅黑"/>
          <w:b/>
          <w:color w:val="254061"/>
          <w:sz w:val="20"/>
        </w:rPr>
        <w:t>后续补充：</w:t>
      </w:r>
      <w:r>
        <w:rPr>
          <w:rFonts w:ascii="微软雅黑" w:hAnsi="微软雅黑" w:eastAsia="微软雅黑"/>
          <w:b w:val="0"/>
          <w:sz w:val="20"/>
        </w:rPr>
        <w:t>按页面截图补齐关键字段、按钮说明、弹窗流程、保存校验和常见问题。</w:t>
      </w:r>
    </w:p>
    <w:p w14:paraId="176988B1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十六、典型业务流程</w:t>
      </w:r>
    </w:p>
    <w:p w14:paraId="70BB498F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新站点上线流程</w:t>
      </w:r>
    </w:p>
    <w:p w14:paraId="1BAF8B9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进入站点配置，完成模板管理、站点配置、品牌、域名、客服、分享、登录和支付相关配置。</w:t>
      </w:r>
    </w:p>
    <w:p w14:paraId="7CA0CE1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检查首页、登录、充值、客服、活动入口和分享入口。</w:t>
      </w:r>
    </w:p>
    <w:p w14:paraId="168AB731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上线后通过首页看板、数据报表和异常日志观察运行状态。</w:t>
      </w:r>
    </w:p>
    <w:p w14:paraId="18789D9E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发布活动流程</w:t>
      </w:r>
    </w:p>
    <w:p w14:paraId="4774C0F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进入优惠活动，创建或编辑活动规则。</w:t>
      </w:r>
    </w:p>
    <w:p w14:paraId="6A3597AD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检查活动展示入口、票券或任务关联、预算、领取限制和目标人群。</w:t>
      </w:r>
    </w:p>
    <w:p w14:paraId="5CFFB7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上线后通过活动报表、优惠数据报表和用户分析跟踪效果。</w:t>
      </w:r>
    </w:p>
    <w:p w14:paraId="396524D9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处理提现流程</w:t>
      </w:r>
    </w:p>
    <w:p w14:paraId="5C660526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进入财务中心的提现订单列表，筛选待审核或处理中订单。</w:t>
      </w:r>
    </w:p>
    <w:p w14:paraId="3679A57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核对会员、金额、账户、打码、风控提示和历史资金记录。</w:t>
      </w:r>
    </w:p>
    <w:p w14:paraId="0A17D8AB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无异常时通过；存在风险时转入提现风控审核或驳回，并填写处理原因。</w:t>
      </w:r>
    </w:p>
    <w:p w14:paraId="0D781796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排查用户资金问题</w:t>
      </w:r>
    </w:p>
    <w:p w14:paraId="702E2197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进入用户管理定位会员，或进入财务中心账变记录筛选会员账号。</w:t>
      </w:r>
    </w:p>
    <w:p w14:paraId="2B823D5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结合充值订单、提现订单、人工加扣款和账变记录核对完整资金链路。</w:t>
      </w:r>
    </w:p>
    <w:p w14:paraId="76A689A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需要追责时进入人事中心的管理员操作日志查询相关操作。</w:t>
      </w:r>
    </w:p>
    <w:p w14:paraId="36476B46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查看活动效果</w:t>
      </w:r>
    </w:p>
    <w:p w14:paraId="5E594233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固定活动名称、统计时间和渠道范围。</w:t>
      </w:r>
    </w:p>
    <w:p w14:paraId="26F69E7F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查看优惠活动、数据报表中的活动相关报表。</w:t>
      </w:r>
    </w:p>
    <w:p w14:paraId="65D27FAC">
      <w:pPr>
        <w:pStyle w:val="14"/>
        <w:spacing w:after="40" w:line="276" w:lineRule="auto"/>
      </w:pPr>
      <w:r>
        <w:rPr>
          <w:rFonts w:ascii="微软雅黑" w:hAnsi="微软雅黑" w:eastAsia="微软雅黑"/>
          <w:b w:val="0"/>
          <w:sz w:val="20"/>
        </w:rPr>
        <w:t>结合用户分析、充值分布、留存和 LTV 判断活动质量。</w:t>
      </w:r>
    </w:p>
    <w:p w14:paraId="22E769AC">
      <w:pPr>
        <w:pStyle w:val="3"/>
        <w:keepNext/>
        <w:spacing w:before="360" w:after="240" w:lineRule="auto" w:line="276"/>
      </w:pPr>
      <w:r>
        <w:rPr>
          <w:rFonts w:ascii="微软雅黑" w:hAnsi="微软雅黑" w:eastAsia="微软雅黑"/>
          <w:b/>
          <w:color w:val="17365D"/>
          <w:sz w:val="40"/>
        </w:rPr>
        <w:t>十七、常见问题与排查</w:t>
      </w:r>
    </w:p>
    <w:p w14:paraId="43636AFA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登录后看不到菜单</w:t>
      </w:r>
    </w:p>
    <w:p w14:paraId="08514170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确认账号状态、所选角色、站点范围和该角色是否包含对应菜单。</w:t>
      </w:r>
    </w:p>
    <w:p w14:paraId="785B3AED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列表查不到数据</w:t>
      </w:r>
    </w:p>
    <w:p w14:paraId="026AC968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检查时间范围、状态、账号、渠道等筛选条件，必要时重置后重新查询。</w:t>
      </w:r>
    </w:p>
    <w:p w14:paraId="2852C4B6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配置保存后未生效</w:t>
      </w:r>
    </w:p>
    <w:p w14:paraId="34517ADD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确认配置状态、生效时间、适用范围、缓存和当前操作站点。</w:t>
      </w:r>
    </w:p>
    <w:p w14:paraId="76452937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订单状态异常</w:t>
      </w:r>
    </w:p>
    <w:p w14:paraId="621D8BF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查看订单详情，结合支付通道数据、账变记录、操作日志和异常日志核对。</w:t>
      </w:r>
    </w:p>
    <w:p w14:paraId="22AA89DB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报表数据不一致</w:t>
      </w:r>
    </w:p>
    <w:p w14:paraId="41479B8F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确认统计时间、时区、口径、筛选条件和数据延迟。</w:t>
      </w:r>
    </w:p>
    <w:p w14:paraId="5CBC8C04">
      <w:pPr>
        <w:pStyle w:val="4"/>
        <w:keepNext/>
        <w:spacing w:before="240" w:after="140" w:lineRule="auto" w:line="269"/>
      </w:pPr>
      <w:r>
        <w:rPr>
          <w:rFonts w:ascii="微软雅黑" w:hAnsi="微软雅黑" w:eastAsia="微软雅黑"/>
          <w:b/>
          <w:color w:val="1F4E79"/>
          <w:sz w:val="30"/>
        </w:rPr>
        <w:t>需要追踪误操作</w:t>
      </w:r>
    </w:p>
    <w:p w14:paraId="527CD017">
      <w:pPr>
        <w:spacing w:after="60" w:line="276" w:lineRule="auto"/>
      </w:pPr>
      <w:r>
        <w:rPr>
          <w:rFonts w:ascii="微软雅黑" w:hAnsi="微软雅黑" w:eastAsia="微软雅黑"/>
          <w:b w:val="0"/>
          <w:sz w:val="20"/>
        </w:rPr>
        <w:t>进入人事中心的管理员操作日志，按账号、时间、模块、对象和操作类型筛选。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8766C3"/>
    <w:rsid w:val="1E20265C"/>
    <w:rsid w:val="2598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Rule="auto" w:line="276"/>
      <w:outlineLvl w:val="0"/>
    </w:pPr>
    <w:rPr>
      <w:rFonts w:asciiTheme="majorHAnsi" w:hAnsiTheme="majorHAnsi" w:eastAsiaTheme="majorEastAsia" w:cstheme="majorBidi" w:ascii="微软雅黑" w:hAnsi="微软雅黑" w:eastAsia="微软雅黑"/>
      <w:b/>
      <w:bCs/>
      <w:color w:val="17365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40" w:lineRule="auto" w:line="269"/>
      <w:outlineLvl w:val="1"/>
    </w:pPr>
    <w:rPr>
      <w:rFonts w:asciiTheme="majorHAnsi" w:hAnsiTheme="majorHAnsi" w:eastAsiaTheme="majorEastAsia" w:cstheme="majorBidi" w:ascii="微软雅黑" w:hAnsi="微软雅黑" w:eastAsia="微软雅黑"/>
      <w:b/>
      <w:bCs/>
      <w:color w:val="1F4E79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100" w:lineRule="auto" w:line="259"/>
      <w:outlineLvl w:val="2"/>
    </w:pPr>
    <w:rPr>
      <w:rFonts w:asciiTheme="majorHAnsi" w:hAnsiTheme="majorHAnsi" w:eastAsiaTheme="majorEastAsia" w:cstheme="majorBidi" w:ascii="微软雅黑" w:hAnsi="微软雅黑" w:eastAsia="微软雅黑"/>
      <w:b/>
      <w:bCs/>
      <w:color w:val="2F5597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20" w:after="60" w:lineRule="auto" w:line="252"/>
      <w:outlineLvl w:val="3"/>
    </w:pPr>
    <w:rPr>
      <w:rFonts w:asciiTheme="majorHAnsi" w:hAnsiTheme="majorHAnsi" w:eastAsiaTheme="majorEastAsia" w:cstheme="majorBidi" w:ascii="微软雅黑" w:hAnsi="微软雅黑" w:eastAsia="微软雅黑"/>
      <w:b/>
      <w:bCs/>
      <w:i/>
      <w:iCs/>
      <w:color w:val="44546A"/>
      <w:sz w:val="22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5024</Words>
  <Characters>5258</Characters>
  <Lines>0</Lines>
  <Paragraphs>0</Paragraphs>
  <TotalTime>112</TotalTime>
  <ScaleCrop>false</ScaleCrop>
  <LinksUpToDate>false</LinksUpToDate>
  <CharactersWithSpaces>5322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张海桃</cp:lastModifiedBy>
  <dcterms:modified xsi:type="dcterms:W3CDTF">2026-06-05T06:59:54Z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2052-12.1.0.26375</vt:lpwstr>
  </property>
  <property fmtid="{D5CDD505-2E9C-101B-9397-08002B2CF9AE}" pid="4" name="ICV">
    <vt:lpwstr>99A9CB47291342E0BD0D9C2873960096_12</vt:lpwstr>
  </property>
</Properties>
</file>