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rPr>
          <w:rFonts w:ascii="微软雅黑" w:hAnsi="微软雅黑" w:eastAsia="微软雅黑"/>
          <w:b w:val="0"/>
          <w:sz w:val="20"/>
        </w:rPr>
        <w:t>商户创建或维护后台账号时，只能选择系统已配置好的角色；不同角色对应不同菜单、按钮和数据范围。若角色权限不满足业务需要，需要联系平台管理员或上级管理方调整。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默认看板</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09A77A3A">
      <w:pPr>
        <w:pStyle w:val="4"/>
        <w:keepNext/>
        <w:spacing w:before="240" w:after="140" w:line="269" w:lineRule="auto"/>
      </w:pPr>
      <w:r>
        <w:rPr>
          <w:rFonts w:ascii="微软雅黑" w:hAnsi="微软雅黑" w:eastAsia="微软雅黑"/>
          <w:b/>
          <w:color w:val="1F4E79"/>
          <w:sz w:val="30"/>
        </w:rPr>
        <w:t>模块定位</w:t>
      </w:r>
    </w:p>
    <w:p w14:paraId="34C890A4">
      <w:pPr>
        <w:spacing w:after="60" w:line="276" w:lineRule="auto"/>
      </w:pPr>
      <w:r>
        <w:t>站点配置是站点基础参数与外围接入配置的入口，左侧菜单下的模板、站点、品牌、域名、客服、分享、第三方登录、支付通道、广告埋点和音乐等页面都归在这里；需要查站点展示、登录接入、支付或埋点配置时，先从这一章定位对应菜单。</w:t>
      </w:r>
    </w:p>
    <w:p w14:paraId="0A2E6C01">
      <w:pPr>
        <w:pStyle w:val="4"/>
        <w:keepNext/>
        <w:spacing w:before="240" w:after="140" w:line="269" w:lineRule="auto"/>
      </w:pPr>
      <w:r>
        <w:rPr>
          <w:rFonts w:ascii="微软雅黑" w:hAnsi="微软雅黑" w:eastAsia="微软雅黑"/>
          <w:b/>
          <w:color w:val="1F4E79"/>
          <w:sz w:val="30"/>
        </w:rPr>
        <w:t>页面说明</w:t>
      </w:r>
    </w:p>
    <w:p w14:paraId="6F34775A">
      <w:pPr>
        <w:pStyle w:val="5"/>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6"/>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6"/>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6"/>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6"/>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rPr>
          <w:rFonts w:ascii="微软雅黑" w:hAnsi="微软雅黑" w:eastAsia="微软雅黑"/>
          <w:b w:val="0"/>
          <w:sz w:val="20"/>
        </w:rPr>
        <w:t>组件说明按模板管理中常见组件逐项整理。后续补充截图时，可在对应组件下继续追加字段截图、弹窗说明或配置示例。</w:t>
      </w:r>
    </w:p>
    <w:p w14:paraId="52A0F926">
      <w:pPr>
        <w:pStyle w:val="6"/>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6"/>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6"/>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6"/>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6"/>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6"/>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6"/>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6"/>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可选择热门、老虎机、真人、棋牌、体育、捕鱼等分类；卡片可按图片、名称、厂商等不同信息组合展示。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6"/>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6"/>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5"/>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6"/>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6"/>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6"/>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2"/>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6"/>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3"/>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6"/>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4"/>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6"/>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5"/>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6"/>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6"/>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5"/>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6"/>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6"/>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6"/>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6"/>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6"/>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5"/>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6"/>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6"/>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3"/>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5"/>
        <w:keepNext/>
        <w:spacing w:before="180" w:after="100" w:line="259" w:lineRule="auto"/>
      </w:pPr>
      <w:r>
        <w:rPr>
          <w:rFonts w:ascii="微软雅黑" w:hAnsi="微软雅黑" w:eastAsia="微软雅黑"/>
          <w:b/>
          <w:color w:val="2F5597"/>
          <w:sz w:val="25"/>
        </w:rPr>
        <w:t>站点域名</w:t>
      </w:r>
    </w:p>
    <w:p w14:paraId="53159632">
      <w:r>
        <w:rPr>
          <w:rFonts w:ascii="微软雅黑" w:hAnsi="微软雅黑" w:eastAsia="微软雅黑"/>
          <w:b w:val="0"/>
          <w:sz w:val="20"/>
        </w:rPr>
        <w:t>站点域名用于维护不同业务入口的域名配置，页面通过顶部页签区分前台域名管理、后台域名管理和推广域名。操作时先根据蓝色选中态识别当前页面，再执行查询、新增、绑定站点、修改落地页模板、启用、停用或删除等操作。</w:t>
      </w:r>
    </w:p>
    <w:p w14:paraId="7E7CCF56">
      <w:pPr>
        <w:pStyle w:val="6"/>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选中状态</w:t>
      </w:r>
      <w:r>
        <w:rPr>
          <w:rFonts w:ascii="微软雅黑" w:hAnsi="微软雅黑" w:eastAsia="微软雅黑"/>
          <w:b w:val="0"/>
          <w:sz w:val="20"/>
        </w:rPr>
        <w:t>：顶部“前台域名管理”为蓝色文字并显示下划线时，代表当前列表展示前台域名数据。</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6"/>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选中状态</w:t>
      </w:r>
      <w:r>
        <w:rPr>
          <w:rFonts w:ascii="微软雅黑" w:hAnsi="微软雅黑" w:eastAsia="微软雅黑"/>
          <w:b w:val="0"/>
          <w:sz w:val="20"/>
        </w:rPr>
        <w:t>：顶部“后台域名管理”为蓝色文字并显示下划线时，代表当前列表展示后台域名数据。</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：停用会影响后台访问入口，应先确认替代后台域名可用；删除前需确认无账号、公告、白名单或运维文档仍指向该域名。</w:t>
      </w:r>
    </w:p>
    <w:p w14:paraId="08BD8EB3">
      <w:pPr>
        <w:pStyle w:val="6"/>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选中状态</w:t>
      </w:r>
      <w:r>
        <w:rPr>
          <w:rFonts w:ascii="微软雅黑" w:hAnsi="微软雅黑" w:eastAsia="微软雅黑"/>
          <w:b w:val="0"/>
          <w:sz w:val="20"/>
        </w:rPr>
        <w:t>：顶部“推广域名”为蓝色文字并显示下划线时，代表当前列表展示推广域名数据。</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6"/>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6"/>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5"/>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6"/>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28"/>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：配置用户侧看到的客服入口标题，示例为“测试”。标题应简短明确，通常用于说明客服入口名称或服务类型。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：配置用户侧客服入口的说明文案，示例为“测试说明”。可说明服务范围、在线时间或联系前需要准备的信息。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6"/>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9"/>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：显示客服渠道类型，当前原型包含 Telegram、WhatsApp、Facebook、Line。不同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6"/>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0"/>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5"/>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5"/>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等登录或验证服务。页面以配置卡片展示每个服务的启用状态、配置状态和关键参数，运营或技术人员可在上线前逐项核对。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后台绑定，保存后需用测试账号验证发送链路和号码归属是否正常。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等敏感字段时，保存前应由技术或运维人员复核来源，避免粘贴测试环境参数。</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5"/>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2"/>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5"/>
        <w:keepNext/>
        <w:spacing w:before="180" w:after="100" w:line="259" w:lineRule="auto"/>
      </w:pPr>
      <w:r>
        <w:rPr>
          <w:rFonts w:ascii="微软雅黑" w:hAnsi="微软雅黑" w:eastAsia="微软雅黑"/>
          <w:b/>
          <w:color w:val="2F5597"/>
          <w:sz w:val="25"/>
        </w:rPr>
        <w:t>广告埋点配置</w:t>
      </w:r>
    </w:p>
    <w:p w14:paraId="5D4D94E6">
      <w:pPr>
        <w:pStyle w:val="6"/>
      </w:pPr>
      <w:r>
        <w:rPr>
          <w:rFonts w:ascii="微软雅黑" w:hAnsi="微软雅黑" w:eastAsia="微软雅黑"/>
          <w:b/>
          <w:color w:val="1F4E79"/>
          <w:sz w:val="21"/>
        </w:rPr>
        <w:t>页面说明</w:t>
      </w:r>
    </w:p>
    <w:p w14:paraId="3A3A28B9">
      <w:pPr>
        <w:jc w:val="center"/>
      </w:pPr>
      <w:r>
        <w:drawing>
          <wp:inline distT="0" distB="0" distL="114300" distR="114300">
            <wp:extent cx="5943600" cy="2688590"/>
            <wp:effectExtent l="0" t="0" r="0"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4"/>
                    <a:stretch>
                      <a:fillRect/>
                    </a:stretch>
                  </pic:blipFill>
                  <pic:spPr>
                    <a:xfrm>
                      <a:off x="0" y="0"/>
                      <a:ext cx="5943600" cy="2688771"/>
                    </a:xfrm>
                    <a:prstGeom prst="rect">
                      <a:avLst/>
                    </a:prstGeom>
                  </pic:spPr>
                </pic:pic>
              </a:graphicData>
            </a:graphic>
          </wp:inline>
        </w:drawing>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6"/>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系统生成的配置唯一标识，通常用于技术排查或接口核对。列表中较长内容会省略显示，核对完整值时可进入修改弹窗或结合后台数据记录确认。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Google、Facebook测试、adjust测试等，建议使用便于运营识别的渠道或活动名称。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记录配置用途、投放批次、测试说明或特殊约定，便于后续排查和交接。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6"/>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6"/>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rPr>
          <w:rFonts w:ascii="微软雅黑" w:hAnsi="微软雅黑" w:eastAsia="微软雅黑"/>
          <w:b w:val="0"/>
          <w:sz w:val="20"/>
        </w:rPr>
        <w:t>涉及像素ID和事件标识的调整应由运营、投放或技术人员共同复核。修改线上渠道前，建议先复制当前值留档，确认新配置验证通过后再用于正式投放。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5"/>
        <w:keepNext/>
        <w:spacing w:before="180" w:after="100" w:line="259" w:lineRule="auto"/>
      </w:pPr>
      <w:r>
        <w:rPr>
          <w:rFonts w:ascii="微软雅黑" w:hAnsi="微软雅黑" w:eastAsia="微软雅黑"/>
          <w:b/>
          <w:color w:val="2F5597"/>
          <w:sz w:val="25"/>
        </w:rPr>
        <w:t>音乐管理</w:t>
      </w:r>
    </w:p>
    <w:p w14:paraId="3EB00200">
      <w:pPr>
        <w:pStyle w:val="6"/>
      </w:pPr>
      <w:r>
        <w:rPr>
          <w:rFonts w:ascii="微软雅黑" w:hAnsi="微软雅黑" w:eastAsia="微软雅黑"/>
          <w:b/>
          <w:color w:val="1F4E79"/>
          <w:sz w:val="21"/>
        </w:rPr>
        <w:t>页面说明</w:t>
      </w:r>
    </w:p>
    <w:p w14:paraId="5F957846">
      <w:pPr>
        <w:jc w:val="center"/>
      </w:pPr>
      <w:r>
        <w:drawing>
          <wp:inline distT="0" distB="0" distL="114300" distR="114300">
            <wp:extent cx="5943600" cy="1033780"/>
            <wp:effectExtent l="0" t="0" r="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5"/>
                    <a:stretch>
                      <a:fillRect/>
                    </a:stretch>
                  </pic:blipFill>
                  <pic:spPr>
                    <a:xfrm>
                      <a:off x="0" y="0"/>
                      <a:ext cx="5943600" cy="1034136"/>
                    </a:xfrm>
                    <a:prstGeom prst="rect">
                      <a:avLst/>
                    </a:prstGeom>
                  </pic:spPr>
                </pic:pic>
              </a:graphicData>
            </a:graphic>
          </wp:inline>
        </w:drawing>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6"/>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6"/>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6"/>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6"/>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6"/>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243C499A">
      <w:pPr>
        <w:pStyle w:val="4"/>
        <w:keepNext/>
        <w:spacing w:before="240" w:after="140" w:line="269" w:lineRule="auto"/>
      </w:pPr>
      <w:r>
        <w:rPr>
          <w:rFonts w:ascii="微软雅黑" w:hAnsi="微软雅黑" w:eastAsia="微软雅黑"/>
          <w:b/>
          <w:color w:val="1F4E79"/>
          <w:sz w:val="30"/>
        </w:rPr>
        <w:t>模块定位</w:t>
      </w:r>
    </w:p>
    <w:p w14:paraId="37FA3E10">
      <w:pPr>
        <w:spacing w:after="60" w:line="276" w:lineRule="auto"/>
      </w:pPr>
      <w:r>
        <w:t>运营中心聚合站点维护、公告、建议、投诉、消息、宣传、客服、任务和落地页等运营处理页面；要找站点状态、活动通知、用户反馈或客服配置时，先从这一章进入对应功能页。</w:t>
      </w:r>
    </w:p>
    <w:p w14:paraId="0D4CFE54">
      <w:pPr>
        <w:pStyle w:val="4"/>
        <w:keepNext/>
        <w:spacing w:before="240" w:after="140" w:line="269" w:lineRule="auto"/>
      </w:pPr>
      <w:r>
        <w:rPr>
          <w:rFonts w:ascii="微软雅黑" w:hAnsi="微软雅黑" w:eastAsia="微软雅黑"/>
          <w:b/>
          <w:color w:val="1F4E79"/>
          <w:sz w:val="30"/>
        </w:rPr>
        <w:t>页面说明</w:t>
      </w:r>
    </w:p>
    <w:p w14:paraId="0E329C96">
      <w:pPr>
        <w:pStyle w:val="5"/>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5"/>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7"/>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5"/>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8"/>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5"/>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9"/>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5"/>
        <w:keepNext/>
        <w:spacing w:before="180" w:after="100" w:line="259" w:lineRule="auto"/>
      </w:pPr>
      <w:r>
        <w:rPr>
          <w:rFonts w:ascii="微软雅黑" w:hAnsi="微软雅黑" w:eastAsia="微软雅黑"/>
          <w:b/>
          <w:color w:val="2F5597"/>
          <w:sz w:val="25"/>
        </w:rPr>
        <w:t>消息推送</w:t>
      </w:r>
    </w:p>
    <w:p w14:paraId="20DB1609">
      <w:pPr>
        <w:spacing w:after="60" w:line="276" w:lineRule="auto"/>
      </w:pPr>
      <w:r>
        <w:rPr>
          <w:rFonts w:ascii="微软雅黑" w:hAnsi="微软雅黑" w:eastAsia="微软雅黑"/>
          <w:b w:val="0"/>
          <w:sz w:val="20"/>
        </w:rPr>
        <w:t>消息推送用于创建和管理面向玩家展示的消息、公告和跑马灯。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0"/>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图：消息推送列表，用于管理消息、公告和跑马灯。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5"/>
        <w:keepNext/>
        <w:spacing w:before="180" w:after="100" w:line="259" w:lineRule="auto"/>
      </w:pPr>
      <w:r>
        <w:rPr>
          <w:rFonts w:ascii="微软雅黑" w:hAnsi="微软雅黑" w:eastAsia="微软雅黑"/>
          <w:b/>
          <w:color w:val="2F5597"/>
          <w:sz w:val="21"/>
        </w:rPr>
        <w:t>宣传管理</w:t>
      </w:r>
    </w:p>
    <w:p w14:paraId="2929A4B0">
      <w:pPr>
        <w:spacing w:after="60" w:line="276" w:lineRule="auto"/>
      </w:pPr>
      <w:r>
        <w:rPr>
          <w:rFonts w:ascii="微软雅黑" w:hAnsi="微软雅黑" w:eastAsia="微软雅黑"/>
          <w:b w:val="0"/>
          <w:sz w:val="20"/>
        </w:rPr>
        <w:t>宣传管理用于维护站点大厅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1"/>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图：宣传管理列表页面，用于查看宣传记录、筛选条件和行内操作。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2"/>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图：宣传管理新增弹窗，用于配置宣传类型、上传宣传图片和设置跳转内容。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5"/>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3"/>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5"/>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4"/>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6"/>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6"/>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6"/>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6"/>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7"/>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6"/>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8"/>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9"/>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5"/>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0"/>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1"/>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color w:val="17365D"/>
          <w:sz w:val="40"/>
        </w:rPr>
        <w:t>六、优惠活动</w:t>
      </w:r>
    </w:p>
    <w:p w14:paraId="672254AC">
      <w:pPr>
        <w:pStyle w:val="4"/>
        <w:keepNext/>
        <w:spacing w:before="240" w:after="140" w:line="269" w:lineRule="auto"/>
      </w:pPr>
      <w:r>
        <w:rPr>
          <w:rFonts w:ascii="微软雅黑" w:hAnsi="微软雅黑" w:eastAsia="微软雅黑"/>
          <w:b/>
          <w:color w:val="1F4E79"/>
          <w:sz w:val="30"/>
        </w:rPr>
        <w:t>模块定位</w:t>
      </w:r>
    </w:p>
    <w:p w14:paraId="27D010FE">
      <w:pPr>
        <w:spacing w:after="60" w:line="276" w:lineRule="auto"/>
      </w:pPr>
      <w:r>
        <w:t>优惠活动集中管理活动列表、转盘、票券、活动报表和全局配置，主要用于查活动、改玩法、核票券和查看活动效果；按左侧菜单找到对应活动页后，再进入具体配置项。</w:t>
      </w:r>
    </w:p>
    <w:p w14:paraId="123A8F73">
      <w:pPr>
        <w:pStyle w:val="4"/>
        <w:keepNext/>
        <w:spacing w:before="240" w:after="140" w:line="269" w:lineRule="auto"/>
      </w:pPr>
      <w:r>
        <w:rPr>
          <w:rFonts w:ascii="微软雅黑" w:hAnsi="微软雅黑" w:eastAsia="微软雅黑"/>
          <w:b/>
          <w:color w:val="1F4E79"/>
          <w:sz w:val="30"/>
        </w:rPr>
        <w:t>页面说明</w:t>
      </w:r>
    </w:p>
    <w:p w14:paraId="489C7955">
      <w:pPr>
        <w:pStyle w:val="5"/>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2"/>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3"/>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3C4029AE">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救济金：每日只能领取一次，领取比例是当日充值金额的对应的百分比</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5"/>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4"/>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5"/>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5"/>
        <w:keepNext/>
        <w:spacing w:before="180" w:after="100" w:line="259" w:lineRule="auto"/>
      </w:pPr>
      <w:r>
        <w:rPr>
          <w:rFonts w:ascii="微软雅黑" w:hAnsi="微软雅黑" w:eastAsia="微软雅黑"/>
          <w:b/>
          <w:color w:val="2F5597"/>
          <w:sz w:val="25"/>
        </w:rPr>
        <w:t>优惠数据报表</w:t>
      </w:r>
    </w:p>
    <w:p w14:paraId="01FA3C31">
      <w:pPr>
        <w:spacing w:after="60" w:line="276" w:lineRule="auto"/>
      </w:pPr>
      <w:r>
        <w:rPr>
          <w:rFonts w:ascii="微软雅黑" w:hAnsi="微软雅黑" w:eastAsia="微软雅黑"/>
          <w:b w:val="0"/>
          <w:sz w:val="20"/>
        </w:rPr>
        <w:t>优惠数据报表用于汇总查看优惠成本、优惠人数和不同优惠来源的金额分布，是复盘活动投入、奖励结构和会员优惠转化的重要报表页面。</w:t>
      </w:r>
    </w:p>
    <w:p w14:paraId="617358F7">
      <w:pPr>
        <w:pStyle w:val="6"/>
        <w:spacing w:after="60" w:line="276" w:lineRule="auto"/>
      </w:pPr>
      <w:r>
        <w:rPr>
          <w:rFonts w:ascii="微软雅黑" w:hAnsi="微软雅黑" w:eastAsia="微软雅黑"/>
          <w:b/>
          <w:i/>
          <w:color w:val="2F5597"/>
          <w:sz w:val="21"/>
        </w:rPr>
        <w:t>页面概览</w:t>
      </w:r>
    </w:p>
    <w:p w14:paraId="5D66D643">
      <w:pPr>
        <w:spacing w:after="60" w:line="276" w:lineRule="auto"/>
      </w:pPr>
      <w:r>
        <w:rPr>
          <w:rFonts w:ascii="微软雅黑" w:hAnsi="微软雅黑" w:eastAsia="微软雅黑"/>
          <w:b w:val="0"/>
          <w:sz w:val="20"/>
        </w:rPr>
        <w:t>页面上方提供开始时间、结束时间、搜索、重置和导出表格入口，下方列表按日期展示优惠金额、活动优惠、任务优惠、票券优惠和 VIP 奖励等数据。</w:t>
      </w:r>
    </w:p>
    <w:p w14:paraId="1AD95546">
      <w:pPr>
        <w:spacing w:after="40"/>
        <w:jc w:val="center"/>
      </w:pPr>
      <w:r>
        <w:drawing>
          <wp:inline distT="0" distB="0" distL="114300" distR="114300">
            <wp:extent cx="5852160" cy="1395095"/>
            <wp:effectExtent l="0" t="0" r="15240" b="1460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pic:cNvPicPr>
                      <a:picLocks noChangeAspect="1"/>
                    </pic:cNvPicPr>
                  </pic:nvPicPr>
                  <pic:blipFill>
                    <a:blip r:embed="rId56"/>
                    <a:stretch>
                      <a:fillRect/>
                    </a:stretch>
                  </pic:blipFill>
                  <pic:spPr>
                    <a:xfrm>
                      <a:off x="0" y="0"/>
                      <a:ext cx="5852160" cy="1395217"/>
                    </a:xfrm>
                    <a:prstGeom prst="rect">
                      <a:avLst/>
                    </a:prstGeom>
                  </pic:spPr>
                </pic:pic>
              </a:graphicData>
            </a:graphic>
          </wp:inline>
        </w:drawing>
      </w:r>
    </w:p>
    <w:p w14:paraId="683A7A7C">
      <w:pPr>
        <w:pStyle w:val="15"/>
        <w:spacing w:after="120"/>
        <w:jc w:val="center"/>
      </w:pPr>
      <w:r>
        <w:rPr>
          <w:rFonts w:ascii="微软雅黑" w:hAnsi="微软雅黑" w:eastAsia="微软雅黑"/>
          <w:b w:val="0"/>
          <w:color w:val="707E92"/>
          <w:sz w:val="18"/>
        </w:rPr>
        <w:t>图：优惠数据报表页面，用于查看每日优惠金额、优惠人数及各类优惠来源的成本分布。</w:t>
      </w:r>
    </w:p>
    <w:p w14:paraId="168735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：支持按时间范围查询数据，适合按活动上线周期、节假日或渠道投放周期做分段复盘。</w:t>
      </w:r>
    </w:p>
    <w:p w14:paraId="2BF8021C">
      <w:pPr>
        <w:pStyle w:val="16"/>
        <w:spacing w:after="60" w:line="276" w:lineRule="auto"/>
      </w:pPr>
      <w:r>
        <w:rPr>
          <w:rFonts w:ascii="微软雅黑" w:hAnsi="微软雅黑" w:eastAsia="微软雅黑"/>
          <w:b/>
          <w:color w:val="2F5597"/>
          <w:sz w:val="20"/>
        </w:rPr>
        <w:t>成本拆分</w:t>
      </w:r>
      <w:r>
        <w:rPr>
          <w:rFonts w:ascii="微软雅黑" w:hAnsi="微软雅黑" w:eastAsia="微软雅黑"/>
          <w:b w:val="0"/>
          <w:sz w:val="20"/>
        </w:rPr>
        <w:t>：列表包含优惠金额、优惠人数、活动优惠金额、任务优惠金额、票券优惠金额、代理佣金和 VIP 奖励，可用于判断优惠成本主要来自哪一类业务动作。</w:t>
      </w:r>
    </w:p>
    <w:p w14:paraId="6C3A74A9">
      <w:pPr>
        <w:pStyle w:val="16"/>
        <w:spacing w:after="60" w:line="276" w:lineRule="auto"/>
      </w:pPr>
      <w:r>
        <w:rPr>
          <w:rFonts w:ascii="微软雅黑" w:hAnsi="微软雅黑" w:eastAsia="微软雅黑"/>
          <w:b/>
          <w:color w:val="2F5597"/>
          <w:sz w:val="20"/>
        </w:rPr>
        <w:t>复盘要点</w:t>
      </w:r>
      <w:r>
        <w:rPr>
          <w:rFonts w:ascii="微软雅黑" w:hAnsi="微软雅黑" w:eastAsia="微软雅黑"/>
          <w:b w:val="0"/>
          <w:sz w:val="20"/>
        </w:rPr>
        <w:t>：查看数据时应同步关注优惠人数与各项金额的变化关系，判断成本上涨是由参与人数增加、单人奖励提升还是某类优惠配置异常导致。</w:t>
      </w:r>
    </w:p>
    <w:p w14:paraId="012234DC">
      <w:pPr>
        <w:pStyle w:val="16"/>
        <w:spacing w:after="60" w:line="276" w:lineRule="auto"/>
      </w:pPr>
      <w:r>
        <w:rPr>
          <w:rFonts w:ascii="微软雅黑" w:hAnsi="微软雅黑" w:eastAsia="微软雅黑"/>
          <w:b/>
          <w:color w:val="2F5597"/>
          <w:sz w:val="20"/>
        </w:rPr>
        <w:t>交叉核对</w:t>
      </w:r>
      <w:r>
        <w:rPr>
          <w:rFonts w:ascii="微软雅黑" w:hAnsi="微软雅黑" w:eastAsia="微软雅黑"/>
          <w:b w:val="0"/>
          <w:sz w:val="20"/>
        </w:rPr>
        <w:t>：活动复盘时，建议结合活动统计报表、票券使用记录、任务中心和账变记录一起判断奖励发放效果与真实成本归属。</w:t>
      </w:r>
    </w:p>
    <w:p w14:paraId="14F5B3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7"/>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8"/>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9"/>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60"/>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在独立打码规则下，免费奖励领取限制开启时，用户余额在领取限额之下领取免费奖励成功后，会被视为免费玩家；若免费奖励领取限制关闭，存款玩家不会被转化位免费玩家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CB29151">
      <w:pPr>
        <w:pStyle w:val="4"/>
        <w:keepNext/>
        <w:spacing w:before="240" w:after="140" w:line="269" w:lineRule="auto"/>
      </w:pPr>
      <w:r>
        <w:rPr>
          <w:rFonts w:ascii="微软雅黑" w:hAnsi="微软雅黑" w:eastAsia="微软雅黑"/>
          <w:b/>
          <w:color w:val="1F4E79"/>
          <w:sz w:val="30"/>
        </w:rPr>
        <w:t>模块定位</w:t>
      </w:r>
    </w:p>
    <w:p w14:paraId="747616E7">
      <w:pPr>
        <w:spacing w:after="60" w:line="276" w:lineRule="auto"/>
      </w:pPr>
      <w:r>
        <w:t>财务中心是提现、充值、通道、人工加扣款、账变和打码规则的资金入口；处理出入款审核、资金流水核对或通道查看时，先在这一章按菜单名找到对应页面。</w:t>
      </w:r>
    </w:p>
    <w:p w14:paraId="41ECDFC1">
      <w:pPr>
        <w:pStyle w:val="4"/>
        <w:keepNext/>
        <w:spacing w:before="240" w:after="140" w:line="269" w:lineRule="auto"/>
      </w:pPr>
      <w:r>
        <w:rPr>
          <w:rFonts w:ascii="微软雅黑" w:hAnsi="微软雅黑" w:eastAsia="微软雅黑"/>
          <w:b/>
          <w:color w:val="1F4E79"/>
          <w:sz w:val="30"/>
        </w:rPr>
        <w:t>页面说明</w:t>
      </w:r>
    </w:p>
    <w:p w14:paraId="3EECD7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6"/>
        <w:spacing w:after="60" w:line="276" w:lineRule="auto"/>
      </w:pPr>
      <w:r>
        <w:rPr>
          <w:rFonts w:ascii="微软雅黑" w:hAnsi="微软雅黑" w:eastAsia="微软雅黑"/>
          <w:b/>
          <w:i/>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1"/>
                    <a:stretch>
                      <a:fillRect/>
                    </a:stretch>
                  </pic:blipFill>
                  <pic:spPr>
                    <a:xfrm>
                      <a:off x="0" y="0"/>
                      <a:ext cx="5852160" cy="1853419"/>
                    </a:xfrm>
                    <a:prstGeom prst="rect">
                      <a:avLst/>
                    </a:prstGeom>
                  </pic:spPr>
                </pic:pic>
              </a:graphicData>
            </a:graphic>
          </wp:inline>
        </w:drawing>
      </w:r>
    </w:p>
    <w:p w14:paraId="5248A0CA">
      <w:pPr>
        <w:pStyle w:val="15"/>
        <w:spacing w:after="120"/>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6"/>
        <w:spacing w:after="60" w:line="276" w:lineRule="auto"/>
      </w:pPr>
      <w:r>
        <w:rPr>
          <w:rFonts w:ascii="微软雅黑" w:hAnsi="微软雅黑" w:eastAsia="微软雅黑"/>
          <w:b/>
          <w:i/>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2"/>
                    <a:stretch>
                      <a:fillRect/>
                    </a:stretch>
                  </pic:blipFill>
                  <pic:spPr>
                    <a:xfrm>
                      <a:off x="0" y="0"/>
                      <a:ext cx="4199255" cy="6165215"/>
                    </a:xfrm>
                    <a:prstGeom prst="rect">
                      <a:avLst/>
                    </a:prstGeom>
                  </pic:spPr>
                </pic:pic>
              </a:graphicData>
            </a:graphic>
          </wp:inline>
        </w:drawing>
      </w:r>
    </w:p>
    <w:p w14:paraId="1D905FD6">
      <w:pPr>
        <w:pStyle w:val="15"/>
        <w:spacing w:after="120"/>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6"/>
        <w:spacing w:after="60" w:line="276" w:lineRule="auto"/>
      </w:pPr>
      <w:r>
        <w:rPr>
          <w:rFonts w:ascii="微软雅黑" w:hAnsi="微软雅黑" w:eastAsia="微软雅黑"/>
          <w:b/>
          <w:i/>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3"/>
                    <a:stretch>
                      <a:fillRect/>
                    </a:stretch>
                  </pic:blipFill>
                  <pic:spPr>
                    <a:xfrm>
                      <a:off x="0" y="0"/>
                      <a:ext cx="5669280" cy="3315970"/>
                    </a:xfrm>
                    <a:prstGeom prst="rect">
                      <a:avLst/>
                    </a:prstGeom>
                  </pic:spPr>
                </pic:pic>
              </a:graphicData>
            </a:graphic>
          </wp:inline>
        </w:drawing>
      </w:r>
    </w:p>
    <w:p w14:paraId="6DF95262">
      <w:pPr>
        <w:pStyle w:val="15"/>
        <w:spacing w:after="120"/>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6"/>
        <w:spacing w:after="60" w:line="276" w:lineRule="auto"/>
      </w:pPr>
      <w:r>
        <w:rPr>
          <w:rFonts w:ascii="微软雅黑" w:hAnsi="微软雅黑" w:eastAsia="微软雅黑"/>
          <w:b/>
          <w:i/>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4"/>
                    <a:stretch>
                      <a:fillRect/>
                    </a:stretch>
                  </pic:blipFill>
                  <pic:spPr>
                    <a:xfrm>
                      <a:off x="0" y="0"/>
                      <a:ext cx="5852160" cy="5017099"/>
                    </a:xfrm>
                    <a:prstGeom prst="rect">
                      <a:avLst/>
                    </a:prstGeom>
                  </pic:spPr>
                </pic:pic>
              </a:graphicData>
            </a:graphic>
          </wp:inline>
        </w:drawing>
      </w:r>
    </w:p>
    <w:p w14:paraId="6E429ED6">
      <w:pPr>
        <w:pStyle w:val="15"/>
        <w:spacing w:after="120"/>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6"/>
        <w:spacing w:after="60" w:line="276" w:lineRule="auto"/>
      </w:pPr>
      <w:r>
        <w:rPr>
          <w:rFonts w:ascii="微软雅黑" w:hAnsi="微软雅黑" w:eastAsia="微软雅黑"/>
          <w:b/>
          <w:i/>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5"/>
                    <a:stretch>
                      <a:fillRect/>
                    </a:stretch>
                  </pic:blipFill>
                  <pic:spPr>
                    <a:xfrm>
                      <a:off x="0" y="0"/>
                      <a:ext cx="5370195" cy="3994150"/>
                    </a:xfrm>
                    <a:prstGeom prst="rect">
                      <a:avLst/>
                    </a:prstGeom>
                  </pic:spPr>
                </pic:pic>
              </a:graphicData>
            </a:graphic>
          </wp:inline>
        </w:drawing>
      </w:r>
    </w:p>
    <w:p w14:paraId="38013F56">
      <w:pPr>
        <w:pStyle w:val="15"/>
        <w:spacing w:after="120"/>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6"/>
        <w:spacing w:after="60" w:line="276" w:lineRule="auto"/>
      </w:pPr>
      <w:r>
        <w:rPr>
          <w:rFonts w:ascii="微软雅黑" w:hAnsi="微软雅黑" w:eastAsia="微软雅黑"/>
          <w:b/>
          <w:i/>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6"/>
                    <a:stretch>
                      <a:fillRect/>
                    </a:stretch>
                  </pic:blipFill>
                  <pic:spPr>
                    <a:xfrm>
                      <a:off x="0" y="0"/>
                      <a:ext cx="5852160" cy="2346501"/>
                    </a:xfrm>
                    <a:prstGeom prst="rect">
                      <a:avLst/>
                    </a:prstGeom>
                  </pic:spPr>
                </pic:pic>
              </a:graphicData>
            </a:graphic>
          </wp:inline>
        </w:drawing>
      </w:r>
    </w:p>
    <w:p w14:paraId="556C0045">
      <w:pPr>
        <w:pStyle w:val="15"/>
        <w:spacing w:after="120"/>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6"/>
        <w:spacing w:after="60" w:line="276" w:lineRule="auto"/>
      </w:pPr>
      <w:r>
        <w:rPr>
          <w:rFonts w:ascii="微软雅黑" w:hAnsi="微软雅黑" w:eastAsia="微软雅黑"/>
          <w:b/>
          <w:i/>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7"/>
                    <a:stretch>
                      <a:fillRect/>
                    </a:stretch>
                  </pic:blipFill>
                  <pic:spPr>
                    <a:xfrm>
                      <a:off x="0" y="0"/>
                      <a:ext cx="4762500" cy="3430270"/>
                    </a:xfrm>
                    <a:prstGeom prst="rect">
                      <a:avLst/>
                    </a:prstGeom>
                  </pic:spPr>
                </pic:pic>
              </a:graphicData>
            </a:graphic>
          </wp:inline>
        </w:drawing>
      </w:r>
    </w:p>
    <w:p w14:paraId="53F02E34">
      <w:pPr>
        <w:pStyle w:val="15"/>
        <w:spacing w:after="120"/>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6"/>
        <w:spacing w:after="60" w:line="276" w:lineRule="auto"/>
      </w:pPr>
      <w:r>
        <w:rPr>
          <w:rFonts w:ascii="微软雅黑" w:hAnsi="微软雅黑" w:eastAsia="微软雅黑"/>
          <w:b/>
          <w:i/>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8"/>
                    <a:stretch>
                      <a:fillRect/>
                    </a:stretch>
                  </pic:blipFill>
                  <pic:spPr>
                    <a:xfrm>
                      <a:off x="0" y="0"/>
                      <a:ext cx="5370195" cy="4066540"/>
                    </a:xfrm>
                    <a:prstGeom prst="rect">
                      <a:avLst/>
                    </a:prstGeom>
                  </pic:spPr>
                </pic:pic>
              </a:graphicData>
            </a:graphic>
          </wp:inline>
        </w:drawing>
      </w:r>
    </w:p>
    <w:p w14:paraId="490C25F3">
      <w:pPr>
        <w:pStyle w:val="15"/>
        <w:spacing w:after="120"/>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6"/>
        <w:spacing w:after="60" w:line="276" w:lineRule="auto"/>
      </w:pPr>
      <w:r>
        <w:rPr>
          <w:rFonts w:ascii="微软雅黑" w:hAnsi="微软雅黑" w:eastAsia="微软雅黑"/>
          <w:b/>
          <w:i/>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9"/>
                    <a:stretch>
                      <a:fillRect/>
                    </a:stretch>
                  </pic:blipFill>
                  <pic:spPr>
                    <a:xfrm>
                      <a:off x="0" y="0"/>
                      <a:ext cx="5852160" cy="2088760"/>
                    </a:xfrm>
                    <a:prstGeom prst="rect">
                      <a:avLst/>
                    </a:prstGeom>
                  </pic:spPr>
                </pic:pic>
              </a:graphicData>
            </a:graphic>
          </wp:inline>
        </w:drawing>
      </w:r>
    </w:p>
    <w:p w14:paraId="7E806E6F">
      <w:pPr>
        <w:pStyle w:val="15"/>
        <w:spacing w:after="120"/>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6"/>
        <w:spacing w:after="60" w:line="276" w:lineRule="auto"/>
      </w:pPr>
      <w:r>
        <w:rPr>
          <w:rFonts w:ascii="微软雅黑" w:hAnsi="微软雅黑" w:eastAsia="微软雅黑"/>
          <w:b/>
          <w:i/>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70"/>
                    <a:stretch>
                      <a:fillRect/>
                    </a:stretch>
                  </pic:blipFill>
                  <pic:spPr>
                    <a:xfrm>
                      <a:off x="0" y="0"/>
                      <a:ext cx="3735705" cy="3686175"/>
                    </a:xfrm>
                    <a:prstGeom prst="rect">
                      <a:avLst/>
                    </a:prstGeom>
                  </pic:spPr>
                </pic:pic>
              </a:graphicData>
            </a:graphic>
          </wp:inline>
        </w:drawing>
      </w:r>
    </w:p>
    <w:p w14:paraId="4A83F83B">
      <w:pPr>
        <w:pStyle w:val="15"/>
        <w:spacing w:after="120"/>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6"/>
        <w:spacing w:after="60" w:line="276" w:lineRule="auto"/>
      </w:pPr>
      <w:r>
        <w:rPr>
          <w:rFonts w:ascii="微软雅黑" w:hAnsi="微软雅黑" w:eastAsia="微软雅黑"/>
          <w:b/>
          <w:i/>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1"/>
                    <a:stretch>
                      <a:fillRect/>
                    </a:stretch>
                  </pic:blipFill>
                  <pic:spPr>
                    <a:xfrm>
                      <a:off x="0" y="0"/>
                      <a:ext cx="5852160" cy="1972117"/>
                    </a:xfrm>
                    <a:prstGeom prst="rect">
                      <a:avLst/>
                    </a:prstGeom>
                  </pic:spPr>
                </pic:pic>
              </a:graphicData>
            </a:graphic>
          </wp:inline>
        </w:drawing>
      </w:r>
    </w:p>
    <w:p w14:paraId="7DC22AA8">
      <w:pPr>
        <w:pStyle w:val="15"/>
        <w:spacing w:after="120"/>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6"/>
        <w:spacing w:after="60" w:line="276" w:lineRule="auto"/>
      </w:pPr>
      <w:r>
        <w:rPr>
          <w:rFonts w:ascii="微软雅黑" w:hAnsi="微软雅黑" w:eastAsia="微软雅黑"/>
          <w:b/>
          <w:i/>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2"/>
                    <a:stretch>
                      <a:fillRect/>
                    </a:stretch>
                  </pic:blipFill>
                  <pic:spPr>
                    <a:xfrm>
                      <a:off x="0" y="0"/>
                      <a:ext cx="3534410" cy="1720215"/>
                    </a:xfrm>
                    <a:prstGeom prst="rect">
                      <a:avLst/>
                    </a:prstGeom>
                  </pic:spPr>
                </pic:pic>
              </a:graphicData>
            </a:graphic>
          </wp:inline>
        </w:drawing>
      </w:r>
    </w:p>
    <w:p w14:paraId="28F37863">
      <w:pPr>
        <w:pStyle w:val="15"/>
        <w:spacing w:after="120"/>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6"/>
        <w:spacing w:after="60" w:line="276" w:lineRule="auto"/>
      </w:pPr>
      <w:r>
        <w:rPr>
          <w:rFonts w:ascii="微软雅黑" w:hAnsi="微软雅黑" w:eastAsia="微软雅黑"/>
          <w:b/>
          <w:i/>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73"/>
                    <a:stretch>
                      <a:fillRect/>
                    </a:stretch>
                  </pic:blipFill>
                  <pic:spPr>
                    <a:xfrm>
                      <a:off x="0" y="0"/>
                      <a:ext cx="5852160" cy="2109746"/>
                    </a:xfrm>
                    <a:prstGeom prst="rect">
                      <a:avLst/>
                    </a:prstGeom>
                  </pic:spPr>
                </pic:pic>
              </a:graphicData>
            </a:graphic>
          </wp:inline>
        </w:drawing>
      </w:r>
    </w:p>
    <w:p w14:paraId="7A2574A1">
      <w:pPr>
        <w:pStyle w:val="15"/>
        <w:spacing w:after="120"/>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6"/>
        <w:spacing w:after="60" w:line="276" w:lineRule="auto"/>
      </w:pPr>
      <w:r>
        <w:rPr>
          <w:rFonts w:ascii="微软雅黑" w:hAnsi="微软雅黑" w:eastAsia="微软雅黑"/>
          <w:b/>
          <w:i/>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74"/>
                    <a:stretch>
                      <a:fillRect/>
                    </a:stretch>
                  </pic:blipFill>
                  <pic:spPr>
                    <a:xfrm>
                      <a:off x="0" y="0"/>
                      <a:ext cx="5852160" cy="3394424"/>
                    </a:xfrm>
                    <a:prstGeom prst="rect">
                      <a:avLst/>
                    </a:prstGeom>
                  </pic:spPr>
                </pic:pic>
              </a:graphicData>
            </a:graphic>
          </wp:inline>
        </w:drawing>
      </w:r>
    </w:p>
    <w:p w14:paraId="1723445C">
      <w:pPr>
        <w:pStyle w:val="15"/>
        <w:spacing w:after="120"/>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6"/>
        <w:spacing w:after="60" w:line="276" w:lineRule="auto"/>
      </w:pPr>
      <w:r>
        <w:rPr>
          <w:rFonts w:ascii="微软雅黑" w:hAnsi="微软雅黑" w:eastAsia="微软雅黑"/>
          <w:b/>
          <w:i/>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75"/>
                    <a:stretch>
                      <a:fillRect/>
                    </a:stretch>
                  </pic:blipFill>
                  <pic:spPr>
                    <a:xfrm>
                      <a:off x="0" y="0"/>
                      <a:ext cx="5852160" cy="5236144"/>
                    </a:xfrm>
                    <a:prstGeom prst="rect">
                      <a:avLst/>
                    </a:prstGeom>
                  </pic:spPr>
                </pic:pic>
              </a:graphicData>
            </a:graphic>
          </wp:inline>
        </w:drawing>
      </w:r>
    </w:p>
    <w:p w14:paraId="6D2F3C23">
      <w:pPr>
        <w:pStyle w:val="15"/>
        <w:spacing w:after="120"/>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6"/>
        <w:spacing w:after="60" w:line="276" w:lineRule="auto"/>
      </w:pPr>
      <w:r>
        <w:rPr>
          <w:rFonts w:ascii="微软雅黑" w:hAnsi="微软雅黑" w:eastAsia="微软雅黑"/>
          <w:b/>
          <w:i/>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76"/>
                    <a:stretch>
                      <a:fillRect/>
                    </a:stretch>
                  </pic:blipFill>
                  <pic:spPr>
                    <a:xfrm>
                      <a:off x="0" y="0"/>
                      <a:ext cx="5852160" cy="8083463"/>
                    </a:xfrm>
                    <a:prstGeom prst="rect">
                      <a:avLst/>
                    </a:prstGeom>
                  </pic:spPr>
                </pic:pic>
              </a:graphicData>
            </a:graphic>
          </wp:inline>
        </w:drawing>
      </w:r>
    </w:p>
    <w:p w14:paraId="781B6452">
      <w:pPr>
        <w:pStyle w:val="15"/>
        <w:spacing w:after="120"/>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6"/>
        <w:spacing w:after="60" w:line="276" w:lineRule="auto"/>
      </w:pPr>
      <w:r>
        <w:rPr>
          <w:rFonts w:ascii="微软雅黑" w:hAnsi="微软雅黑" w:eastAsia="微软雅黑"/>
          <w:b/>
          <w:i/>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77"/>
                    <a:stretch>
                      <a:fillRect/>
                    </a:stretch>
                  </pic:blipFill>
                  <pic:spPr>
                    <a:xfrm>
                      <a:off x="0" y="0"/>
                      <a:ext cx="5852160" cy="2221258"/>
                    </a:xfrm>
                    <a:prstGeom prst="rect">
                      <a:avLst/>
                    </a:prstGeom>
                  </pic:spPr>
                </pic:pic>
              </a:graphicData>
            </a:graphic>
          </wp:inline>
        </w:drawing>
      </w:r>
    </w:p>
    <w:p w14:paraId="55C1D665">
      <w:pPr>
        <w:pStyle w:val="15"/>
        <w:spacing w:after="120"/>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6"/>
        <w:spacing w:after="60" w:line="276" w:lineRule="auto"/>
      </w:pPr>
      <w:r>
        <w:rPr>
          <w:rFonts w:ascii="微软雅黑" w:hAnsi="微软雅黑" w:eastAsia="微软雅黑"/>
          <w:b/>
          <w:i/>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78"/>
                    <a:stretch>
                      <a:fillRect/>
                    </a:stretch>
                  </pic:blipFill>
                  <pic:spPr>
                    <a:xfrm>
                      <a:off x="0" y="0"/>
                      <a:ext cx="5852160" cy="5000363"/>
                    </a:xfrm>
                    <a:prstGeom prst="rect">
                      <a:avLst/>
                    </a:prstGeom>
                  </pic:spPr>
                </pic:pic>
              </a:graphicData>
            </a:graphic>
          </wp:inline>
        </w:drawing>
      </w:r>
    </w:p>
    <w:p w14:paraId="4B364D1A">
      <w:pPr>
        <w:pStyle w:val="15"/>
        <w:spacing w:after="120"/>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6"/>
        <w:spacing w:after="60" w:line="276" w:lineRule="auto"/>
      </w:pPr>
      <w:r>
        <w:rPr>
          <w:rFonts w:ascii="微软雅黑" w:hAnsi="微软雅黑" w:eastAsia="微软雅黑"/>
          <w:b/>
          <w:i/>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79"/>
                    <a:stretch>
                      <a:fillRect/>
                    </a:stretch>
                  </pic:blipFill>
                  <pic:spPr>
                    <a:xfrm>
                      <a:off x="0" y="0"/>
                      <a:ext cx="5852160" cy="5134442"/>
                    </a:xfrm>
                    <a:prstGeom prst="rect">
                      <a:avLst/>
                    </a:prstGeom>
                  </pic:spPr>
                </pic:pic>
              </a:graphicData>
            </a:graphic>
          </wp:inline>
        </w:drawing>
      </w:r>
    </w:p>
    <w:p w14:paraId="71FB18C8">
      <w:pPr>
        <w:pStyle w:val="15"/>
        <w:spacing w:after="120"/>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6"/>
        <w:spacing w:after="60" w:line="276" w:lineRule="auto"/>
      </w:pPr>
      <w:r>
        <w:rPr>
          <w:rFonts w:ascii="微软雅黑" w:hAnsi="微软雅黑" w:eastAsia="微软雅黑"/>
          <w:b/>
          <w:i/>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80"/>
                    <a:stretch>
                      <a:fillRect/>
                    </a:stretch>
                  </pic:blipFill>
                  <pic:spPr>
                    <a:xfrm>
                      <a:off x="0" y="0"/>
                      <a:ext cx="5852160" cy="2106633"/>
                    </a:xfrm>
                    <a:prstGeom prst="rect">
                      <a:avLst/>
                    </a:prstGeom>
                  </pic:spPr>
                </pic:pic>
              </a:graphicData>
            </a:graphic>
          </wp:inline>
        </w:drawing>
      </w:r>
    </w:p>
    <w:p w14:paraId="5A05439B">
      <w:pPr>
        <w:pStyle w:val="15"/>
        <w:spacing w:after="120"/>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6"/>
        <w:spacing w:after="60" w:line="276" w:lineRule="auto"/>
      </w:pPr>
      <w:r>
        <w:rPr>
          <w:rFonts w:ascii="微软雅黑" w:hAnsi="微软雅黑" w:eastAsia="微软雅黑"/>
          <w:b/>
          <w:i/>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81"/>
                    <a:stretch>
                      <a:fillRect/>
                    </a:stretch>
                  </pic:blipFill>
                  <pic:spPr>
                    <a:xfrm>
                      <a:off x="0" y="0"/>
                      <a:ext cx="5852160" cy="4598126"/>
                    </a:xfrm>
                    <a:prstGeom prst="rect">
                      <a:avLst/>
                    </a:prstGeom>
                  </pic:spPr>
                </pic:pic>
              </a:graphicData>
            </a:graphic>
          </wp:inline>
        </w:drawing>
      </w:r>
    </w:p>
    <w:p w14:paraId="17DC4802">
      <w:pPr>
        <w:pStyle w:val="15"/>
        <w:spacing w:after="120"/>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6"/>
        <w:spacing w:after="60" w:line="276" w:lineRule="auto"/>
      </w:pPr>
      <w:r>
        <w:rPr>
          <w:rFonts w:ascii="微软雅黑" w:hAnsi="微软雅黑" w:eastAsia="微软雅黑"/>
          <w:b/>
          <w:i/>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82"/>
                    <a:stretch>
                      <a:fillRect/>
                    </a:stretch>
                  </pic:blipFill>
                  <pic:spPr>
                    <a:xfrm>
                      <a:off x="0" y="0"/>
                      <a:ext cx="5852160" cy="1467428"/>
                    </a:xfrm>
                    <a:prstGeom prst="rect">
                      <a:avLst/>
                    </a:prstGeom>
                  </pic:spPr>
                </pic:pic>
              </a:graphicData>
            </a:graphic>
          </wp:inline>
        </w:drawing>
      </w:r>
    </w:p>
    <w:p w14:paraId="2C7EC34C">
      <w:pPr>
        <w:pStyle w:val="15"/>
        <w:spacing w:after="120"/>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6"/>
        <w:spacing w:after="60" w:line="276" w:lineRule="auto"/>
      </w:pPr>
      <w:r>
        <w:rPr>
          <w:rFonts w:ascii="微软雅黑" w:hAnsi="微软雅黑" w:eastAsia="微软雅黑"/>
          <w:b/>
          <w:i/>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83"/>
                    <a:stretch>
                      <a:fillRect/>
                    </a:stretch>
                  </pic:blipFill>
                  <pic:spPr>
                    <a:xfrm>
                      <a:off x="0" y="0"/>
                      <a:ext cx="5852160" cy="1610326"/>
                    </a:xfrm>
                    <a:prstGeom prst="rect">
                      <a:avLst/>
                    </a:prstGeom>
                  </pic:spPr>
                </pic:pic>
              </a:graphicData>
            </a:graphic>
          </wp:inline>
        </w:drawing>
      </w:r>
    </w:p>
    <w:p w14:paraId="35206AC6">
      <w:pPr>
        <w:pStyle w:val="15"/>
        <w:spacing w:after="120"/>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6"/>
        <w:spacing w:after="60" w:line="276" w:lineRule="auto"/>
      </w:pPr>
      <w:r>
        <w:rPr>
          <w:rFonts w:ascii="微软雅黑" w:hAnsi="微软雅黑" w:eastAsia="微软雅黑"/>
          <w:b/>
          <w:i/>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84"/>
                    <a:stretch>
                      <a:fillRect/>
                    </a:stretch>
                  </pic:blipFill>
                  <pic:spPr>
                    <a:xfrm>
                      <a:off x="0" y="0"/>
                      <a:ext cx="4389120" cy="4397203"/>
                    </a:xfrm>
                    <a:prstGeom prst="rect">
                      <a:avLst/>
                    </a:prstGeom>
                  </pic:spPr>
                </pic:pic>
              </a:graphicData>
            </a:graphic>
          </wp:inline>
        </w:drawing>
      </w:r>
    </w:p>
    <w:p w14:paraId="703953FA">
      <w:pPr>
        <w:pStyle w:val="15"/>
        <w:spacing w:after="120"/>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6"/>
        <w:spacing w:after="60" w:line="276" w:lineRule="auto"/>
      </w:pPr>
      <w:r>
        <w:rPr>
          <w:rFonts w:ascii="微软雅黑" w:hAnsi="微软雅黑" w:eastAsia="微软雅黑"/>
          <w:b/>
          <w:i/>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85"/>
                    <a:stretch>
                      <a:fillRect/>
                    </a:stretch>
                  </pic:blipFill>
                  <pic:spPr>
                    <a:xfrm>
                      <a:off x="0" y="0"/>
                      <a:ext cx="4389120" cy="3796873"/>
                    </a:xfrm>
                    <a:prstGeom prst="rect">
                      <a:avLst/>
                    </a:prstGeom>
                  </pic:spPr>
                </pic:pic>
              </a:graphicData>
            </a:graphic>
          </wp:inline>
        </w:drawing>
      </w:r>
    </w:p>
    <w:p w14:paraId="6218CB00">
      <w:pPr>
        <w:pStyle w:val="15"/>
        <w:spacing w:after="120"/>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6"/>
        <w:spacing w:after="60" w:line="276" w:lineRule="auto"/>
      </w:pPr>
      <w:r>
        <w:rPr>
          <w:rFonts w:ascii="微软雅黑" w:hAnsi="微软雅黑" w:eastAsia="微软雅黑"/>
          <w:b/>
          <w:i/>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86"/>
                    <a:stretch>
                      <a:fillRect/>
                    </a:stretch>
                  </pic:blipFill>
                  <pic:spPr>
                    <a:xfrm>
                      <a:off x="0" y="0"/>
                      <a:ext cx="5852160" cy="2524881"/>
                    </a:xfrm>
                    <a:prstGeom prst="rect">
                      <a:avLst/>
                    </a:prstGeom>
                  </pic:spPr>
                </pic:pic>
              </a:graphicData>
            </a:graphic>
          </wp:inline>
        </w:drawing>
      </w:r>
    </w:p>
    <w:p w14:paraId="3CA5F47A">
      <w:pPr>
        <w:pStyle w:val="15"/>
        <w:spacing w:after="120"/>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6"/>
        <w:spacing w:after="60" w:line="276" w:lineRule="auto"/>
      </w:pPr>
      <w:r>
        <w:rPr>
          <w:rFonts w:ascii="微软雅黑" w:hAnsi="微软雅黑" w:eastAsia="微软雅黑"/>
          <w:b/>
          <w:i/>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87"/>
                    <a:stretch>
                      <a:fillRect/>
                    </a:stretch>
                  </pic:blipFill>
                  <pic:spPr>
                    <a:xfrm>
                      <a:off x="0" y="0"/>
                      <a:ext cx="5852160" cy="2187857"/>
                    </a:xfrm>
                    <a:prstGeom prst="rect">
                      <a:avLst/>
                    </a:prstGeom>
                  </pic:spPr>
                </pic:pic>
              </a:graphicData>
            </a:graphic>
          </wp:inline>
        </w:drawing>
      </w:r>
    </w:p>
    <w:p w14:paraId="61D7A297">
      <w:pPr>
        <w:pStyle w:val="15"/>
        <w:spacing w:after="120"/>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6"/>
        <w:spacing w:after="60" w:line="276" w:lineRule="auto"/>
      </w:pPr>
      <w:r>
        <w:rPr>
          <w:rFonts w:ascii="微软雅黑" w:hAnsi="微软雅黑" w:eastAsia="微软雅黑"/>
          <w:b/>
          <w:i/>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88"/>
                    <a:stretch>
                      <a:fillRect/>
                    </a:stretch>
                  </pic:blipFill>
                  <pic:spPr>
                    <a:xfrm>
                      <a:off x="0" y="0"/>
                      <a:ext cx="4389120" cy="3262278"/>
                    </a:xfrm>
                    <a:prstGeom prst="rect">
                      <a:avLst/>
                    </a:prstGeom>
                  </pic:spPr>
                </pic:pic>
              </a:graphicData>
            </a:graphic>
          </wp:inline>
        </w:drawing>
      </w:r>
    </w:p>
    <w:p w14:paraId="34F310D7">
      <w:pPr>
        <w:pStyle w:val="15"/>
        <w:spacing w:after="120"/>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6"/>
        <w:spacing w:after="60" w:line="276" w:lineRule="auto"/>
      </w:pPr>
      <w:r>
        <w:rPr>
          <w:rFonts w:ascii="微软雅黑" w:hAnsi="微软雅黑" w:eastAsia="微软雅黑"/>
          <w:b/>
          <w:i/>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89"/>
                    <a:stretch>
                      <a:fillRect/>
                    </a:stretch>
                  </pic:blipFill>
                  <pic:spPr>
                    <a:xfrm>
                      <a:off x="0" y="0"/>
                      <a:ext cx="5852160" cy="1742895"/>
                    </a:xfrm>
                    <a:prstGeom prst="rect">
                      <a:avLst/>
                    </a:prstGeom>
                  </pic:spPr>
                </pic:pic>
              </a:graphicData>
            </a:graphic>
          </wp:inline>
        </w:drawing>
      </w:r>
    </w:p>
    <w:p w14:paraId="70FC4495">
      <w:pPr>
        <w:pStyle w:val="15"/>
        <w:spacing w:after="120"/>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6"/>
        <w:spacing w:after="60" w:line="276" w:lineRule="auto"/>
      </w:pPr>
      <w:r>
        <w:rPr>
          <w:rFonts w:ascii="微软雅黑" w:hAnsi="微软雅黑" w:eastAsia="微软雅黑"/>
          <w:b/>
          <w:i/>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90"/>
                    <a:stretch>
                      <a:fillRect/>
                    </a:stretch>
                  </pic:blipFill>
                  <pic:spPr>
                    <a:xfrm>
                      <a:off x="0" y="0"/>
                      <a:ext cx="4572000" cy="2493050"/>
                    </a:xfrm>
                    <a:prstGeom prst="rect">
                      <a:avLst/>
                    </a:prstGeom>
                  </pic:spPr>
                </pic:pic>
              </a:graphicData>
            </a:graphic>
          </wp:inline>
        </w:drawing>
      </w:r>
    </w:p>
    <w:p w14:paraId="4D6821DF">
      <w:pPr>
        <w:pStyle w:val="15"/>
        <w:spacing w:after="120"/>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6"/>
        <w:spacing w:after="60" w:line="276" w:lineRule="auto"/>
      </w:pPr>
      <w:r>
        <w:rPr>
          <w:rFonts w:ascii="微软雅黑" w:hAnsi="微软雅黑" w:eastAsia="微软雅黑"/>
          <w:b/>
          <w:i/>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91"/>
                    <a:stretch>
                      <a:fillRect/>
                    </a:stretch>
                  </pic:blipFill>
                  <pic:spPr>
                    <a:xfrm>
                      <a:off x="0" y="0"/>
                      <a:ext cx="4572000" cy="2107539"/>
                    </a:xfrm>
                    <a:prstGeom prst="rect">
                      <a:avLst/>
                    </a:prstGeom>
                  </pic:spPr>
                </pic:pic>
              </a:graphicData>
            </a:graphic>
          </wp:inline>
        </w:drawing>
      </w:r>
    </w:p>
    <w:p w14:paraId="778254F2">
      <w:pPr>
        <w:pStyle w:val="15"/>
        <w:spacing w:after="120"/>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b/>
          <w:bCs/>
          <w:sz w:val="20"/>
          <w:lang w:val="en-US" w:eastAsia="zh-CN"/>
        </w:rPr>
        <w:t>玩家再次充值时，</w:t>
      </w:r>
      <w:r>
        <w:rPr>
          <w:rFonts w:ascii="微软雅黑" w:hAnsi="微软雅黑" w:eastAsia="微软雅黑"/>
          <w:b/>
          <w:bCs/>
          <w:sz w:val="20"/>
        </w:rPr>
        <w:t>系统会将其自动解除条件；</w:t>
      </w:r>
      <w:r>
        <w:rPr>
          <w:rFonts w:hint="eastAsia"/>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color w:val="17365D"/>
          <w:sz w:val="40"/>
        </w:rPr>
        <w:t>八、数据报表</w:t>
      </w:r>
    </w:p>
    <w:p w14:paraId="5016B412">
      <w:pPr>
        <w:pStyle w:val="4"/>
        <w:keepNext/>
        <w:spacing w:before="240" w:after="140" w:line="269" w:lineRule="auto"/>
      </w:pPr>
      <w:r>
        <w:rPr>
          <w:rFonts w:ascii="微软雅黑" w:hAnsi="微软雅黑" w:eastAsia="微软雅黑"/>
          <w:b/>
          <w:color w:val="1F4E79"/>
          <w:sz w:val="30"/>
        </w:rPr>
        <w:t>模块定位</w:t>
      </w:r>
    </w:p>
    <w:p w14:paraId="1EA7E716">
      <w:pPr>
        <w:spacing w:after="60" w:line="276" w:lineRule="auto"/>
      </w:pPr>
      <w:r>
        <w:t>数据报表按经营、游戏、充值、活动、任务和VIP等口径汇总统计，是看日报和下钻明细的入口；需要核对数据时，先进入对应报表，再按时间、站点或维度筛选。</w:t>
      </w:r>
    </w:p>
    <w:p w14:paraId="46892336">
      <w:pPr>
        <w:pStyle w:val="4"/>
        <w:keepNext/>
        <w:spacing w:before="240" w:after="140" w:line="269" w:lineRule="auto"/>
      </w:pPr>
      <w:r>
        <w:rPr>
          <w:rFonts w:ascii="微软雅黑" w:hAnsi="微软雅黑" w:eastAsia="微软雅黑"/>
          <w:b/>
          <w:color w:val="1F4E79"/>
          <w:sz w:val="30"/>
        </w:rPr>
        <w:t>页面说明</w:t>
      </w:r>
    </w:p>
    <w:p w14:paraId="5D82E6E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6"/>
        <w:spacing w:after="60" w:line="276" w:lineRule="auto"/>
      </w:pPr>
      <w:r>
        <w:rPr>
          <w:rFonts w:ascii="微软雅黑" w:hAnsi="微软雅黑" w:eastAsia="微软雅黑"/>
          <w:b/>
          <w:i/>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92"/>
                    <a:stretch>
                      <a:fillRect/>
                    </a:stretch>
                  </pic:blipFill>
                  <pic:spPr>
                    <a:xfrm>
                      <a:off x="0" y="0"/>
                      <a:ext cx="5852160" cy="2063194"/>
                    </a:xfrm>
                    <a:prstGeom prst="rect">
                      <a:avLst/>
                    </a:prstGeom>
                  </pic:spPr>
                </pic:pic>
              </a:graphicData>
            </a:graphic>
          </wp:inline>
        </w:drawing>
      </w:r>
    </w:p>
    <w:p w14:paraId="59A41A46">
      <w:pPr>
        <w:pStyle w:val="15"/>
        <w:spacing w:after="120"/>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游戏人数据表</w:t>
      </w:r>
    </w:p>
    <w:p w14:paraId="110029F9">
      <w:pPr>
        <w:spacing w:after="60" w:line="276" w:lineRule="auto"/>
      </w:pPr>
      <w:r>
        <w:rPr>
          <w:rFonts w:ascii="微软雅黑" w:hAnsi="微软雅黑" w:eastAsia="微软雅黑"/>
          <w:b w:val="0"/>
          <w:sz w:val="20"/>
        </w:rPr>
        <w:t>游戏人数据表用于按日期统计参与游戏的玩家人数，适合快速观察游戏活跃规模变化，并判断近期活动、渠道流量或游戏内容调整对参与人数的影响。</w:t>
      </w:r>
    </w:p>
    <w:p w14:paraId="3C953A31">
      <w:pPr>
        <w:pStyle w:val="6"/>
        <w:spacing w:after="60" w:line="276" w:lineRule="auto"/>
      </w:pPr>
      <w:r>
        <w:rPr>
          <w:rFonts w:ascii="微软雅黑" w:hAnsi="微软雅黑" w:eastAsia="微软雅黑"/>
          <w:b/>
          <w:i/>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93"/>
                    <a:stretch>
                      <a:fillRect/>
                    </a:stretch>
                  </pic:blipFill>
                  <pic:spPr>
                    <a:xfrm>
                      <a:off x="0" y="0"/>
                      <a:ext cx="5852160" cy="2271890"/>
                    </a:xfrm>
                    <a:prstGeom prst="rect">
                      <a:avLst/>
                    </a:prstGeom>
                  </pic:spPr>
                </pic:pic>
              </a:graphicData>
            </a:graphic>
          </wp:inline>
        </w:drawing>
      </w:r>
    </w:p>
    <w:p w14:paraId="6AEA6EB5">
      <w:pPr>
        <w:pStyle w:val="15"/>
        <w:spacing w:after="120"/>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56"/>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6"/>
        <w:spacing w:after="60" w:line="276" w:lineRule="auto"/>
      </w:pPr>
      <w:r>
        <w:rPr>
          <w:rFonts w:ascii="微软雅黑" w:hAnsi="微软雅黑" w:eastAsia="微软雅黑"/>
          <w:b/>
          <w:i/>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94"/>
                    <a:stretch>
                      <a:fillRect/>
                    </a:stretch>
                  </pic:blipFill>
                  <pic:spPr>
                    <a:xfrm>
                      <a:off x="0" y="0"/>
                      <a:ext cx="5852160" cy="2056737"/>
                    </a:xfrm>
                    <a:prstGeom prst="rect">
                      <a:avLst/>
                    </a:prstGeom>
                  </pic:spPr>
                </pic:pic>
              </a:graphicData>
            </a:graphic>
          </wp:inline>
        </w:drawing>
      </w:r>
    </w:p>
    <w:p w14:paraId="2ACA9048">
      <w:pPr>
        <w:pStyle w:val="15"/>
        <w:spacing w:after="120"/>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6"/>
        <w:spacing w:after="60" w:line="276" w:lineRule="auto"/>
      </w:pPr>
      <w:r>
        <w:rPr>
          <w:rFonts w:ascii="微软雅黑" w:hAnsi="微软雅黑" w:eastAsia="微软雅黑"/>
          <w:b/>
          <w:i/>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95"/>
                    <a:stretch>
                      <a:fillRect/>
                    </a:stretch>
                  </pic:blipFill>
                  <pic:spPr>
                    <a:xfrm>
                      <a:off x="0" y="0"/>
                      <a:ext cx="5852160" cy="1657000"/>
                    </a:xfrm>
                    <a:prstGeom prst="rect">
                      <a:avLst/>
                    </a:prstGeom>
                  </pic:spPr>
                </pic:pic>
              </a:graphicData>
            </a:graphic>
          </wp:inline>
        </w:drawing>
      </w:r>
    </w:p>
    <w:p w14:paraId="1848FB6B">
      <w:pPr>
        <w:pStyle w:val="15"/>
        <w:spacing w:after="120"/>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6"/>
        <w:spacing w:after="60" w:line="276" w:lineRule="auto"/>
      </w:pPr>
      <w:r>
        <w:rPr>
          <w:rFonts w:ascii="微软雅黑" w:hAnsi="微软雅黑" w:eastAsia="微软雅黑"/>
          <w:b/>
          <w:i/>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96"/>
                    <a:stretch>
                      <a:fillRect/>
                    </a:stretch>
                  </pic:blipFill>
                  <pic:spPr>
                    <a:xfrm>
                      <a:off x="0" y="0"/>
                      <a:ext cx="6395720" cy="2847340"/>
                    </a:xfrm>
                    <a:prstGeom prst="rect">
                      <a:avLst/>
                    </a:prstGeom>
                    <a:noFill/>
                    <a:ln>
                      <a:noFill/>
                    </a:ln>
                  </pic:spPr>
                </pic:pic>
              </a:graphicData>
            </a:graphic>
          </wp:inline>
        </w:drawing>
      </w:r>
    </w:p>
    <w:p w14:paraId="530F8B80">
      <w:pPr>
        <w:pStyle w:val="15"/>
        <w:spacing w:after="120"/>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5"/>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6"/>
        <w:spacing w:after="60" w:line="276" w:lineRule="auto"/>
      </w:pPr>
      <w:r>
        <w:rPr>
          <w:rFonts w:ascii="微软雅黑" w:hAnsi="微软雅黑" w:eastAsia="微软雅黑"/>
          <w:b/>
          <w:i/>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97"/>
                    <a:stretch>
                      <a:fillRect/>
                    </a:stretch>
                  </pic:blipFill>
                  <pic:spPr>
                    <a:xfrm>
                      <a:off x="0" y="0"/>
                      <a:ext cx="5852160" cy="2679560"/>
                    </a:xfrm>
                    <a:prstGeom prst="rect">
                      <a:avLst/>
                    </a:prstGeom>
                  </pic:spPr>
                </pic:pic>
              </a:graphicData>
            </a:graphic>
          </wp:inline>
        </w:drawing>
      </w:r>
    </w:p>
    <w:p w14:paraId="2343F715">
      <w:pPr>
        <w:pStyle w:val="15"/>
        <w:spacing w:after="120"/>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5"/>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5"/>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5"/>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color w:val="17365D"/>
          <w:sz w:val="40"/>
        </w:rPr>
        <w:t>九、游戏中心</w:t>
      </w:r>
    </w:p>
    <w:p w14:paraId="7FE60D52">
      <w:pPr>
        <w:pStyle w:val="4"/>
        <w:keepNext/>
        <w:spacing w:before="240" w:after="140" w:line="269" w:lineRule="auto"/>
      </w:pPr>
      <w:r>
        <w:rPr>
          <w:rFonts w:ascii="微软雅黑" w:hAnsi="微软雅黑" w:eastAsia="微软雅黑"/>
          <w:b/>
          <w:color w:val="1F4E79"/>
          <w:sz w:val="30"/>
        </w:rPr>
        <w:t>模块定位</w:t>
      </w:r>
    </w:p>
    <w:p w14:paraId="1A5B98BB">
      <w:pPr>
        <w:spacing w:after="60" w:line="276" w:lineRule="auto"/>
      </w:pPr>
      <w:r>
        <w:t>游戏中心集中管理游戏类型、频道、子游戏、统计和厂商数据，主要用于维护大厅展示和查看游戏表现；要找某类游戏配置或厂商报表时，先从这一章进入对应页面。</w:t>
      </w:r>
    </w:p>
    <w:p w14:paraId="47740A8C">
      <w:pPr>
        <w:pStyle w:val="4"/>
        <w:keepNext/>
        <w:spacing w:before="240" w:after="140" w:line="269" w:lineRule="auto"/>
      </w:pPr>
      <w:r>
        <w:rPr>
          <w:rFonts w:ascii="微软雅黑" w:hAnsi="微软雅黑" w:eastAsia="微软雅黑"/>
          <w:b/>
          <w:color w:val="1F4E79"/>
          <w:sz w:val="30"/>
        </w:rPr>
        <w:t>页面说明</w:t>
      </w:r>
    </w:p>
    <w:p w14:paraId="65EA5E4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98"/>
                    <a:stretch>
                      <a:fillRect/>
                    </a:stretch>
                  </pic:blipFill>
                  <pic:spPr>
                    <a:xfrm>
                      <a:off x="0" y="0"/>
                      <a:ext cx="5852160" cy="1626572"/>
                    </a:xfrm>
                    <a:prstGeom prst="rect">
                      <a:avLst/>
                    </a:prstGeom>
                  </pic:spPr>
                </pic:pic>
              </a:graphicData>
            </a:graphic>
          </wp:inline>
        </w:drawing>
      </w:r>
    </w:p>
    <w:p w14:paraId="430D4820">
      <w:pPr>
        <w:pStyle w:val="15"/>
        <w:spacing w:after="120"/>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6"/>
        <w:spacing w:after="60" w:line="276" w:lineRule="auto"/>
      </w:pPr>
      <w:r>
        <w:rPr>
          <w:rFonts w:ascii="微软雅黑" w:hAnsi="微软雅黑" w:eastAsia="微软雅黑"/>
          <w:b/>
          <w:i/>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99"/>
                    <a:stretch>
                      <a:fillRect/>
                    </a:stretch>
                  </pic:blipFill>
                  <pic:spPr>
                    <a:xfrm>
                      <a:off x="0" y="0"/>
                      <a:ext cx="4114800" cy="5361445"/>
                    </a:xfrm>
                    <a:prstGeom prst="rect">
                      <a:avLst/>
                    </a:prstGeom>
                  </pic:spPr>
                </pic:pic>
              </a:graphicData>
            </a:graphic>
          </wp:inline>
        </w:drawing>
      </w:r>
    </w:p>
    <w:p w14:paraId="3AA2E617">
      <w:pPr>
        <w:pStyle w:val="15"/>
        <w:spacing w:after="120"/>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00"/>
                    <a:stretch>
                      <a:fillRect/>
                    </a:stretch>
                  </pic:blipFill>
                  <pic:spPr>
                    <a:xfrm>
                      <a:off x="0" y="0"/>
                      <a:ext cx="5852160" cy="1795549"/>
                    </a:xfrm>
                    <a:prstGeom prst="rect">
                      <a:avLst/>
                    </a:prstGeom>
                  </pic:spPr>
                </pic:pic>
              </a:graphicData>
            </a:graphic>
          </wp:inline>
        </w:drawing>
      </w:r>
    </w:p>
    <w:p w14:paraId="4CAC486C">
      <w:pPr>
        <w:pStyle w:val="15"/>
        <w:spacing w:after="120"/>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6"/>
        <w:spacing w:after="60" w:line="276" w:lineRule="auto"/>
      </w:pPr>
      <w:r>
        <w:rPr>
          <w:rFonts w:ascii="微软雅黑" w:hAnsi="微软雅黑" w:eastAsia="微软雅黑"/>
          <w:b/>
          <w:i/>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01"/>
                    <a:stretch>
                      <a:fillRect/>
                    </a:stretch>
                  </pic:blipFill>
                  <pic:spPr>
                    <a:xfrm>
                      <a:off x="0" y="0"/>
                      <a:ext cx="4754880" cy="3734172"/>
                    </a:xfrm>
                    <a:prstGeom prst="rect">
                      <a:avLst/>
                    </a:prstGeom>
                  </pic:spPr>
                </pic:pic>
              </a:graphicData>
            </a:graphic>
          </wp:inline>
        </w:drawing>
      </w:r>
    </w:p>
    <w:p w14:paraId="20F9060F">
      <w:pPr>
        <w:pStyle w:val="15"/>
        <w:spacing w:after="120"/>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6"/>
        <w:spacing w:after="60" w:line="276" w:lineRule="auto"/>
      </w:pPr>
      <w:r>
        <w:rPr>
          <w:rFonts w:ascii="微软雅黑" w:hAnsi="微软雅黑" w:eastAsia="微软雅黑"/>
          <w:b/>
          <w:i/>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02"/>
                    <a:stretch>
                      <a:fillRect/>
                    </a:stretch>
                  </pic:blipFill>
                  <pic:spPr>
                    <a:xfrm>
                      <a:off x="0" y="0"/>
                      <a:ext cx="5852160" cy="3615035"/>
                    </a:xfrm>
                    <a:prstGeom prst="rect">
                      <a:avLst/>
                    </a:prstGeom>
                  </pic:spPr>
                </pic:pic>
              </a:graphicData>
            </a:graphic>
          </wp:inline>
        </w:drawing>
      </w:r>
    </w:p>
    <w:p w14:paraId="3DA9ADBF">
      <w:pPr>
        <w:pStyle w:val="15"/>
        <w:spacing w:after="120"/>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03"/>
                    <a:stretch>
                      <a:fillRect/>
                    </a:stretch>
                  </pic:blipFill>
                  <pic:spPr>
                    <a:xfrm>
                      <a:off x="0" y="0"/>
                      <a:ext cx="5852160" cy="2553926"/>
                    </a:xfrm>
                    <a:prstGeom prst="rect">
                      <a:avLst/>
                    </a:prstGeom>
                  </pic:spPr>
                </pic:pic>
              </a:graphicData>
            </a:graphic>
          </wp:inline>
        </w:drawing>
      </w:r>
    </w:p>
    <w:p w14:paraId="0F28EC0B">
      <w:pPr>
        <w:pStyle w:val="15"/>
        <w:spacing w:after="120"/>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6"/>
        <w:spacing w:after="60" w:line="276" w:lineRule="auto"/>
      </w:pPr>
      <w:r>
        <w:rPr>
          <w:rFonts w:ascii="微软雅黑" w:hAnsi="微软雅黑" w:eastAsia="微软雅黑"/>
          <w:b/>
          <w:i/>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04"/>
                    <a:stretch>
                      <a:fillRect/>
                    </a:stretch>
                  </pic:blipFill>
                  <pic:spPr>
                    <a:xfrm>
                      <a:off x="0" y="0"/>
                      <a:ext cx="4206240" cy="4801609"/>
                    </a:xfrm>
                    <a:prstGeom prst="rect">
                      <a:avLst/>
                    </a:prstGeom>
                  </pic:spPr>
                </pic:pic>
              </a:graphicData>
            </a:graphic>
          </wp:inline>
        </w:drawing>
      </w:r>
    </w:p>
    <w:p w14:paraId="435E8C0E">
      <w:pPr>
        <w:pStyle w:val="15"/>
        <w:spacing w:after="120"/>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05"/>
                    <a:stretch>
                      <a:fillRect/>
                    </a:stretch>
                  </pic:blipFill>
                  <pic:spPr>
                    <a:xfrm>
                      <a:off x="0" y="0"/>
                      <a:ext cx="5852160" cy="2609557"/>
                    </a:xfrm>
                    <a:prstGeom prst="rect">
                      <a:avLst/>
                    </a:prstGeom>
                  </pic:spPr>
                </pic:pic>
              </a:graphicData>
            </a:graphic>
          </wp:inline>
        </w:drawing>
      </w:r>
    </w:p>
    <w:p w14:paraId="10BD12E5">
      <w:pPr>
        <w:pStyle w:val="15"/>
        <w:spacing w:after="120"/>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06"/>
                    <a:stretch>
                      <a:fillRect/>
                    </a:stretch>
                  </pic:blipFill>
                  <pic:spPr>
                    <a:xfrm>
                      <a:off x="0" y="0"/>
                      <a:ext cx="5852160" cy="1666020"/>
                    </a:xfrm>
                    <a:prstGeom prst="rect">
                      <a:avLst/>
                    </a:prstGeom>
                  </pic:spPr>
                </pic:pic>
              </a:graphicData>
            </a:graphic>
          </wp:inline>
        </w:drawing>
      </w:r>
    </w:p>
    <w:p w14:paraId="24C9F9CF">
      <w:pPr>
        <w:pStyle w:val="15"/>
        <w:spacing w:after="120"/>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color w:val="17365D"/>
          <w:sz w:val="40"/>
        </w:rPr>
        <w:t>十、用户管理</w:t>
      </w:r>
    </w:p>
    <w:p w14:paraId="33F41098">
      <w:pPr>
        <w:pStyle w:val="4"/>
        <w:keepNext/>
        <w:spacing w:before="240" w:after="140" w:line="269" w:lineRule="auto"/>
      </w:pPr>
      <w:r>
        <w:rPr>
          <w:rFonts w:ascii="微软雅黑" w:hAnsi="微软雅黑" w:eastAsia="微软雅黑"/>
          <w:b/>
          <w:color w:val="1F4E79"/>
          <w:sz w:val="30"/>
        </w:rPr>
        <w:t>模块定位</w:t>
      </w:r>
    </w:p>
    <w:p w14:paraId="2A2B0F0F">
      <w:pPr>
        <w:spacing w:after="60" w:line="276" w:lineRule="auto"/>
      </w:pPr>
      <w:r>
        <w:t>用户管理聚合在线玩家、会员列表、VIP设置和反馈处理，是查会员状态和跟进用户问题的入口；按左侧菜单找到目标页面后，可继续查看在线、资料或反馈信息。</w:t>
      </w:r>
    </w:p>
    <w:p w14:paraId="3F1E533F">
      <w:pPr>
        <w:pStyle w:val="4"/>
        <w:keepNext/>
        <w:spacing w:before="240" w:after="140" w:line="269" w:lineRule="auto"/>
      </w:pPr>
      <w:r>
        <w:rPr>
          <w:rFonts w:ascii="微软雅黑" w:hAnsi="微软雅黑" w:eastAsia="微软雅黑"/>
          <w:b/>
          <w:color w:val="1F4E79"/>
          <w:sz w:val="30"/>
        </w:rPr>
        <w:t>页面说明</w:t>
      </w:r>
    </w:p>
    <w:p w14:paraId="0859F24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07"/>
                    <a:stretch>
                      <a:fillRect/>
                    </a:stretch>
                  </pic:blipFill>
                  <pic:spPr>
                    <a:xfrm>
                      <a:off x="0" y="0"/>
                      <a:ext cx="5852160" cy="2508579"/>
                    </a:xfrm>
                    <a:prstGeom prst="rect">
                      <a:avLst/>
                    </a:prstGeom>
                  </pic:spPr>
                </pic:pic>
              </a:graphicData>
            </a:graphic>
          </wp:inline>
        </w:drawing>
      </w:r>
    </w:p>
    <w:p w14:paraId="6613564E">
      <w:pPr>
        <w:pStyle w:val="15"/>
        <w:spacing w:after="120"/>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6"/>
        <w:spacing w:after="60" w:line="276" w:lineRule="auto"/>
      </w:pPr>
      <w:r>
        <w:rPr>
          <w:rFonts w:ascii="微软雅黑" w:hAnsi="微软雅黑" w:eastAsia="微软雅黑"/>
          <w:b/>
          <w:i/>
          <w:color w:val="2F5597"/>
          <w:sz w:val="21"/>
        </w:rPr>
        <w:t>会员列表</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08"/>
                    <a:stretch>
                      <a:fillRect/>
                    </a:stretch>
                  </pic:blipFill>
                  <pic:spPr>
                    <a:xfrm>
                      <a:off x="0" y="0"/>
                      <a:ext cx="5852160" cy="2056164"/>
                    </a:xfrm>
                    <a:prstGeom prst="rect">
                      <a:avLst/>
                    </a:prstGeom>
                  </pic:spPr>
                </pic:pic>
              </a:graphicData>
            </a:graphic>
          </wp:inline>
        </w:drawing>
      </w:r>
    </w:p>
    <w:p w14:paraId="2F4BEF54">
      <w:pPr>
        <w:pStyle w:val="15"/>
        <w:spacing w:after="120"/>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：页面右上角支持导出报表和创建玩家。导出适合批量复核会员数据，创建玩家适合运营手工开设测试号或补录指定用户。</w:t>
      </w:r>
    </w:p>
    <w:p w14:paraId="3C8E96E4">
      <w:pPr>
        <w:pStyle w:val="6"/>
        <w:spacing w:after="60" w:line="276" w:lineRule="auto"/>
      </w:pPr>
      <w:r>
        <w:rPr>
          <w:rFonts w:ascii="微软雅黑" w:hAnsi="微软雅黑" w:eastAsia="微软雅黑"/>
          <w:b/>
          <w:i/>
          <w:color w:val="2F5597"/>
          <w:sz w:val="21"/>
        </w:rPr>
        <w:t>创建玩家</w:t>
      </w:r>
    </w:p>
    <w:p w14:paraId="74D46E09">
      <w:pPr>
        <w:spacing w:after="60" w:line="276" w:lineRule="auto"/>
      </w:pPr>
      <w:r>
        <w:rPr>
          <w:rFonts w:ascii="微软雅黑" w:hAnsi="微软雅黑" w:eastAsia="微软雅黑"/>
          <w:b w:val="0"/>
          <w:sz w:val="20"/>
        </w:rPr>
        <w:t>创建玩家弹窗用于手工新增会员账号，适合运营或测试场景快速生成会员资料。</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09"/>
                    <a:stretch>
                      <a:fillRect/>
                    </a:stretch>
                  </pic:blipFill>
                  <pic:spPr>
                    <a:xfrm>
                      <a:off x="0" y="0"/>
                      <a:ext cx="5852160" cy="4584643"/>
                    </a:xfrm>
                    <a:prstGeom prst="rect">
                      <a:avLst/>
                    </a:prstGeom>
                  </pic:spPr>
                </pic:pic>
              </a:graphicData>
            </a:graphic>
          </wp:inline>
        </w:drawing>
      </w:r>
    </w:p>
    <w:p w14:paraId="0E2325B8">
      <w:pPr>
        <w:pStyle w:val="15"/>
        <w:spacing w:after="120"/>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6"/>
        <w:spacing w:after="60" w:line="276" w:lineRule="auto"/>
      </w:pPr>
      <w:r>
        <w:rPr>
          <w:rFonts w:ascii="微软雅黑" w:hAnsi="微软雅黑" w:eastAsia="微软雅黑"/>
          <w:b/>
          <w:i/>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10"/>
                    <a:stretch>
                      <a:fillRect/>
                    </a:stretch>
                  </pic:blipFill>
                  <pic:spPr>
                    <a:xfrm>
                      <a:off x="0" y="0"/>
                      <a:ext cx="5852160" cy="3765026"/>
                    </a:xfrm>
                    <a:prstGeom prst="rect">
                      <a:avLst/>
                    </a:prstGeom>
                  </pic:spPr>
                </pic:pic>
              </a:graphicData>
            </a:graphic>
          </wp:inline>
        </w:drawing>
      </w:r>
    </w:p>
    <w:p w14:paraId="021EE70A">
      <w:pPr>
        <w:pStyle w:val="15"/>
        <w:spacing w:after="120"/>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：复制功能适合快速发送给测试、客服或活动对接人员。若账号涉及真实用户使用，应同步提醒对方首次登录后尽快修改密码。</w:t>
      </w:r>
    </w:p>
    <w:p w14:paraId="279F5540">
      <w:pPr>
        <w:pStyle w:val="6"/>
        <w:spacing w:after="60" w:line="276" w:lineRule="auto"/>
      </w:pPr>
      <w:r>
        <w:rPr>
          <w:rFonts w:ascii="微软雅黑" w:hAnsi="微软雅黑" w:eastAsia="微软雅黑"/>
          <w:b/>
          <w:i/>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11"/>
                    <a:stretch>
                      <a:fillRect/>
                    </a:stretch>
                  </pic:blipFill>
                  <pic:spPr>
                    <a:xfrm>
                      <a:off x="0" y="0"/>
                      <a:ext cx="5852160" cy="4138847"/>
                    </a:xfrm>
                    <a:prstGeom prst="rect">
                      <a:avLst/>
                    </a:prstGeom>
                  </pic:spPr>
                </pic:pic>
              </a:graphicData>
            </a:graphic>
          </wp:inline>
        </w:drawing>
      </w:r>
    </w:p>
    <w:p w14:paraId="17993F5C">
      <w:pPr>
        <w:pStyle w:val="15"/>
        <w:spacing w:after="120"/>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VIP设置</w:t>
      </w:r>
    </w:p>
    <w:p w14:paraId="3A7249E9">
      <w:pPr>
        <w:spacing w:after="60" w:line="276" w:lineRule="auto"/>
      </w:pPr>
      <w:r>
        <w:rPr>
          <w:rFonts w:ascii="微软雅黑" w:hAnsi="微软雅黑" w:eastAsia="微软雅黑"/>
          <w:b w:val="0"/>
          <w:sz w:val="20"/>
        </w:rPr>
        <w:t>VIP设置用于维护会员等级规则、保级与降级条件、各档位俸禄以及大 R 分层标准，是统一管理会员成长体系和高价值用户分层策略的核心页面。</w:t>
      </w:r>
    </w:p>
    <w:p w14:paraId="1C0529F2">
      <w:pPr>
        <w:pStyle w:val="6"/>
        <w:spacing w:after="60" w:line="276" w:lineRule="auto"/>
      </w:pPr>
      <w:r>
        <w:rPr>
          <w:rFonts w:ascii="微软雅黑" w:hAnsi="微软雅黑" w:eastAsia="微软雅黑"/>
          <w:b/>
          <w:i/>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12"/>
                    <a:stretch>
                      <a:fillRect/>
                    </a:stretch>
                  </pic:blipFill>
                  <pic:spPr>
                    <a:xfrm>
                      <a:off x="0" y="0"/>
                      <a:ext cx="5852160" cy="2402828"/>
                    </a:xfrm>
                    <a:prstGeom prst="rect">
                      <a:avLst/>
                    </a:prstGeom>
                  </pic:spPr>
                </pic:pic>
              </a:graphicData>
            </a:graphic>
          </wp:inline>
        </w:drawing>
      </w:r>
    </w:p>
    <w:p w14:paraId="6CE6BDFE">
      <w:pPr>
        <w:pStyle w:val="15"/>
        <w:spacing w:after="120"/>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0C3B3DEC">
      <w:pPr>
        <w:pStyle w:val="6"/>
        <w:spacing w:after="60" w:line="276" w:lineRule="auto"/>
      </w:pPr>
      <w:r>
        <w:rPr>
          <w:rFonts w:ascii="微软雅黑" w:hAnsi="微软雅黑" w:eastAsia="微软雅黑"/>
          <w:b/>
          <w:i/>
          <w:color w:val="2F5597"/>
          <w:sz w:val="21"/>
        </w:rPr>
        <w:t>VIP降级配置</w:t>
      </w:r>
    </w:p>
    <w:p w14:paraId="0C46990E">
      <w:pPr>
        <w:spacing w:after="60" w:line="276" w:lineRule="auto"/>
      </w:pPr>
      <w:r>
        <w:rPr>
          <w:rFonts w:ascii="微软雅黑" w:hAnsi="微软雅黑" w:eastAsia="微软雅黑"/>
          <w:b w:val="0"/>
          <w:sz w:val="20"/>
        </w:rPr>
        <w:t>VIP降级配置页签用于维护保级充值、保级打码和未达标后的降级结果，同时可通过开关控制该配置是否生效。</w:t>
      </w:r>
    </w:p>
    <w:p w14:paraId="2C40994C">
      <w:pPr>
        <w:spacing w:after="40"/>
        <w:jc w:val="center"/>
      </w:pPr>
      <w:r>
        <w:drawing>
          <wp:inline distT="0" distB="0" distL="114300" distR="114300">
            <wp:extent cx="5852160" cy="2906395"/>
            <wp:effectExtent l="0" t="0" r="15240" b="825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pic:cNvPicPr>
                  </pic:nvPicPr>
                  <pic:blipFill>
                    <a:blip r:embed="rId113"/>
                    <a:stretch>
                      <a:fillRect/>
                    </a:stretch>
                  </pic:blipFill>
                  <pic:spPr>
                    <a:xfrm>
                      <a:off x="0" y="0"/>
                      <a:ext cx="5852160" cy="2906418"/>
                    </a:xfrm>
                    <a:prstGeom prst="rect">
                      <a:avLst/>
                    </a:prstGeom>
                  </pic:spPr>
                </pic:pic>
              </a:graphicData>
            </a:graphic>
          </wp:inline>
        </w:drawing>
      </w:r>
    </w:p>
    <w:p w14:paraId="39700F48">
      <w:pPr>
        <w:pStyle w:val="15"/>
        <w:spacing w:after="120"/>
        <w:jc w:val="center"/>
      </w:pPr>
      <w:r>
        <w:rPr>
          <w:rFonts w:ascii="微软雅黑" w:hAnsi="微软雅黑" w:eastAsia="微软雅黑"/>
          <w:b w:val="0"/>
          <w:color w:val="707E92"/>
          <w:sz w:val="18"/>
        </w:rPr>
        <w:t>图：VIP 降级配置页签，用于设置保级条件、降级规则和启用状态。</w:t>
      </w:r>
    </w:p>
    <w:p w14:paraId="1C4D03A8">
      <w:pPr>
        <w:pStyle w:val="16"/>
        <w:spacing w:after="60" w:line="276" w:lineRule="auto"/>
      </w:pPr>
      <w:r>
        <w:rPr>
          <w:rFonts w:ascii="微软雅黑" w:hAnsi="微软雅黑" w:eastAsia="微软雅黑"/>
          <w:b/>
          <w:color w:val="2F5597"/>
          <w:sz w:val="20"/>
        </w:rPr>
        <w:t>保级充值条件</w:t>
      </w:r>
      <w:r>
        <w:rPr>
          <w:rFonts w:ascii="微软雅黑" w:hAnsi="微软雅黑" w:eastAsia="微软雅黑"/>
          <w:b w:val="0"/>
          <w:sz w:val="20"/>
        </w:rPr>
        <w:t>：用于定义会员保持当前 VIP 等级需要完成的充值门槛，适合周期性维持会员等级体系。</w:t>
      </w:r>
    </w:p>
    <w:p w14:paraId="27A213F5">
      <w:pPr>
        <w:pStyle w:val="16"/>
        <w:spacing w:after="60" w:line="276" w:lineRule="auto"/>
      </w:pPr>
      <w:r>
        <w:rPr>
          <w:rFonts w:ascii="微软雅黑" w:hAnsi="微软雅黑" w:eastAsia="微软雅黑"/>
          <w:b/>
          <w:color w:val="2F5597"/>
          <w:sz w:val="20"/>
        </w:rPr>
        <w:t>保级打码条件</w:t>
      </w:r>
      <w:r>
        <w:rPr>
          <w:rFonts w:ascii="微软雅黑" w:hAnsi="微软雅黑" w:eastAsia="微软雅黑"/>
          <w:b w:val="0"/>
          <w:sz w:val="20"/>
        </w:rPr>
        <w:t>：用于定义保级所需完成的流水要求。若站点重视活跃质量，可结合充值门槛一起控制等级留存。</w:t>
      </w:r>
    </w:p>
    <w:p w14:paraId="0C6449CE">
      <w:pPr>
        <w:pStyle w:val="16"/>
        <w:spacing w:after="60" w:line="276" w:lineRule="auto"/>
      </w:pPr>
      <w:r>
        <w:rPr>
          <w:rFonts w:ascii="微软雅黑" w:hAnsi="微软雅黑" w:eastAsia="微软雅黑"/>
          <w:b/>
          <w:color w:val="2F5597"/>
          <w:sz w:val="20"/>
        </w:rPr>
        <w:t>未达标降至</w:t>
      </w:r>
      <w:r>
        <w:rPr>
          <w:rFonts w:ascii="微软雅黑" w:hAnsi="微软雅黑" w:eastAsia="微软雅黑"/>
          <w:b w:val="0"/>
          <w:sz w:val="20"/>
        </w:rPr>
        <w:t>：用于设置会员未满足保级条件时应下调到的目标等级，保存前应确认不会造成大批会员等级异常波动。</w:t>
      </w:r>
    </w:p>
    <w:p w14:paraId="17D62554">
      <w:pPr>
        <w:pStyle w:val="16"/>
        <w:spacing w:after="60" w:line="276" w:lineRule="auto"/>
      </w:pPr>
      <w:r>
        <w:rPr>
          <w:rFonts w:ascii="微软雅黑" w:hAnsi="微软雅黑" w:eastAsia="微软雅黑"/>
          <w:b/>
          <w:color w:val="2F5597"/>
          <w:sz w:val="20"/>
        </w:rPr>
        <w:t>配置开关</w:t>
      </w:r>
      <w:r>
        <w:rPr>
          <w:rFonts w:ascii="微软雅黑" w:hAnsi="微软雅黑" w:eastAsia="微软雅黑"/>
          <w:b w:val="0"/>
          <w:sz w:val="20"/>
        </w:rPr>
        <w:t>：开关用于控制当前降级规则是否生效。正式启用前应先同步客服和运营口径，避免会员咨询时说明不一致。</w:t>
      </w:r>
    </w:p>
    <w:p w14:paraId="3BF91F6D">
      <w:pPr>
        <w:pStyle w:val="6"/>
        <w:spacing w:after="60" w:line="276" w:lineRule="auto"/>
      </w:pPr>
      <w:r>
        <w:rPr>
          <w:rFonts w:ascii="微软雅黑" w:hAnsi="微软雅黑" w:eastAsia="微软雅黑"/>
          <w:b/>
          <w:i/>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14"/>
                    <a:stretch>
                      <a:fillRect/>
                    </a:stretch>
                  </pic:blipFill>
                  <pic:spPr>
                    <a:xfrm>
                      <a:off x="0" y="0"/>
                      <a:ext cx="5852160" cy="2818767"/>
                    </a:xfrm>
                    <a:prstGeom prst="rect">
                      <a:avLst/>
                    </a:prstGeom>
                  </pic:spPr>
                </pic:pic>
              </a:graphicData>
            </a:graphic>
          </wp:inline>
        </w:drawing>
      </w:r>
    </w:p>
    <w:p w14:paraId="51A04FF3">
      <w:pPr>
        <w:pStyle w:val="15"/>
        <w:spacing w:after="120"/>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6"/>
        <w:spacing w:after="60" w:line="276" w:lineRule="auto"/>
      </w:pPr>
      <w:r>
        <w:rPr>
          <w:rFonts w:ascii="微软雅黑" w:hAnsi="微软雅黑" w:eastAsia="微软雅黑"/>
          <w:b/>
          <w:i/>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15"/>
                    <a:stretch>
                      <a:fillRect/>
                    </a:stretch>
                  </pic:blipFill>
                  <pic:spPr>
                    <a:xfrm>
                      <a:off x="0" y="0"/>
                      <a:ext cx="5852160" cy="2875128"/>
                    </a:xfrm>
                    <a:prstGeom prst="rect">
                      <a:avLst/>
                    </a:prstGeom>
                  </pic:spPr>
                </pic:pic>
              </a:graphicData>
            </a:graphic>
          </wp:inline>
        </w:drawing>
      </w:r>
    </w:p>
    <w:p w14:paraId="359D48BF">
      <w:pPr>
        <w:pStyle w:val="15"/>
        <w:spacing w:after="120"/>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6"/>
        <w:spacing w:after="60" w:line="276" w:lineRule="auto"/>
      </w:pPr>
      <w:r>
        <w:rPr>
          <w:rFonts w:ascii="微软雅黑" w:hAnsi="微软雅黑" w:eastAsia="微软雅黑"/>
          <w:b/>
          <w:i/>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16"/>
                    <a:stretch>
                      <a:fillRect/>
                    </a:stretch>
                  </pic:blipFill>
                  <pic:spPr>
                    <a:xfrm>
                      <a:off x="0" y="0"/>
                      <a:ext cx="5852160" cy="2826286"/>
                    </a:xfrm>
                    <a:prstGeom prst="rect">
                      <a:avLst/>
                    </a:prstGeom>
                  </pic:spPr>
                </pic:pic>
              </a:graphicData>
            </a:graphic>
          </wp:inline>
        </w:drawing>
      </w:r>
    </w:p>
    <w:p w14:paraId="444BB258">
      <w:pPr>
        <w:pStyle w:val="15"/>
        <w:spacing w:after="120"/>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6"/>
        <w:spacing w:after="60" w:line="276" w:lineRule="auto"/>
      </w:pPr>
      <w:r>
        <w:rPr>
          <w:rFonts w:ascii="微软雅黑" w:hAnsi="微软雅黑" w:eastAsia="微软雅黑"/>
          <w:b/>
          <w:i/>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17"/>
                    <a:stretch>
                      <a:fillRect/>
                    </a:stretch>
                  </pic:blipFill>
                  <pic:spPr>
                    <a:xfrm>
                      <a:off x="0" y="0"/>
                      <a:ext cx="5852160" cy="1258572"/>
                    </a:xfrm>
                    <a:prstGeom prst="rect">
                      <a:avLst/>
                    </a:prstGeom>
                  </pic:spPr>
                </pic:pic>
              </a:graphicData>
            </a:graphic>
          </wp:inline>
        </w:drawing>
      </w:r>
    </w:p>
    <w:p w14:paraId="48F855E1">
      <w:pPr>
        <w:pStyle w:val="15"/>
        <w:spacing w:after="120"/>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6"/>
        <w:spacing w:after="60" w:line="276" w:lineRule="auto"/>
      </w:pPr>
      <w:r>
        <w:rPr>
          <w:rFonts w:ascii="微软雅黑" w:hAnsi="微软雅黑" w:eastAsia="微软雅黑"/>
          <w:b/>
          <w:i/>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18"/>
                    <a:stretch>
                      <a:fillRect/>
                    </a:stretch>
                  </pic:blipFill>
                  <pic:spPr>
                    <a:xfrm>
                      <a:off x="0" y="0"/>
                      <a:ext cx="5852160" cy="2245926"/>
                    </a:xfrm>
                    <a:prstGeom prst="rect">
                      <a:avLst/>
                    </a:prstGeom>
                  </pic:spPr>
                </pic:pic>
              </a:graphicData>
            </a:graphic>
          </wp:inline>
        </w:drawing>
      </w:r>
    </w:p>
    <w:p w14:paraId="3D41E7E8">
      <w:pPr>
        <w:pStyle w:val="15"/>
        <w:spacing w:after="120"/>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6"/>
        <w:spacing w:after="60" w:line="276" w:lineRule="auto"/>
      </w:pPr>
      <w:r>
        <w:rPr>
          <w:rFonts w:ascii="微软雅黑" w:hAnsi="微软雅黑" w:eastAsia="微软雅黑"/>
          <w:b/>
          <w:i/>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19"/>
                    <a:stretch>
                      <a:fillRect/>
                    </a:stretch>
                  </pic:blipFill>
                  <pic:spPr>
                    <a:xfrm>
                      <a:off x="0" y="0"/>
                      <a:ext cx="5014595" cy="5608955"/>
                    </a:xfrm>
                    <a:prstGeom prst="rect">
                      <a:avLst/>
                    </a:prstGeom>
                  </pic:spPr>
                </pic:pic>
              </a:graphicData>
            </a:graphic>
          </wp:inline>
        </w:drawing>
      </w:r>
    </w:p>
    <w:p w14:paraId="5A49ED50">
      <w:pPr>
        <w:pStyle w:val="15"/>
        <w:spacing w:after="120"/>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color w:val="17365D"/>
          <w:sz w:val="40"/>
        </w:rPr>
        <w:t>十一、代理中心</w:t>
      </w:r>
    </w:p>
    <w:p w14:paraId="6AE93606">
      <w:pPr>
        <w:pStyle w:val="4"/>
        <w:keepNext/>
        <w:spacing w:before="240" w:after="140" w:line="269" w:lineRule="auto"/>
      </w:pPr>
      <w:r>
        <w:rPr>
          <w:rFonts w:ascii="微软雅黑" w:hAnsi="微软雅黑" w:eastAsia="微软雅黑"/>
          <w:b/>
          <w:color w:val="1F4E79"/>
          <w:sz w:val="30"/>
        </w:rPr>
        <w:t>模块定位</w:t>
      </w:r>
    </w:p>
    <w:p w14:paraId="74E2E54E">
      <w:pPr>
        <w:spacing w:after="60" w:line="276" w:lineRule="auto"/>
      </w:pPr>
      <w:r>
        <w:t>代理中心用于查看代理列表、代理配置、领取记录和代理数据，是跟进代理层级、佣金和结算情况的入口；需要定位某个代理或核对代理业绩时，先从这一章进入对应页面。</w:t>
      </w:r>
    </w:p>
    <w:p w14:paraId="1377E732">
      <w:pPr>
        <w:pStyle w:val="4"/>
        <w:keepNext/>
        <w:spacing w:before="240" w:after="140" w:line="269" w:lineRule="auto"/>
      </w:pPr>
      <w:r>
        <w:rPr>
          <w:rFonts w:ascii="微软雅黑" w:hAnsi="微软雅黑" w:eastAsia="微软雅黑"/>
          <w:b/>
          <w:color w:val="1F4E79"/>
          <w:sz w:val="30"/>
        </w:rPr>
        <w:t>页面说明</w:t>
      </w:r>
    </w:p>
    <w:p w14:paraId="0314494A">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20"/>
                    <a:stretch>
                      <a:fillRect/>
                    </a:stretch>
                  </pic:blipFill>
                  <pic:spPr>
                    <a:xfrm>
                      <a:off x="0" y="0"/>
                      <a:ext cx="5852160" cy="2534625"/>
                    </a:xfrm>
                    <a:prstGeom prst="rect">
                      <a:avLst/>
                    </a:prstGeom>
                  </pic:spPr>
                </pic:pic>
              </a:graphicData>
            </a:graphic>
          </wp:inline>
        </w:drawing>
      </w:r>
    </w:p>
    <w:p w14:paraId="70AC931F">
      <w:pPr>
        <w:pStyle w:val="15"/>
        <w:spacing w:after="120"/>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21"/>
                    <a:stretch>
                      <a:fillRect/>
                    </a:stretch>
                  </pic:blipFill>
                  <pic:spPr>
                    <a:xfrm>
                      <a:off x="0" y="0"/>
                      <a:ext cx="5852160" cy="2557689"/>
                    </a:xfrm>
                    <a:prstGeom prst="rect">
                      <a:avLst/>
                    </a:prstGeom>
                  </pic:spPr>
                </pic:pic>
              </a:graphicData>
            </a:graphic>
          </wp:inline>
        </w:drawing>
      </w:r>
    </w:p>
    <w:p w14:paraId="3EBE8CF2">
      <w:pPr>
        <w:pStyle w:val="15"/>
        <w:spacing w:after="120"/>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lang w:val="en-US" w:eastAsia="zh-CN"/>
        </w:rPr>
        <w:t>满足此配置的玩家才会记为有效人数</w:t>
      </w:r>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22"/>
                    <a:stretch>
                      <a:fillRect/>
                    </a:stretch>
                  </pic:blipFill>
                  <pic:spPr>
                    <a:xfrm>
                      <a:off x="0" y="0"/>
                      <a:ext cx="5852160" cy="1723078"/>
                    </a:xfrm>
                    <a:prstGeom prst="rect">
                      <a:avLst/>
                    </a:prstGeom>
                  </pic:spPr>
                </pic:pic>
              </a:graphicData>
            </a:graphic>
          </wp:inline>
        </w:drawing>
      </w:r>
    </w:p>
    <w:p w14:paraId="3BC16008">
      <w:pPr>
        <w:pStyle w:val="15"/>
        <w:spacing w:after="120"/>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23"/>
                    <a:stretch>
                      <a:fillRect/>
                    </a:stretch>
                  </pic:blipFill>
                  <pic:spPr>
                    <a:xfrm>
                      <a:off x="0" y="0"/>
                      <a:ext cx="5852160" cy="2466642"/>
                    </a:xfrm>
                    <a:prstGeom prst="rect">
                      <a:avLst/>
                    </a:prstGeom>
                  </pic:spPr>
                </pic:pic>
              </a:graphicData>
            </a:graphic>
          </wp:inline>
        </w:drawing>
      </w:r>
    </w:p>
    <w:p w14:paraId="5A635C41">
      <w:pPr>
        <w:pStyle w:val="15"/>
        <w:spacing w:after="120"/>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spacing w:before="360" w:after="240" w:line="276" w:lineRule="auto"/>
      </w:pPr>
      <w:r>
        <w:rPr>
          <w:rFonts w:ascii="微软雅黑" w:hAnsi="微软雅黑" w:eastAsia="微软雅黑"/>
          <w:b/>
          <w:color w:val="17365D"/>
          <w:sz w:val="40"/>
        </w:rPr>
        <w:t>十二、风险中心</w:t>
      </w:r>
    </w:p>
    <w:p w14:paraId="7208F2D2">
      <w:pPr>
        <w:pStyle w:val="4"/>
        <w:keepNext/>
        <w:spacing w:before="240" w:after="140" w:line="269" w:lineRule="auto"/>
      </w:pPr>
      <w:r>
        <w:rPr>
          <w:rFonts w:ascii="微软雅黑" w:hAnsi="微软雅黑" w:eastAsia="微软雅黑"/>
          <w:b/>
          <w:color w:val="1F4E79"/>
          <w:sz w:val="30"/>
        </w:rPr>
        <w:t>模块定位</w:t>
      </w:r>
    </w:p>
    <w:p w14:paraId="34F9B4F2">
      <w:pPr>
        <w:spacing w:after="60" w:line="276" w:lineRule="auto"/>
      </w:pPr>
      <w:r>
        <w:t>风险中心集中查看黑名单、刷子监控和游戏获利监控，是排查异常账号、异常行为和套利风险的入口；发现风险线索后，先从这里找到对应监控页再继续下钻。</w:t>
      </w:r>
    </w:p>
    <w:p w14:paraId="27AAD9D0">
      <w:pPr>
        <w:pStyle w:val="4"/>
        <w:keepNext/>
        <w:spacing w:before="240" w:after="140" w:line="269" w:lineRule="auto"/>
      </w:pPr>
      <w:r>
        <w:rPr>
          <w:rFonts w:ascii="微软雅黑" w:hAnsi="微软雅黑" w:eastAsia="微软雅黑"/>
          <w:b/>
          <w:color w:val="1F4E79"/>
          <w:sz w:val="30"/>
        </w:rPr>
        <w:t>页面说明</w:t>
      </w:r>
    </w:p>
    <w:p w14:paraId="6AC7DCE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黑名单</w:t>
      </w:r>
    </w:p>
    <w:p w14:paraId="5A106785">
      <w:r>
        <w:drawing>
          <wp:inline distT="0" distB="0" distL="114300" distR="114300">
            <wp:extent cx="6387465" cy="2297430"/>
            <wp:effectExtent l="0" t="0" r="13335" b="7620"/>
            <wp:docPr id="3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9"/>
                    <pic:cNvPicPr>
                      <a:picLocks noChangeAspect="1"/>
                    </pic:cNvPicPr>
                  </pic:nvPicPr>
                  <pic:blipFill>
                    <a:blip r:embed="rId124"/>
                    <a:stretch>
                      <a:fillRect/>
                    </a:stretch>
                  </pic:blipFill>
                  <pic:spPr>
                    <a:xfrm>
                      <a:off x="0" y="0"/>
                      <a:ext cx="6387465" cy="2297430"/>
                    </a:xfrm>
                    <a:prstGeom prst="rect">
                      <a:avLst/>
                    </a:prstGeom>
                    <a:noFill/>
                    <a:ln>
                      <a:noFill/>
                    </a:ln>
                  </pic:spPr>
                </pic:pic>
              </a:graphicData>
            </a:graphic>
          </wp:inline>
        </w:drawing>
      </w:r>
    </w:p>
    <w:p w14:paraId="07AEBDB1">
      <w:r>
        <w:drawing>
          <wp:inline distT="0" distB="0" distL="114300" distR="114300">
            <wp:extent cx="4225925" cy="2560320"/>
            <wp:effectExtent l="0" t="0" r="3175" b="11430"/>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125"/>
                    <a:stretch>
                      <a:fillRect/>
                    </a:stretch>
                  </pic:blipFill>
                  <pic:spPr>
                    <a:xfrm>
                      <a:off x="0" y="0"/>
                      <a:ext cx="4225925" cy="2560320"/>
                    </a:xfrm>
                    <a:prstGeom prst="rect">
                      <a:avLst/>
                    </a:prstGeom>
                    <a:noFill/>
                    <a:ln>
                      <a:noFill/>
                    </a:ln>
                  </pic:spPr>
                </pic:pic>
              </a:graphicData>
            </a:graphic>
          </wp:inline>
        </w:drawing>
      </w:r>
    </w:p>
    <w:p w14:paraId="5F16CF7A">
      <w:r>
        <w:drawing>
          <wp:inline distT="0" distB="0" distL="114300" distR="114300">
            <wp:extent cx="6398260" cy="1089025"/>
            <wp:effectExtent l="0" t="0" r="2540" b="15875"/>
            <wp:docPr id="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5"/>
                    <pic:cNvPicPr>
                      <a:picLocks noChangeAspect="1"/>
                    </pic:cNvPicPr>
                  </pic:nvPicPr>
                  <pic:blipFill>
                    <a:blip r:embed="rId126"/>
                    <a:stretch>
                      <a:fillRect/>
                    </a:stretch>
                  </pic:blipFill>
                  <pic:spPr>
                    <a:xfrm>
                      <a:off x="0" y="0"/>
                      <a:ext cx="6398260" cy="1089025"/>
                    </a:xfrm>
                    <a:prstGeom prst="rect">
                      <a:avLst/>
                    </a:prstGeom>
                    <a:noFill/>
                    <a:ln>
                      <a:noFill/>
                    </a:ln>
                  </pic:spPr>
                </pic:pic>
              </a:graphicData>
            </a:graphic>
          </wp:inline>
        </w:drawing>
      </w:r>
    </w:p>
    <w:p w14:paraId="0E008CF3">
      <w:r>
        <w:drawing>
          <wp:inline distT="0" distB="0" distL="114300" distR="114300">
            <wp:extent cx="4333875" cy="3114675"/>
            <wp:effectExtent l="0" t="0" r="9525" b="9525"/>
            <wp:docPr id="7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4"/>
                    <pic:cNvPicPr>
                      <a:picLocks noChangeAspect="1"/>
                    </pic:cNvPicPr>
                  </pic:nvPicPr>
                  <pic:blipFill>
                    <a:blip r:embed="rId127"/>
                    <a:stretch>
                      <a:fillRect/>
                    </a:stretch>
                  </pic:blipFill>
                  <pic:spPr>
                    <a:xfrm>
                      <a:off x="0" y="0"/>
                      <a:ext cx="4333875" cy="3114675"/>
                    </a:xfrm>
                    <a:prstGeom prst="rect">
                      <a:avLst/>
                    </a:prstGeom>
                    <a:noFill/>
                    <a:ln>
                      <a:noFill/>
                    </a:ln>
                  </pic:spPr>
                </pic:pic>
              </a:graphicData>
            </a:graphic>
          </wp:inline>
        </w:drawing>
      </w:r>
    </w:p>
    <w:p w14:paraId="6445DE53"/>
    <w:p w14:paraId="722D3419"/>
    <w:p w14:paraId="60BA53C8">
      <w:pPr>
        <w:pStyle w:val="16"/>
        <w:spacing w:after="60" w:line="276" w:lineRule="auto"/>
      </w:pPr>
      <w:r>
        <w:rPr>
          <w:rFonts w:ascii="微软雅黑" w:hAnsi="微软雅黑" w:eastAsia="微软雅黑"/>
          <w:b/>
          <w:color w:val="2F5597"/>
          <w:sz w:val="20"/>
        </w:rPr>
        <w:t>黑名单</w:t>
      </w:r>
      <w:r>
        <w:rPr>
          <w:rFonts w:ascii="微软雅黑" w:hAnsi="微软雅黑" w:eastAsia="微软雅黑"/>
          <w:b w:val="0"/>
          <w:sz w:val="20"/>
        </w:rPr>
        <w:t>：用于管理受限制的玩家或风险对象。</w:t>
      </w:r>
    </w:p>
    <w:p w14:paraId="325491E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：新增、查询、解除黑名单，查看限制原因和操作记录。</w:t>
      </w:r>
    </w:p>
    <w:p w14:paraId="33E46AA7">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：加入或解除黑名单前需确认风险原因和处理依据。</w:t>
      </w:r>
    </w:p>
    <w:p w14:paraId="4F6DF18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刷子监控</w:t>
      </w:r>
    </w:p>
    <w:p w14:paraId="6D4AF55D">
      <w:r>
        <w:drawing>
          <wp:inline distT="0" distB="0" distL="114300" distR="114300">
            <wp:extent cx="6400165" cy="2273935"/>
            <wp:effectExtent l="0" t="0" r="635" b="12065"/>
            <wp:docPr id="4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0"/>
                    <pic:cNvPicPr>
                      <a:picLocks noChangeAspect="1"/>
                    </pic:cNvPicPr>
                  </pic:nvPicPr>
                  <pic:blipFill>
                    <a:blip r:embed="rId128"/>
                    <a:stretch>
                      <a:fillRect/>
                    </a:stretch>
                  </pic:blipFill>
                  <pic:spPr>
                    <a:xfrm>
                      <a:off x="0" y="0"/>
                      <a:ext cx="6400165" cy="2273935"/>
                    </a:xfrm>
                    <a:prstGeom prst="rect">
                      <a:avLst/>
                    </a:prstGeom>
                    <a:noFill/>
                    <a:ln>
                      <a:noFill/>
                    </a:ln>
                  </pic:spPr>
                </pic:pic>
              </a:graphicData>
            </a:graphic>
          </wp:inline>
        </w:drawing>
      </w:r>
    </w:p>
    <w:p w14:paraId="07EDE3B9">
      <w:r>
        <w:drawing>
          <wp:inline distT="0" distB="0" distL="114300" distR="114300">
            <wp:extent cx="6391275" cy="2491105"/>
            <wp:effectExtent l="0" t="0" r="9525" b="4445"/>
            <wp:docPr id="4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1"/>
                    <pic:cNvPicPr>
                      <a:picLocks noChangeAspect="1"/>
                    </pic:cNvPicPr>
                  </pic:nvPicPr>
                  <pic:blipFill>
                    <a:blip r:embed="rId129"/>
                    <a:stretch>
                      <a:fillRect/>
                    </a:stretch>
                  </pic:blipFill>
                  <pic:spPr>
                    <a:xfrm>
                      <a:off x="0" y="0"/>
                      <a:ext cx="6391275" cy="2491105"/>
                    </a:xfrm>
                    <a:prstGeom prst="rect">
                      <a:avLst/>
                    </a:prstGeom>
                    <a:noFill/>
                    <a:ln>
                      <a:noFill/>
                    </a:ln>
                  </pic:spPr>
                </pic:pic>
              </a:graphicData>
            </a:graphic>
          </wp:inline>
        </w:drawing>
      </w:r>
    </w:p>
    <w:p w14:paraId="2C8865F6">
      <w:pPr>
        <w:pStyle w:val="16"/>
        <w:spacing w:after="60" w:line="276" w:lineRule="auto"/>
      </w:pPr>
      <w:r>
        <w:rPr>
          <w:rFonts w:ascii="微软雅黑" w:hAnsi="微软雅黑" w:eastAsia="微软雅黑"/>
          <w:b/>
          <w:color w:val="2F5597"/>
          <w:sz w:val="20"/>
        </w:rPr>
        <w:t>刷子监控</w:t>
      </w:r>
      <w:r>
        <w:rPr>
          <w:rFonts w:ascii="微软雅黑" w:hAnsi="微软雅黑" w:eastAsia="微软雅黑"/>
          <w:b w:val="0"/>
          <w:sz w:val="20"/>
        </w:rPr>
        <w:t>：用于监控疑似异常套利或刷量玩家。</w:t>
      </w:r>
    </w:p>
    <w:p w14:paraId="32E92F7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：按玩家、风险类型或时间筛选，查看异常指标和处理记录。</w:t>
      </w:r>
    </w:p>
    <w:p w14:paraId="5E5377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：处理前结合投注、活动、充值和设备信息综合判断。</w:t>
      </w:r>
    </w:p>
    <w:p w14:paraId="29A8289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游戏获利监控</w:t>
      </w:r>
    </w:p>
    <w:p w14:paraId="1C658394">
      <w:r>
        <w:drawing>
          <wp:inline distT="0" distB="0" distL="114300" distR="114300">
            <wp:extent cx="6388735" cy="2111375"/>
            <wp:effectExtent l="0" t="0" r="12065" b="3175"/>
            <wp:docPr id="4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2"/>
                    <pic:cNvPicPr>
                      <a:picLocks noChangeAspect="1"/>
                    </pic:cNvPicPr>
                  </pic:nvPicPr>
                  <pic:blipFill>
                    <a:blip r:embed="rId130"/>
                    <a:stretch>
                      <a:fillRect/>
                    </a:stretch>
                  </pic:blipFill>
                  <pic:spPr>
                    <a:xfrm>
                      <a:off x="0" y="0"/>
                      <a:ext cx="6388735" cy="2111375"/>
                    </a:xfrm>
                    <a:prstGeom prst="rect">
                      <a:avLst/>
                    </a:prstGeom>
                    <a:noFill/>
                    <a:ln>
                      <a:noFill/>
                    </a:ln>
                  </pic:spPr>
                </pic:pic>
              </a:graphicData>
            </a:graphic>
          </wp:inline>
        </w:drawing>
      </w:r>
    </w:p>
    <w:p w14:paraId="0AB87103">
      <w:r>
        <w:drawing>
          <wp:inline distT="0" distB="0" distL="114300" distR="114300">
            <wp:extent cx="6399530" cy="2967990"/>
            <wp:effectExtent l="0" t="0" r="1270" b="3810"/>
            <wp:docPr id="6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3"/>
                    <pic:cNvPicPr>
                      <a:picLocks noChangeAspect="1"/>
                    </pic:cNvPicPr>
                  </pic:nvPicPr>
                  <pic:blipFill>
                    <a:blip r:embed="rId131"/>
                    <a:stretch>
                      <a:fillRect/>
                    </a:stretch>
                  </pic:blipFill>
                  <pic:spPr>
                    <a:xfrm>
                      <a:off x="0" y="0"/>
                      <a:ext cx="6399530" cy="2967990"/>
                    </a:xfrm>
                    <a:prstGeom prst="rect">
                      <a:avLst/>
                    </a:prstGeom>
                    <a:noFill/>
                    <a:ln>
                      <a:noFill/>
                    </a:ln>
                  </pic:spPr>
                </pic:pic>
              </a:graphicData>
            </a:graphic>
          </wp:inline>
        </w:drawing>
      </w:r>
    </w:p>
    <w:p w14:paraId="179154A2">
      <w:pPr>
        <w:pStyle w:val="16"/>
        <w:spacing w:after="60" w:line="276" w:lineRule="auto"/>
      </w:pPr>
      <w:r>
        <w:rPr>
          <w:rFonts w:ascii="微软雅黑" w:hAnsi="微软雅黑" w:eastAsia="微软雅黑"/>
          <w:b/>
          <w:color w:val="2F5597"/>
          <w:sz w:val="20"/>
        </w:rPr>
        <w:t>游戏获利监控</w:t>
      </w:r>
      <w:r>
        <w:rPr>
          <w:rFonts w:ascii="微软雅黑" w:hAnsi="微软雅黑" w:eastAsia="微软雅黑"/>
          <w:b w:val="0"/>
          <w:sz w:val="20"/>
        </w:rPr>
        <w:t>：用于监控玩家游戏获利异常情况。</w:t>
      </w:r>
    </w:p>
    <w:p w14:paraId="17CFACE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：按玩家、游戏或时间筛选，查看获利、投注和风险状态。</w:t>
      </w:r>
    </w:p>
    <w:p w14:paraId="11541BF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：发现异常后结合游戏记录和风控规则进一步核查。</w:t>
      </w:r>
    </w:p>
    <w:p w14:paraId="39A02A3E">
      <w:pPr>
        <w:pStyle w:val="3"/>
        <w:keepNext/>
        <w:spacing w:before="360" w:after="240" w:line="276" w:lineRule="auto"/>
      </w:pPr>
      <w:r>
        <w:rPr>
          <w:rFonts w:ascii="微软雅黑" w:hAnsi="微软雅黑" w:eastAsia="微软雅黑"/>
          <w:b/>
          <w:color w:val="17365D"/>
          <w:sz w:val="40"/>
        </w:rPr>
        <w:t>十三、商户中心</w:t>
      </w:r>
    </w:p>
    <w:p w14:paraId="3C317668">
      <w:pPr>
        <w:pStyle w:val="4"/>
        <w:keepNext/>
        <w:spacing w:before="240" w:after="140" w:line="269" w:lineRule="auto"/>
      </w:pPr>
      <w:r>
        <w:rPr>
          <w:rFonts w:ascii="微软雅黑" w:hAnsi="微软雅黑" w:eastAsia="微软雅黑"/>
          <w:b/>
          <w:color w:val="1F4E79"/>
          <w:sz w:val="30"/>
        </w:rPr>
        <w:t>模块定位</w:t>
      </w:r>
    </w:p>
    <w:p w14:paraId="274A9CAF">
      <w:pPr>
        <w:spacing w:after="60" w:line="276" w:lineRule="auto"/>
      </w:pPr>
      <w:r>
        <w:t>商户中心是商户资料、充值、账变和账单的总入口，适合核对主体信息、资金流水和结算结果；涉及商户基础资料或费用问题时，先从这一章定位到具体页面。</w:t>
      </w:r>
    </w:p>
    <w:p w14:paraId="5DB9F037">
      <w:pPr>
        <w:pStyle w:val="4"/>
        <w:keepNext/>
        <w:spacing w:before="240" w:after="140" w:line="269" w:lineRule="auto"/>
      </w:pPr>
      <w:r>
        <w:rPr>
          <w:rFonts w:ascii="微软雅黑" w:hAnsi="微软雅黑" w:eastAsia="微软雅黑"/>
          <w:b/>
          <w:color w:val="1F4E79"/>
          <w:sz w:val="30"/>
        </w:rPr>
        <w:t>页面说明</w:t>
      </w:r>
    </w:p>
    <w:p w14:paraId="0BD38823">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商户信息</w:t>
      </w:r>
    </w:p>
    <w:p w14:paraId="6767D18E">
      <w:pPr>
        <w:spacing w:after="60" w:line="276" w:lineRule="auto"/>
      </w:pPr>
      <w:r>
        <w:rPr>
          <w:rFonts w:ascii="微软雅黑" w:hAnsi="微软雅黑" w:eastAsia="微软雅黑"/>
          <w:b w:val="0"/>
          <w:sz w:val="20"/>
        </w:rPr>
        <w:t>商户信息用于查看当前商户的基础资料、费用设置、账户白名单、站点费率和游戏费率，是商户中心核对经营参数与联系信息的主入口。</w:t>
      </w:r>
    </w:p>
    <w:p w14:paraId="04026D7B">
      <w:pPr>
        <w:pStyle w:val="6"/>
        <w:spacing w:after="60" w:line="276" w:lineRule="auto"/>
      </w:pPr>
      <w:r>
        <w:rPr>
          <w:rFonts w:ascii="微软雅黑" w:hAnsi="微软雅黑" w:eastAsia="微软雅黑"/>
          <w:b/>
          <w:i/>
          <w:color w:val="2F5597"/>
          <w:sz w:val="21"/>
        </w:rPr>
        <w:t>基本信息页签</w:t>
      </w:r>
    </w:p>
    <w:p w14:paraId="1AE0B75C">
      <w:pPr>
        <w:spacing w:after="60" w:line="276" w:lineRule="auto"/>
      </w:pPr>
      <w:r>
        <w:rPr>
          <w:rFonts w:ascii="微软雅黑" w:hAnsi="微软雅黑" w:eastAsia="微软雅黑"/>
          <w:b w:val="0"/>
          <w:sz w:val="20"/>
        </w:rPr>
        <w:t>基本信息页签用于查看商户主体资料、钱包信息和当前配置状态，适合在账号开通、资料核对或状态排查时优先查看。</w:t>
      </w:r>
    </w:p>
    <w:p w14:paraId="46AB8A15">
      <w:pPr>
        <w:spacing w:after="40"/>
        <w:jc w:val="center"/>
      </w:pPr>
      <w:r>
        <w:drawing>
          <wp:inline distT="0" distB="0" distL="114300" distR="114300">
            <wp:extent cx="5852160" cy="1964690"/>
            <wp:effectExtent l="0" t="0" r="15240" b="1651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pic:cNvPicPr>
                  </pic:nvPicPr>
                  <pic:blipFill>
                    <a:blip r:embed="rId132"/>
                    <a:stretch>
                      <a:fillRect/>
                    </a:stretch>
                  </pic:blipFill>
                  <pic:spPr>
                    <a:xfrm>
                      <a:off x="0" y="0"/>
                      <a:ext cx="5852160" cy="1964907"/>
                    </a:xfrm>
                    <a:prstGeom prst="rect">
                      <a:avLst/>
                    </a:prstGeom>
                  </pic:spPr>
                </pic:pic>
              </a:graphicData>
            </a:graphic>
          </wp:inline>
        </w:drawing>
      </w:r>
    </w:p>
    <w:p w14:paraId="177F2853">
      <w:pPr>
        <w:pStyle w:val="15"/>
        <w:spacing w:after="120"/>
        <w:jc w:val="center"/>
      </w:pPr>
      <w:r>
        <w:rPr>
          <w:rFonts w:ascii="微软雅黑" w:hAnsi="微软雅黑" w:eastAsia="微软雅黑"/>
          <w:b w:val="0"/>
          <w:color w:val="707E92"/>
          <w:sz w:val="18"/>
        </w:rPr>
        <w:t>图：商户信息-基本信息页签，用于查看商户基础资料、钱包余额和配置状态。</w:t>
      </w:r>
    </w:p>
    <w:p w14:paraId="167FEA24">
      <w:pPr>
        <w:pStyle w:val="16"/>
        <w:spacing w:after="60" w:line="276" w:lineRule="auto"/>
      </w:pPr>
      <w:r>
        <w:rPr>
          <w:rFonts w:ascii="微软雅黑" w:hAnsi="微软雅黑" w:eastAsia="微软雅黑"/>
          <w:b/>
          <w:color w:val="2F5597"/>
          <w:sz w:val="20"/>
        </w:rPr>
        <w:t>资料字段</w:t>
      </w:r>
      <w:r>
        <w:rPr>
          <w:rFonts w:ascii="微软雅黑" w:hAnsi="微软雅黑" w:eastAsia="微软雅黑"/>
          <w:b w:val="0"/>
          <w:sz w:val="20"/>
        </w:rPr>
        <w:t>：页面展示商户ID、商户名称、经营国家、币种、时区、商户等级、创建时间和语言，适合核对当前商户主体信息是否与开通资料一致。</w:t>
      </w:r>
    </w:p>
    <w:p w14:paraId="4CE24A98">
      <w:pPr>
        <w:pStyle w:val="16"/>
        <w:spacing w:after="60" w:line="276" w:lineRule="auto"/>
      </w:pPr>
      <w:r>
        <w:rPr>
          <w:rFonts w:ascii="微软雅黑" w:hAnsi="微软雅黑" w:eastAsia="微软雅黑"/>
          <w:b/>
          <w:color w:val="2F5597"/>
          <w:sz w:val="20"/>
        </w:rPr>
        <w:t>钱包信息</w:t>
      </w:r>
      <w:r>
        <w:rPr>
          <w:rFonts w:ascii="微软雅黑" w:hAnsi="微软雅黑" w:eastAsia="微软雅黑"/>
          <w:b w:val="0"/>
          <w:sz w:val="20"/>
        </w:rPr>
        <w:t>：钱包区域可查看钱包余额、授信额度和支付IP；排查额度、到账或访问限制问题时，可先核对这几项数据。</w:t>
      </w:r>
    </w:p>
    <w:p w14:paraId="777EB098">
      <w:pPr>
        <w:pStyle w:val="16"/>
        <w:spacing w:after="60" w:line="276" w:lineRule="auto"/>
      </w:pPr>
      <w:r>
        <w:rPr>
          <w:rFonts w:ascii="微软雅黑" w:hAnsi="微软雅黑" w:eastAsia="微软雅黑"/>
          <w:b/>
          <w:color w:val="2F5597"/>
          <w:sz w:val="20"/>
        </w:rPr>
        <w:t>商户配置</w:t>
      </w:r>
      <w:r>
        <w:rPr>
          <w:rFonts w:ascii="微软雅黑" w:hAnsi="微软雅黑" w:eastAsia="微软雅黑"/>
          <w:b w:val="0"/>
          <w:sz w:val="20"/>
        </w:rPr>
        <w:t>：下方展示登录方式、活动类型和控赢开关等配置状态，用于确认当前商户的接入方式和风控开关是否已按预期启用。</w:t>
      </w:r>
    </w:p>
    <w:p w14:paraId="7320F86E">
      <w:pPr>
        <w:pStyle w:val="6"/>
        <w:spacing w:after="60" w:line="276" w:lineRule="auto"/>
      </w:pPr>
      <w:r>
        <w:rPr>
          <w:rFonts w:ascii="微软雅黑" w:hAnsi="微软雅黑" w:eastAsia="微软雅黑"/>
          <w:b/>
          <w:i/>
          <w:color w:val="2F5597"/>
          <w:sz w:val="21"/>
        </w:rPr>
        <w:t>费用配置页签</w:t>
      </w:r>
    </w:p>
    <w:p w14:paraId="5F45035F">
      <w:pPr>
        <w:spacing w:after="60" w:line="276" w:lineRule="auto"/>
      </w:pPr>
      <w:r>
        <w:rPr>
          <w:rFonts w:ascii="微软雅黑" w:hAnsi="微软雅黑" w:eastAsia="微软雅黑"/>
          <w:b w:val="0"/>
          <w:sz w:val="20"/>
        </w:rPr>
        <w:t>费用配置页签用于查看商户当前承担的开版费、线路费和月保底费用，并汇总费用总计。</w:t>
      </w:r>
    </w:p>
    <w:p w14:paraId="5695BB04">
      <w:pPr>
        <w:spacing w:after="40"/>
        <w:jc w:val="center"/>
      </w:pPr>
      <w:r>
        <w:drawing>
          <wp:inline distT="0" distB="0" distL="114300" distR="114300">
            <wp:extent cx="5852160" cy="1325880"/>
            <wp:effectExtent l="0" t="0" r="15240"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a:picLocks noChangeAspect="1"/>
                    </pic:cNvPicPr>
                  </pic:nvPicPr>
                  <pic:blipFill>
                    <a:blip r:embed="rId133"/>
                    <a:stretch>
                      <a:fillRect/>
                    </a:stretch>
                  </pic:blipFill>
                  <pic:spPr>
                    <a:xfrm>
                      <a:off x="0" y="0"/>
                      <a:ext cx="5852160" cy="1326189"/>
                    </a:xfrm>
                    <a:prstGeom prst="rect">
                      <a:avLst/>
                    </a:prstGeom>
                  </pic:spPr>
                </pic:pic>
              </a:graphicData>
            </a:graphic>
          </wp:inline>
        </w:drawing>
      </w:r>
    </w:p>
    <w:p w14:paraId="71CB51D5">
      <w:pPr>
        <w:pStyle w:val="15"/>
        <w:spacing w:after="120"/>
        <w:jc w:val="center"/>
      </w:pPr>
      <w:r>
        <w:rPr>
          <w:rFonts w:ascii="微软雅黑" w:hAnsi="微软雅黑" w:eastAsia="微软雅黑"/>
          <w:b w:val="0"/>
          <w:color w:val="707E92"/>
          <w:sz w:val="18"/>
        </w:rPr>
        <w:t>图：商户信息-费用配置页签，用于查看商户费用项目和费用汇总。</w:t>
      </w:r>
    </w:p>
    <w:p w14:paraId="526A38C1">
      <w:pPr>
        <w:pStyle w:val="16"/>
        <w:spacing w:after="60" w:line="276" w:lineRule="auto"/>
      </w:pPr>
      <w:r>
        <w:rPr>
          <w:rFonts w:ascii="微软雅黑" w:hAnsi="微软雅黑" w:eastAsia="微软雅黑"/>
          <w:b/>
          <w:color w:val="2F5597"/>
          <w:sz w:val="20"/>
        </w:rPr>
        <w:t>费用项目</w:t>
      </w:r>
      <w:r>
        <w:rPr>
          <w:rFonts w:ascii="微软雅黑" w:hAnsi="微软雅黑" w:eastAsia="微软雅黑"/>
          <w:b w:val="0"/>
          <w:sz w:val="20"/>
        </w:rPr>
        <w:t>：页面列出开版费、月保底费用和线路费用，可直接查看每项费用的当前值。</w:t>
      </w:r>
    </w:p>
    <w:p w14:paraId="11946676">
      <w:pPr>
        <w:pStyle w:val="16"/>
        <w:spacing w:after="60" w:line="276" w:lineRule="auto"/>
      </w:pPr>
      <w:r>
        <w:rPr>
          <w:rFonts w:ascii="微软雅黑" w:hAnsi="微软雅黑" w:eastAsia="微软雅黑"/>
          <w:b/>
          <w:color w:val="2F5597"/>
          <w:sz w:val="20"/>
        </w:rPr>
        <w:t>费用汇总</w:t>
      </w:r>
      <w:r>
        <w:rPr>
          <w:rFonts w:ascii="微软雅黑" w:hAnsi="微软雅黑" w:eastAsia="微软雅黑"/>
          <w:b w:val="0"/>
          <w:sz w:val="20"/>
        </w:rPr>
        <w:t>：右侧显示费用总计，便于在账单核算前快速确认当前商户的固定费用口径。</w:t>
      </w:r>
    </w:p>
    <w:p w14:paraId="094FC041">
      <w:pPr>
        <w:pStyle w:val="16"/>
        <w:spacing w:after="60" w:line="276" w:lineRule="auto"/>
      </w:pPr>
      <w:r>
        <w:rPr>
          <w:rFonts w:ascii="微软雅黑" w:hAnsi="微软雅黑" w:eastAsia="微软雅黑"/>
          <w:b/>
          <w:color w:val="2F5597"/>
          <w:sz w:val="20"/>
        </w:rPr>
        <w:t>附加控制</w:t>
      </w:r>
      <w:r>
        <w:rPr>
          <w:rFonts w:ascii="微软雅黑" w:hAnsi="微软雅黑" w:eastAsia="微软雅黑"/>
          <w:b w:val="0"/>
          <w:sz w:val="20"/>
        </w:rPr>
        <w:t>：页面同时展示额度用完注销状态，用于确认额度耗尽后是否启用自动注销类限制。</w:t>
      </w:r>
    </w:p>
    <w:p w14:paraId="00EA96FD">
      <w:pPr>
        <w:pStyle w:val="6"/>
        <w:spacing w:after="60" w:line="276" w:lineRule="auto"/>
      </w:pPr>
      <w:r>
        <w:rPr>
          <w:rFonts w:ascii="微软雅黑" w:hAnsi="微软雅黑" w:eastAsia="微软雅黑"/>
          <w:b/>
          <w:i/>
          <w:color w:val="2F5597"/>
          <w:sz w:val="21"/>
        </w:rPr>
        <w:t>账号与联系页签</w:t>
      </w:r>
    </w:p>
    <w:p w14:paraId="3F514EBE">
      <w:pPr>
        <w:spacing w:after="60" w:line="276" w:lineRule="auto"/>
      </w:pPr>
      <w:r>
        <w:rPr>
          <w:rFonts w:ascii="微软雅黑" w:hAnsi="微软雅黑" w:eastAsia="微软雅黑"/>
          <w:b w:val="0"/>
          <w:sz w:val="20"/>
        </w:rPr>
        <w:t>账号与联系页签用于查看允许开站点数、后台IP白名单和商户联系信息，适合做登录限制和对接信息核对。</w:t>
      </w:r>
    </w:p>
    <w:p w14:paraId="0824B19E">
      <w:pPr>
        <w:spacing w:after="40"/>
        <w:jc w:val="center"/>
      </w:pPr>
      <w:r>
        <w:drawing>
          <wp:inline distT="0" distB="0" distL="114300" distR="114300">
            <wp:extent cx="5852160" cy="1609090"/>
            <wp:effectExtent l="0" t="0" r="15240" b="1016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pic:cNvPicPr>
                      <a:picLocks noChangeAspect="1"/>
                    </pic:cNvPicPr>
                  </pic:nvPicPr>
                  <pic:blipFill>
                    <a:blip r:embed="rId134"/>
                    <a:stretch>
                      <a:fillRect/>
                    </a:stretch>
                  </pic:blipFill>
                  <pic:spPr>
                    <a:xfrm>
                      <a:off x="0" y="0"/>
                      <a:ext cx="5852160" cy="1609693"/>
                    </a:xfrm>
                    <a:prstGeom prst="rect">
                      <a:avLst/>
                    </a:prstGeom>
                  </pic:spPr>
                </pic:pic>
              </a:graphicData>
            </a:graphic>
          </wp:inline>
        </w:drawing>
      </w:r>
    </w:p>
    <w:p w14:paraId="4EEE30F7">
      <w:pPr>
        <w:pStyle w:val="15"/>
        <w:spacing w:after="120"/>
        <w:jc w:val="center"/>
      </w:pPr>
      <w:r>
        <w:rPr>
          <w:rFonts w:ascii="微软雅黑" w:hAnsi="微软雅黑" w:eastAsia="微软雅黑"/>
          <w:b w:val="0"/>
          <w:color w:val="707E92"/>
          <w:sz w:val="18"/>
        </w:rPr>
        <w:t>图：商户信息-账号与联系页签，用于查看后台IP白名单和商户联系方式。</w:t>
      </w:r>
    </w:p>
    <w:p w14:paraId="353F1C10">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：页面展示允许开站点数，可用于确认当前商户还能开设的子站点范围。</w:t>
      </w:r>
    </w:p>
    <w:p w14:paraId="1A8F1CFB">
      <w:pPr>
        <w:pStyle w:val="16"/>
        <w:spacing w:after="60" w:line="276" w:lineRule="auto"/>
      </w:pPr>
      <w:r>
        <w:rPr>
          <w:rFonts w:ascii="微软雅黑" w:hAnsi="微软雅黑" w:eastAsia="微软雅黑"/>
          <w:b/>
          <w:color w:val="2F5597"/>
          <w:sz w:val="20"/>
        </w:rPr>
        <w:t>IP白名单</w:t>
      </w:r>
      <w:r>
        <w:rPr>
          <w:rFonts w:ascii="微软雅黑" w:hAnsi="微软雅黑" w:eastAsia="微软雅黑"/>
          <w:b w:val="0"/>
          <w:sz w:val="20"/>
        </w:rPr>
        <w:t>：后台IP白名单表格展示IP地址、备注、创建时间和操作；记录可通过编辑、删除维护，</w:t>
      </w:r>
      <w:r>
        <w:rPr>
          <w:rFonts w:hint="eastAsia"/>
          <w:b w:val="0"/>
          <w:sz w:val="20"/>
          <w:lang w:val="en-US" w:eastAsia="zh-CN"/>
        </w:rPr>
        <w:t>平台分配的白名单</w:t>
      </w:r>
      <w:r>
        <w:rPr>
          <w:rFonts w:ascii="微软雅黑" w:hAnsi="微软雅黑" w:eastAsia="微软雅黑"/>
          <w:b w:val="0"/>
          <w:sz w:val="20"/>
        </w:rPr>
        <w:t>不能</w:t>
      </w:r>
      <w:r>
        <w:rPr>
          <w:rFonts w:hint="eastAsia"/>
          <w:b w:val="0"/>
          <w:sz w:val="20"/>
          <w:lang w:val="en-US" w:eastAsia="zh-CN"/>
        </w:rPr>
        <w:t>修改或删除</w:t>
      </w:r>
      <w:r>
        <w:rPr>
          <w:rFonts w:ascii="微软雅黑" w:hAnsi="微软雅黑" w:eastAsia="微软雅黑"/>
          <w:b w:val="0"/>
          <w:sz w:val="20"/>
        </w:rPr>
        <w:t>。</w:t>
      </w:r>
    </w:p>
    <w:p w14:paraId="7FC97DE9">
      <w:pPr>
        <w:pStyle w:val="16"/>
        <w:spacing w:after="60" w:line="276" w:lineRule="auto"/>
      </w:pPr>
      <w:r>
        <w:rPr>
          <w:rFonts w:ascii="微软雅黑" w:hAnsi="微软雅黑" w:eastAsia="微软雅黑"/>
          <w:b/>
          <w:color w:val="2F5597"/>
          <w:sz w:val="20"/>
        </w:rPr>
        <w:t>联系信息</w:t>
      </w:r>
      <w:r>
        <w:rPr>
          <w:rFonts w:ascii="微软雅黑" w:hAnsi="微软雅黑" w:eastAsia="微软雅黑"/>
          <w:b w:val="0"/>
          <w:sz w:val="20"/>
        </w:rPr>
        <w:t>：下方展示商务TG昵称、商务TG联系和商户TG联系，便于运营、商务或技术对接时快速确认联系人。</w:t>
      </w:r>
    </w:p>
    <w:p w14:paraId="54EE80EF">
      <w:pPr>
        <w:pStyle w:val="6"/>
        <w:spacing w:after="60" w:line="276" w:lineRule="auto"/>
      </w:pPr>
      <w:r>
        <w:rPr>
          <w:rFonts w:ascii="微软雅黑" w:hAnsi="微软雅黑" w:eastAsia="微软雅黑"/>
          <w:b/>
          <w:i/>
          <w:color w:val="2F5597"/>
          <w:sz w:val="21"/>
        </w:rPr>
        <w:t>站点费率信息页签</w:t>
      </w:r>
    </w:p>
    <w:p w14:paraId="05FF96AA">
      <w:pPr>
        <w:spacing w:after="60" w:line="276" w:lineRule="auto"/>
      </w:pPr>
      <w:r>
        <w:rPr>
          <w:rFonts w:ascii="微软雅黑" w:hAnsi="微软雅黑" w:eastAsia="微软雅黑"/>
          <w:b w:val="0"/>
          <w:sz w:val="20"/>
        </w:rPr>
        <w:t>站点费率信息页签用于查看各子站点的开版费、线路费用和游戏月保底，并确认站点是否已开版。</w:t>
      </w:r>
    </w:p>
    <w:p w14:paraId="3CD10C51">
      <w:pPr>
        <w:spacing w:after="40"/>
        <w:jc w:val="center"/>
      </w:pPr>
      <w:r>
        <w:drawing>
          <wp:inline distT="0" distB="0" distL="114300" distR="114300">
            <wp:extent cx="5852160" cy="1937385"/>
            <wp:effectExtent l="0" t="0" r="15240" b="5715"/>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205"/>
                    <pic:cNvPicPr>
                      <a:picLocks noChangeAspect="1"/>
                    </pic:cNvPicPr>
                  </pic:nvPicPr>
                  <pic:blipFill>
                    <a:blip r:embed="rId135"/>
                    <a:stretch>
                      <a:fillRect/>
                    </a:stretch>
                  </pic:blipFill>
                  <pic:spPr>
                    <a:xfrm>
                      <a:off x="0" y="0"/>
                      <a:ext cx="5852160" cy="1937778"/>
                    </a:xfrm>
                    <a:prstGeom prst="rect">
                      <a:avLst/>
                    </a:prstGeom>
                  </pic:spPr>
                </pic:pic>
              </a:graphicData>
            </a:graphic>
          </wp:inline>
        </w:drawing>
      </w:r>
    </w:p>
    <w:p w14:paraId="697603A8">
      <w:pPr>
        <w:pStyle w:val="15"/>
        <w:spacing w:after="120"/>
        <w:jc w:val="center"/>
      </w:pPr>
      <w:r>
        <w:rPr>
          <w:rFonts w:ascii="微软雅黑" w:hAnsi="微软雅黑" w:eastAsia="微软雅黑"/>
          <w:b w:val="0"/>
          <w:color w:val="707E92"/>
          <w:sz w:val="18"/>
        </w:rPr>
        <w:t>图：商户信息-站点费率信息页签，用于查看各站点费用标准和开版状态。</w:t>
      </w:r>
    </w:p>
    <w:p w14:paraId="6C2B4C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：表格展示站点ID、站点名称、开版费、线路费用、游戏月保底、是否已开版和更新时间，适合按站点逐项核对费用口径。</w:t>
      </w:r>
    </w:p>
    <w:p w14:paraId="2A05D011">
      <w:pPr>
        <w:pStyle w:val="16"/>
        <w:spacing w:after="60" w:line="276" w:lineRule="auto"/>
      </w:pPr>
      <w:r>
        <w:rPr>
          <w:rFonts w:ascii="微软雅黑" w:hAnsi="微软雅黑" w:eastAsia="微软雅黑"/>
          <w:b/>
          <w:color w:val="2F5597"/>
          <w:sz w:val="20"/>
        </w:rPr>
        <w:t>状态查看</w:t>
      </w:r>
      <w:r>
        <w:rPr>
          <w:rFonts w:ascii="微软雅黑" w:hAnsi="微软雅黑" w:eastAsia="微软雅黑"/>
          <w:b w:val="0"/>
          <w:sz w:val="20"/>
        </w:rPr>
        <w:t>：是否已开版字段以状态标签展示，便于快速区分已开版站点和未开版站点。</w:t>
      </w:r>
    </w:p>
    <w:p w14:paraId="5EDE08B1">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：当账单、开站或站点成本出现差异时，可先在本页确认对应站点的费用基线与最新更新时间。</w:t>
      </w:r>
    </w:p>
    <w:p w14:paraId="153D9C62">
      <w:pPr>
        <w:pStyle w:val="6"/>
        <w:spacing w:after="60" w:line="276" w:lineRule="auto"/>
      </w:pPr>
      <w:r>
        <w:rPr>
          <w:rFonts w:ascii="微软雅黑" w:hAnsi="微软雅黑" w:eastAsia="微软雅黑"/>
          <w:b/>
          <w:i/>
          <w:color w:val="2F5597"/>
          <w:sz w:val="21"/>
        </w:rPr>
        <w:t>游戏费率页签</w:t>
      </w:r>
    </w:p>
    <w:p w14:paraId="20C09A0E">
      <w:pPr>
        <w:spacing w:after="60" w:line="276" w:lineRule="auto"/>
      </w:pPr>
      <w:r>
        <w:rPr>
          <w:rFonts w:ascii="微软雅黑" w:hAnsi="微软雅黑" w:eastAsia="微软雅黑"/>
          <w:b w:val="0"/>
          <w:sz w:val="20"/>
        </w:rPr>
        <w:t>游戏费率页签用于查看商户在不同游戏厂商和游戏类型下的费率配置，并支持按条件筛选。</w:t>
      </w:r>
    </w:p>
    <w:p w14:paraId="7E92170D">
      <w:pPr>
        <w:spacing w:after="40"/>
        <w:jc w:val="center"/>
      </w:pPr>
      <w:r>
        <w:drawing>
          <wp:inline distT="0" distB="0" distL="114300" distR="114300">
            <wp:extent cx="5852160" cy="2339340"/>
            <wp:effectExtent l="0" t="0" r="15240" b="381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136"/>
                    <a:stretch>
                      <a:fillRect/>
                    </a:stretch>
                  </pic:blipFill>
                  <pic:spPr>
                    <a:xfrm>
                      <a:off x="0" y="0"/>
                      <a:ext cx="5852160" cy="2339459"/>
                    </a:xfrm>
                    <a:prstGeom prst="rect">
                      <a:avLst/>
                    </a:prstGeom>
                  </pic:spPr>
                </pic:pic>
              </a:graphicData>
            </a:graphic>
          </wp:inline>
        </w:drawing>
      </w:r>
    </w:p>
    <w:p w14:paraId="480E1873">
      <w:pPr>
        <w:pStyle w:val="15"/>
        <w:spacing w:after="120"/>
        <w:jc w:val="center"/>
      </w:pPr>
      <w:r>
        <w:rPr>
          <w:rFonts w:ascii="微软雅黑" w:hAnsi="微软雅黑" w:eastAsia="微软雅黑"/>
          <w:b w:val="0"/>
          <w:color w:val="707E92"/>
          <w:sz w:val="18"/>
        </w:rPr>
        <w:t>图：商户信息-游戏费率页签，用于按游戏类型和游戏厂商查看商户费率。</w:t>
      </w:r>
    </w:p>
    <w:p w14:paraId="58927DFB">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：页面支持按游戏类型和游戏厂商筛选，点击搜索查询当前商户在指定范围内的费率配置，重置可恢复默认列表。</w:t>
      </w:r>
    </w:p>
    <w:p w14:paraId="4CF330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：表格展示游戏厂商、游戏类型、基础费率、状态、RTP设定范围和可设定RTP，用于查看各厂商配置差异。</w:t>
      </w:r>
    </w:p>
    <w:p w14:paraId="33B4722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：查看费率时应结合状态、RTP范围和厂商类型一起判断，避免只看基础费率而忽略可调范围或启用状态。</w:t>
      </w:r>
    </w:p>
    <w:p w14:paraId="6C61384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商户充值</w:t>
      </w:r>
    </w:p>
    <w:p w14:paraId="12EC6191">
      <w:pPr>
        <w:spacing w:after="60" w:line="276" w:lineRule="auto"/>
      </w:pPr>
      <w:r>
        <w:rPr>
          <w:rFonts w:ascii="微软雅黑" w:hAnsi="微软雅黑" w:eastAsia="微软雅黑"/>
          <w:b w:val="0"/>
          <w:sz w:val="20"/>
        </w:rPr>
        <w:t>商户充值用于向商户钱包发起充值申请，页面同时展示可选金额档位、到账币种和赠送规则，适合在补充余额或核对充值活动时使用。</w:t>
      </w:r>
    </w:p>
    <w:p w14:paraId="64EBE201">
      <w:pPr>
        <w:spacing w:after="40"/>
        <w:jc w:val="center"/>
      </w:pPr>
      <w:r>
        <w:drawing>
          <wp:inline distT="0" distB="0" distL="114300" distR="114300">
            <wp:extent cx="5120640" cy="3884930"/>
            <wp:effectExtent l="0" t="0" r="3810" b="127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137"/>
                    <a:stretch>
                      <a:fillRect/>
                    </a:stretch>
                  </pic:blipFill>
                  <pic:spPr>
                    <a:xfrm>
                      <a:off x="0" y="0"/>
                      <a:ext cx="5120640" cy="3885374"/>
                    </a:xfrm>
                    <a:prstGeom prst="rect">
                      <a:avLst/>
                    </a:prstGeom>
                  </pic:spPr>
                </pic:pic>
              </a:graphicData>
            </a:graphic>
          </wp:inline>
        </w:drawing>
      </w:r>
    </w:p>
    <w:p w14:paraId="16A2D2ED">
      <w:pPr>
        <w:pStyle w:val="15"/>
        <w:spacing w:after="120"/>
        <w:jc w:val="center"/>
      </w:pPr>
      <w:r>
        <w:rPr>
          <w:rFonts w:ascii="微软雅黑" w:hAnsi="微软雅黑" w:eastAsia="微软雅黑"/>
          <w:b w:val="0"/>
          <w:color w:val="707E92"/>
          <w:sz w:val="18"/>
        </w:rPr>
        <w:t>图：商户充值页面，用于选择充值金额、填写备注并提交充值申请。</w:t>
      </w:r>
    </w:p>
    <w:p w14:paraId="554DBB6D">
      <w:pPr>
        <w:pStyle w:val="16"/>
        <w:spacing w:after="60" w:line="276" w:lineRule="auto"/>
      </w:pPr>
      <w:r>
        <w:rPr>
          <w:rFonts w:ascii="微软雅黑" w:hAnsi="微软雅黑" w:eastAsia="微软雅黑"/>
          <w:b/>
          <w:color w:val="2F5597"/>
          <w:sz w:val="20"/>
        </w:rPr>
        <w:t>充值方式</w:t>
      </w:r>
      <w:r>
        <w:rPr>
          <w:rFonts w:ascii="微软雅黑" w:hAnsi="微软雅黑" w:eastAsia="微软雅黑"/>
          <w:b w:val="0"/>
          <w:sz w:val="20"/>
        </w:rPr>
        <w:t>：页面当前展示 USDT 充值入口，充值前应先确认当前商户使用的币种和收款协议。</w:t>
      </w:r>
    </w:p>
    <w:p w14:paraId="25B17523">
      <w:pPr>
        <w:pStyle w:val="16"/>
        <w:spacing w:after="60" w:line="276" w:lineRule="auto"/>
      </w:pPr>
      <w:r>
        <w:rPr>
          <w:rFonts w:ascii="微软雅黑" w:hAnsi="微软雅黑" w:eastAsia="微软雅黑"/>
          <w:b/>
          <w:color w:val="2F5597"/>
          <w:sz w:val="20"/>
        </w:rPr>
        <w:t>金额录入</w:t>
      </w:r>
      <w:r>
        <w:rPr>
          <w:rFonts w:ascii="微软雅黑" w:hAnsi="微软雅黑" w:eastAsia="微软雅黑"/>
          <w:b w:val="0"/>
          <w:sz w:val="20"/>
        </w:rPr>
        <w:t>：页面支持点击快捷金额档位，也支持手动输入充值金额；备注为选填项，可用于标记本次充值用途。</w:t>
      </w:r>
    </w:p>
    <w:p w14:paraId="1445ADC7">
      <w:pPr>
        <w:pStyle w:val="16"/>
        <w:spacing w:after="60" w:line="276" w:lineRule="auto"/>
      </w:pPr>
      <w:r>
        <w:rPr>
          <w:rFonts w:ascii="微软雅黑" w:hAnsi="微软雅黑" w:eastAsia="微软雅黑"/>
          <w:b/>
          <w:color w:val="2F5597"/>
          <w:sz w:val="20"/>
        </w:rPr>
        <w:t>提交规则</w:t>
      </w:r>
      <w:r>
        <w:rPr>
          <w:rFonts w:ascii="微软雅黑" w:hAnsi="微软雅黑" w:eastAsia="微软雅黑"/>
          <w:b w:val="0"/>
          <w:sz w:val="20"/>
        </w:rPr>
        <w:t>：提交前需确认实际转账金额与输入金额一致，否则可能导致系统无法快速到账。</w:t>
      </w:r>
    </w:p>
    <w:p w14:paraId="010532FA">
      <w:pPr>
        <w:pStyle w:val="16"/>
        <w:spacing w:after="60" w:line="276" w:lineRule="auto"/>
      </w:pPr>
      <w:r>
        <w:rPr>
          <w:rFonts w:ascii="微软雅黑" w:hAnsi="微软雅黑" w:eastAsia="微软雅黑"/>
          <w:b/>
          <w:color w:val="2F5597"/>
          <w:sz w:val="20"/>
        </w:rPr>
        <w:t>赠送说明</w:t>
      </w:r>
      <w:r>
        <w:rPr>
          <w:rFonts w:ascii="微软雅黑" w:hAnsi="微软雅黑" w:eastAsia="微软雅黑"/>
          <w:b w:val="0"/>
          <w:sz w:val="20"/>
        </w:rPr>
        <w:t>：页面下方展示固定赠送比例和阶梯赠送说明，充值前应先确认当前活动是否仍在生效，避免对到账金额预期有误。</w:t>
      </w:r>
    </w:p>
    <w:p w14:paraId="20EFC80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充值记录</w:t>
      </w:r>
    </w:p>
    <w:p w14:paraId="5C475032">
      <w:pPr>
        <w:spacing w:after="60" w:line="276" w:lineRule="auto"/>
      </w:pPr>
      <w:r>
        <w:rPr>
          <w:rFonts w:ascii="微软雅黑" w:hAnsi="微软雅黑" w:eastAsia="微软雅黑"/>
          <w:b w:val="0"/>
          <w:sz w:val="20"/>
        </w:rPr>
        <w:t>充值记录用于查询商户充值订单的申请、到账和处理状态，适合财务或运营按时间、订单号和状态追踪充值结果。</w:t>
      </w:r>
    </w:p>
    <w:p w14:paraId="24DAA8AB">
      <w:pPr>
        <w:spacing w:after="40"/>
        <w:jc w:val="center"/>
      </w:pPr>
      <w:r>
        <w:drawing>
          <wp:inline distT="0" distB="0" distL="114300" distR="114300">
            <wp:extent cx="5852160" cy="933450"/>
            <wp:effectExtent l="0" t="0" r="1524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138"/>
                    <a:stretch>
                      <a:fillRect/>
                    </a:stretch>
                  </pic:blipFill>
                  <pic:spPr>
                    <a:xfrm>
                      <a:off x="0" y="0"/>
                      <a:ext cx="5852160" cy="933818"/>
                    </a:xfrm>
                    <a:prstGeom prst="rect">
                      <a:avLst/>
                    </a:prstGeom>
                  </pic:spPr>
                </pic:pic>
              </a:graphicData>
            </a:graphic>
          </wp:inline>
        </w:drawing>
      </w:r>
    </w:p>
    <w:p w14:paraId="7978A2E6">
      <w:pPr>
        <w:pStyle w:val="15"/>
        <w:spacing w:after="120"/>
        <w:jc w:val="center"/>
      </w:pPr>
      <w:r>
        <w:rPr>
          <w:rFonts w:ascii="微软雅黑" w:hAnsi="微软雅黑" w:eastAsia="微软雅黑"/>
          <w:b w:val="0"/>
          <w:color w:val="707E92"/>
          <w:sz w:val="18"/>
        </w:rPr>
        <w:t>图：充值记录页面，用于筛选充值订单并查看到账状态与链上信息。</w:t>
      </w:r>
    </w:p>
    <w:p w14:paraId="7770442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：页面支持按创建时间、订单号和订单状态查询，便于快速定位指定充值申请。</w:t>
      </w:r>
    </w:p>
    <w:p w14:paraId="56E1F1D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：表格展示订单号、充值金额、赠送金额、实际到账、收款地址、链上TxID、创建时间、操作人、到账时间、订单状态和备注。</w:t>
      </w:r>
    </w:p>
    <w:p w14:paraId="44A5F61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：页面提供搜索、重置和导出表格按钮，适合在核对充值差异时直接导出记录留档。</w:t>
      </w:r>
    </w:p>
    <w:p w14:paraId="2DCC389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：到账异常时建议同时核对链上TxID、到账时间和订单状态，再结合实际转账金额判断是否需要人工跟进。</w:t>
      </w:r>
    </w:p>
    <w:p w14:paraId="7DD5237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商户账变记录</w:t>
      </w:r>
    </w:p>
    <w:p w14:paraId="3167F4CA">
      <w:pPr>
        <w:spacing w:after="60" w:line="276" w:lineRule="auto"/>
      </w:pPr>
      <w:r>
        <w:rPr>
          <w:rFonts w:ascii="微软雅黑" w:hAnsi="微软雅黑" w:eastAsia="微软雅黑"/>
          <w:b w:val="0"/>
          <w:sz w:val="20"/>
        </w:rPr>
        <w:t>商户账变记录用于查看商户钱包余额的变动流水，适合按账变类型、结算时间和来源单据排查资金变化。</w:t>
      </w:r>
    </w:p>
    <w:p w14:paraId="0D5FD244">
      <w:pPr>
        <w:spacing w:after="40"/>
        <w:jc w:val="center"/>
      </w:pPr>
      <w:r>
        <w:drawing>
          <wp:inline distT="0" distB="0" distL="114300" distR="114300">
            <wp:extent cx="5852160" cy="1186180"/>
            <wp:effectExtent l="0" t="0" r="15240" b="1397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139"/>
                    <a:stretch>
                      <a:fillRect/>
                    </a:stretch>
                  </pic:blipFill>
                  <pic:spPr>
                    <a:xfrm>
                      <a:off x="0" y="0"/>
                      <a:ext cx="5852160" cy="1186581"/>
                    </a:xfrm>
                    <a:prstGeom prst="rect">
                      <a:avLst/>
                    </a:prstGeom>
                  </pic:spPr>
                </pic:pic>
              </a:graphicData>
            </a:graphic>
          </wp:inline>
        </w:drawing>
      </w:r>
    </w:p>
    <w:p w14:paraId="3EC6F491">
      <w:pPr>
        <w:pStyle w:val="15"/>
        <w:spacing w:after="120"/>
        <w:jc w:val="center"/>
      </w:pPr>
      <w:r>
        <w:rPr>
          <w:rFonts w:ascii="微软雅黑" w:hAnsi="微软雅黑" w:eastAsia="微软雅黑"/>
          <w:b w:val="0"/>
          <w:color w:val="707E92"/>
          <w:sz w:val="18"/>
        </w:rPr>
        <w:t>图：商户账变记录页面，用于查看商户余额变动前后金额及来源单据。</w:t>
      </w:r>
    </w:p>
    <w:p w14:paraId="448005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：页面支持按开始时间、结束时间和账变类型筛选，便于按日期区间和资金动作查询流水。</w:t>
      </w:r>
    </w:p>
    <w:p w14:paraId="6F493AD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：表格展示账变时间、类型、变动前余额、变动金额、变动后余额和来源，用于完整追踪每次余额变化。</w:t>
      </w:r>
    </w:p>
    <w:p w14:paraId="0E1E4EA7">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：页面提示数据更新时间为隔天，因此做当日对账时应先确认是否存在统计延迟。</w:t>
      </w:r>
    </w:p>
    <w:p w14:paraId="3B25CD28">
      <w:pPr>
        <w:pStyle w:val="16"/>
        <w:spacing w:after="60" w:line="276" w:lineRule="auto"/>
      </w:pPr>
      <w:r>
        <w:rPr>
          <w:rFonts w:ascii="微软雅黑" w:hAnsi="微软雅黑" w:eastAsia="微软雅黑"/>
          <w:b/>
          <w:color w:val="2F5597"/>
          <w:sz w:val="20"/>
        </w:rPr>
        <w:t>核对路径</w:t>
      </w:r>
      <w:r>
        <w:rPr>
          <w:rFonts w:ascii="微软雅黑" w:hAnsi="微软雅黑" w:eastAsia="微软雅黑"/>
          <w:b w:val="0"/>
          <w:sz w:val="20"/>
        </w:rPr>
        <w:t>：若发现扣费或加款异常，可结合类型字段与来源单据编号，联查商户账单、充值记录或人工加扣款记录继续排查。</w:t>
      </w:r>
    </w:p>
    <w:p w14:paraId="1F816A6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商户账单</w:t>
      </w:r>
    </w:p>
    <w:p w14:paraId="06C73C6A">
      <w:pPr>
        <w:spacing w:after="60" w:line="276" w:lineRule="auto"/>
      </w:pPr>
      <w:r>
        <w:rPr>
          <w:rFonts w:ascii="微软雅黑" w:hAnsi="微软雅黑" w:eastAsia="微软雅黑"/>
          <w:b w:val="0"/>
          <w:sz w:val="20"/>
        </w:rPr>
        <w:t>商户账单用于按账期查看商户费用结算结果，并支持进入明细或执行稽核操作，是商户费用对账和月结复核的主要页面。</w:t>
      </w:r>
    </w:p>
    <w:p w14:paraId="60B131B0">
      <w:pPr>
        <w:pStyle w:val="6"/>
        <w:spacing w:after="60" w:line="276" w:lineRule="auto"/>
      </w:pPr>
      <w:r>
        <w:rPr>
          <w:rFonts w:ascii="微软雅黑" w:hAnsi="微软雅黑" w:eastAsia="微软雅黑"/>
          <w:b/>
          <w:i/>
          <w:color w:val="2F5597"/>
          <w:sz w:val="21"/>
        </w:rPr>
        <w:t>账单列表</w:t>
      </w:r>
    </w:p>
    <w:p w14:paraId="2FE2489C">
      <w:pPr>
        <w:spacing w:after="60" w:line="276" w:lineRule="auto"/>
      </w:pPr>
      <w:r>
        <w:rPr>
          <w:rFonts w:ascii="微软雅黑" w:hAnsi="微软雅黑" w:eastAsia="微软雅黑"/>
          <w:b w:val="0"/>
          <w:sz w:val="20"/>
        </w:rPr>
        <w:t>账单列表展示每个账期的固定费用、减免、结算金额和稽核状态，适合按月核对账单结果。</w:t>
      </w:r>
    </w:p>
    <w:p w14:paraId="6FAD7F63">
      <w:pPr>
        <w:spacing w:after="40"/>
        <w:jc w:val="center"/>
      </w:pPr>
      <w:r>
        <w:drawing>
          <wp:inline distT="0" distB="0" distL="114300" distR="114300">
            <wp:extent cx="5852160" cy="1030605"/>
            <wp:effectExtent l="0" t="0" r="15240" b="1714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140"/>
                    <a:stretch>
                      <a:fillRect/>
                    </a:stretch>
                  </pic:blipFill>
                  <pic:spPr>
                    <a:xfrm>
                      <a:off x="0" y="0"/>
                      <a:ext cx="5852160" cy="1030679"/>
                    </a:xfrm>
                    <a:prstGeom prst="rect">
                      <a:avLst/>
                    </a:prstGeom>
                  </pic:spPr>
                </pic:pic>
              </a:graphicData>
            </a:graphic>
          </wp:inline>
        </w:drawing>
      </w:r>
    </w:p>
    <w:p w14:paraId="70F02B28">
      <w:pPr>
        <w:pStyle w:val="15"/>
        <w:spacing w:after="120"/>
        <w:jc w:val="center"/>
      </w:pPr>
      <w:r>
        <w:rPr>
          <w:rFonts w:ascii="微软雅黑" w:hAnsi="微软雅黑" w:eastAsia="微软雅黑"/>
          <w:b w:val="0"/>
          <w:color w:val="707E92"/>
          <w:sz w:val="18"/>
        </w:rPr>
        <w:t>图：商户账单列表，用于查看账期结算金额、状态和稽核入口。</w:t>
      </w:r>
    </w:p>
    <w:p w14:paraId="02BF85A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：页面支持按账期和状态筛选，结合搜索和重置按钮可快速定位指定月份账单。</w:t>
      </w:r>
    </w:p>
    <w:p w14:paraId="4EA2C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：表格展示账期、开版费、服务器费用、人工加款、人工扣款、游戏厂商费用、商户充值优惠、其他减免、结算金额、状态、创建时间、稽核时间和操作。</w:t>
      </w:r>
    </w:p>
    <w:p w14:paraId="386A3413">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：页面提供批量稽核、导出表格，以及每行的详情和稽核入口；执行稽核前应先确认当期费用和减免项目已经核对完成。</w:t>
      </w:r>
    </w:p>
    <w:p w14:paraId="0BBFFB66">
      <w:pPr>
        <w:pStyle w:val="6"/>
        <w:spacing w:after="60" w:line="276" w:lineRule="auto"/>
      </w:pPr>
      <w:r>
        <w:rPr>
          <w:rFonts w:ascii="微软雅黑" w:hAnsi="微软雅黑" w:eastAsia="微软雅黑"/>
          <w:b/>
          <w:i/>
          <w:color w:val="2F5597"/>
          <w:sz w:val="21"/>
        </w:rPr>
        <w:t>费用明细弹窗</w:t>
      </w:r>
    </w:p>
    <w:p w14:paraId="69C4F6B0">
      <w:pPr>
        <w:spacing w:after="60" w:line="276" w:lineRule="auto"/>
      </w:pPr>
      <w:r>
        <w:rPr>
          <w:rFonts w:ascii="微软雅黑" w:hAnsi="微软雅黑" w:eastAsia="微软雅黑"/>
          <w:b w:val="0"/>
          <w:sz w:val="20"/>
        </w:rPr>
        <w:t>在账单列表点击详情后，可查看游戏厂商费用明细，进一步拆分到厂商和游戏类型层面。</w:t>
      </w:r>
    </w:p>
    <w:p w14:paraId="26A4C299">
      <w:pPr>
        <w:spacing w:after="40"/>
        <w:jc w:val="center"/>
      </w:pPr>
      <w:r>
        <w:drawing>
          <wp:inline distT="0" distB="0" distL="114300" distR="114300">
            <wp:extent cx="5852160" cy="2175510"/>
            <wp:effectExtent l="0" t="0" r="15240" b="1524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141"/>
                    <a:stretch>
                      <a:fillRect/>
                    </a:stretch>
                  </pic:blipFill>
                  <pic:spPr>
                    <a:xfrm>
                      <a:off x="0" y="0"/>
                      <a:ext cx="5852160" cy="2175665"/>
                    </a:xfrm>
                    <a:prstGeom prst="rect">
                      <a:avLst/>
                    </a:prstGeom>
                  </pic:spPr>
                </pic:pic>
              </a:graphicData>
            </a:graphic>
          </wp:inline>
        </w:drawing>
      </w:r>
    </w:p>
    <w:p w14:paraId="7CFE3202">
      <w:pPr>
        <w:pStyle w:val="15"/>
        <w:spacing w:after="120"/>
        <w:jc w:val="center"/>
      </w:pPr>
      <w:r>
        <w:rPr>
          <w:rFonts w:ascii="微软雅黑" w:hAnsi="微软雅黑" w:eastAsia="微软雅黑"/>
          <w:b w:val="0"/>
          <w:color w:val="707E92"/>
          <w:sz w:val="18"/>
        </w:rPr>
        <w:t>图：游戏厂商费用明细弹窗，用于查看厂商费率、投注人数、有效投注和应付费用。</w:t>
      </w:r>
    </w:p>
    <w:p w14:paraId="149432A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：弹窗支持按厂商和游戏类型筛选，便于只查看某一类费用明细。</w:t>
      </w:r>
    </w:p>
    <w:p w14:paraId="370828D8">
      <w:pPr>
        <w:pStyle w:val="16"/>
        <w:spacing w:after="60" w:line="276" w:lineRule="auto"/>
      </w:pPr>
      <w:r>
        <w:rPr>
          <w:rFonts w:ascii="微软雅黑" w:hAnsi="微软雅黑" w:eastAsia="微软雅黑"/>
          <w:b/>
          <w:color w:val="2F5597"/>
          <w:sz w:val="20"/>
        </w:rPr>
        <w:t>明细字段</w:t>
      </w:r>
      <w:r>
        <w:rPr>
          <w:rFonts w:ascii="微软雅黑" w:hAnsi="微软雅黑" w:eastAsia="微软雅黑"/>
          <w:b w:val="0"/>
          <w:sz w:val="20"/>
        </w:rPr>
        <w:t>：表格展示游戏厂商、游戏类型、商户费率、投注人数、投注次数、有效投注、线路盈利和应付费用，用于核对费用组成。</w:t>
      </w:r>
    </w:p>
    <w:p w14:paraId="111BD0F4">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：底部提供分页能力，适合在厂商较多时分批核对明细数据。</w:t>
      </w:r>
    </w:p>
    <w:p w14:paraId="621057E2">
      <w:pPr>
        <w:pStyle w:val="3"/>
        <w:keepNext/>
        <w:spacing w:before="360" w:after="240" w:line="276" w:lineRule="auto"/>
      </w:pPr>
      <w:r>
        <w:rPr>
          <w:rFonts w:ascii="微软雅黑" w:hAnsi="微软雅黑" w:eastAsia="微软雅黑"/>
          <w:b/>
          <w:color w:val="17365D"/>
          <w:sz w:val="40"/>
        </w:rPr>
        <w:t>十四、埋点配置</w:t>
      </w:r>
      <w:bookmarkStart w:id="0" w:name="_GoBack"/>
      <w:bookmarkEnd w:id="0"/>
    </w:p>
    <w:p w14:paraId="1A4841E7">
      <w:pPr>
        <w:pStyle w:val="4"/>
        <w:keepNext/>
        <w:spacing w:before="240" w:after="140" w:line="269" w:lineRule="auto"/>
      </w:pPr>
      <w:r>
        <w:rPr>
          <w:rFonts w:ascii="微软雅黑" w:hAnsi="微软雅黑" w:eastAsia="微软雅黑"/>
          <w:b/>
          <w:color w:val="1F4E79"/>
          <w:sz w:val="30"/>
        </w:rPr>
        <w:t>模块定位</w:t>
      </w:r>
    </w:p>
    <w:p w14:paraId="13D46073">
      <w:pPr>
        <w:spacing w:after="60" w:line="276" w:lineRule="auto"/>
      </w:pPr>
      <w:r>
        <w:t>埋点配置用于查看埋点统计、会话列表和事件流水，是核对事件上报、访问路径和触发结果的入口；需要排查页面埋点时，先从这里进入对应日志或统计页。</w:t>
      </w:r>
    </w:p>
    <w:p w14:paraId="036EE977">
      <w:pPr>
        <w:pStyle w:val="4"/>
        <w:keepNext/>
        <w:spacing w:before="240" w:after="140" w:line="269" w:lineRule="auto"/>
      </w:pPr>
      <w:r>
        <w:rPr>
          <w:rFonts w:ascii="微软雅黑" w:hAnsi="微软雅黑" w:eastAsia="微软雅黑"/>
          <w:b/>
          <w:color w:val="1F4E79"/>
          <w:sz w:val="30"/>
        </w:rPr>
        <w:t>页面说明</w:t>
      </w:r>
    </w:p>
    <w:p w14:paraId="0E8B6AA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埋点统计</w:t>
      </w:r>
    </w:p>
    <w:p w14:paraId="0538C40D">
      <w:r>
        <w:drawing>
          <wp:inline distT="0" distB="0" distL="114300" distR="114300">
            <wp:extent cx="6400800" cy="2096135"/>
            <wp:effectExtent l="0" t="0" r="0" b="1841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42"/>
                    <a:stretch>
                      <a:fillRect/>
                    </a:stretch>
                  </pic:blipFill>
                  <pic:spPr>
                    <a:xfrm>
                      <a:off x="0" y="0"/>
                      <a:ext cx="6400800" cy="2096135"/>
                    </a:xfrm>
                    <a:prstGeom prst="rect">
                      <a:avLst/>
                    </a:prstGeom>
                    <a:noFill/>
                    <a:ln>
                      <a:noFill/>
                    </a:ln>
                  </pic:spPr>
                </pic:pic>
              </a:graphicData>
            </a:graphic>
          </wp:inline>
        </w:drawing>
      </w:r>
    </w:p>
    <w:p w14:paraId="0D55633A">
      <w:pPr>
        <w:pStyle w:val="16"/>
        <w:spacing w:after="60" w:line="276" w:lineRule="auto"/>
      </w:pPr>
      <w:r>
        <w:rPr>
          <w:rFonts w:ascii="微软雅黑" w:hAnsi="微软雅黑" w:eastAsia="微软雅黑"/>
          <w:b/>
          <w:color w:val="2F5597"/>
          <w:sz w:val="20"/>
        </w:rPr>
        <w:t>埋点统计</w:t>
      </w:r>
      <w:r>
        <w:rPr>
          <w:rFonts w:ascii="微软雅黑" w:hAnsi="微软雅黑" w:eastAsia="微软雅黑"/>
          <w:b w:val="0"/>
          <w:sz w:val="20"/>
        </w:rPr>
        <w:t>：用于查看站点埋点事件统计。</w:t>
      </w:r>
    </w:p>
    <w:p w14:paraId="3FAC7D6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：按事件、页面、渠道或时间筛选，查看触发次数和转化数据。</w:t>
      </w:r>
    </w:p>
    <w:p w14:paraId="29164E8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：用于分析页面行为和推广效果，需确认埋点配置已生效。</w:t>
      </w:r>
    </w:p>
    <w:p w14:paraId="62A7254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会话列表</w:t>
      </w:r>
    </w:p>
    <w:p w14:paraId="4C0C1659">
      <w:r>
        <w:drawing>
          <wp:inline distT="0" distB="0" distL="114300" distR="114300">
            <wp:extent cx="6388735" cy="1744980"/>
            <wp:effectExtent l="0" t="0" r="12065" b="7620"/>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143"/>
                    <a:stretch>
                      <a:fillRect/>
                    </a:stretch>
                  </pic:blipFill>
                  <pic:spPr>
                    <a:xfrm>
                      <a:off x="0" y="0"/>
                      <a:ext cx="6388735" cy="1744980"/>
                    </a:xfrm>
                    <a:prstGeom prst="rect">
                      <a:avLst/>
                    </a:prstGeom>
                    <a:noFill/>
                    <a:ln>
                      <a:noFill/>
                    </a:ln>
                  </pic:spPr>
                </pic:pic>
              </a:graphicData>
            </a:graphic>
          </wp:inline>
        </w:drawing>
      </w:r>
    </w:p>
    <w:p w14:paraId="343B0883">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：用于查看用户访问或行为会话。</w:t>
      </w:r>
    </w:p>
    <w:p w14:paraId="5CB49EC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：按用户、会话 ID、渠道或时间筛选，查看会话轨迹。</w:t>
      </w:r>
    </w:p>
    <w:p w14:paraId="00BDF11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：排查转化或行为问题时，可结合事件流水一起分析。</w:t>
      </w:r>
    </w:p>
    <w:p w14:paraId="0691814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事件流水</w:t>
      </w:r>
    </w:p>
    <w:p w14:paraId="24D963CA">
      <w:r>
        <w:drawing>
          <wp:inline distT="0" distB="0" distL="114300" distR="114300">
            <wp:extent cx="6396990" cy="2771775"/>
            <wp:effectExtent l="0" t="0" r="3810" b="9525"/>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144"/>
                    <a:stretch>
                      <a:fillRect/>
                    </a:stretch>
                  </pic:blipFill>
                  <pic:spPr>
                    <a:xfrm>
                      <a:off x="0" y="0"/>
                      <a:ext cx="6396990" cy="2771775"/>
                    </a:xfrm>
                    <a:prstGeom prst="rect">
                      <a:avLst/>
                    </a:prstGeom>
                    <a:noFill/>
                    <a:ln>
                      <a:noFill/>
                    </a:ln>
                  </pic:spPr>
                </pic:pic>
              </a:graphicData>
            </a:graphic>
          </wp:inline>
        </w:drawing>
      </w:r>
    </w:p>
    <w:p w14:paraId="37306B1B">
      <w:r>
        <w:drawing>
          <wp:inline distT="0" distB="0" distL="114300" distR="114300">
            <wp:extent cx="5172075" cy="1390650"/>
            <wp:effectExtent l="0" t="0" r="9525" b="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145"/>
                    <a:stretch>
                      <a:fillRect/>
                    </a:stretch>
                  </pic:blipFill>
                  <pic:spPr>
                    <a:xfrm>
                      <a:off x="0" y="0"/>
                      <a:ext cx="5172075" cy="1390650"/>
                    </a:xfrm>
                    <a:prstGeom prst="rect">
                      <a:avLst/>
                    </a:prstGeom>
                    <a:noFill/>
                    <a:ln>
                      <a:noFill/>
                    </a:ln>
                  </pic:spPr>
                </pic:pic>
              </a:graphicData>
            </a:graphic>
          </wp:inline>
        </w:drawing>
      </w:r>
    </w:p>
    <w:p w14:paraId="13FFCB8C">
      <w:pPr>
        <w:pStyle w:val="16"/>
        <w:spacing w:after="60" w:line="276" w:lineRule="auto"/>
      </w:pPr>
      <w:r>
        <w:rPr>
          <w:rFonts w:ascii="微软雅黑" w:hAnsi="微软雅黑" w:eastAsia="微软雅黑"/>
          <w:b/>
          <w:color w:val="2F5597"/>
          <w:sz w:val="20"/>
        </w:rPr>
        <w:t>事件流水</w:t>
      </w:r>
      <w:r>
        <w:rPr>
          <w:rFonts w:ascii="微软雅黑" w:hAnsi="微软雅黑" w:eastAsia="微软雅黑"/>
          <w:b w:val="0"/>
          <w:sz w:val="20"/>
        </w:rPr>
        <w:t>：用于查看埋点事件明细流水。</w:t>
      </w:r>
    </w:p>
    <w:p w14:paraId="0C95FAE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：按事件、用户、页面或时间筛选，查看单次事件详情。</w:t>
      </w:r>
    </w:p>
    <w:p w14:paraId="44846780">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：用于排查埋点触发、参数上报和用户行为路径。</w:t>
      </w:r>
    </w:p>
    <w:p w14:paraId="14EAE7AC">
      <w:pPr>
        <w:pStyle w:val="3"/>
        <w:keepNext/>
        <w:spacing w:before="360" w:after="240" w:line="276" w:lineRule="auto"/>
      </w:pPr>
      <w:r>
        <w:rPr>
          <w:rFonts w:ascii="微软雅黑" w:hAnsi="微软雅黑" w:eastAsia="微软雅黑"/>
          <w:b/>
          <w:color w:val="17365D"/>
          <w:sz w:val="40"/>
        </w:rPr>
        <w:t>十五、人事中心</w:t>
      </w:r>
    </w:p>
    <w:p w14:paraId="7AC80F8A">
      <w:pPr>
        <w:pStyle w:val="4"/>
        <w:keepNext/>
        <w:spacing w:before="240" w:after="140" w:line="269" w:lineRule="auto"/>
      </w:pPr>
      <w:r>
        <w:rPr>
          <w:rFonts w:ascii="微软雅黑" w:hAnsi="微软雅黑" w:eastAsia="微软雅黑"/>
          <w:b/>
          <w:color w:val="1F4E79"/>
          <w:sz w:val="30"/>
        </w:rPr>
        <w:t>模块定位</w:t>
      </w:r>
    </w:p>
    <w:p w14:paraId="12BC2C17">
      <w:pPr>
        <w:spacing w:after="60" w:line="276" w:lineRule="auto"/>
      </w:pPr>
      <w:r>
        <w:t>人事中心用于管理后台账号、登录日志、操作日志和异常日志，是账号权限、审计追踪和异常排查的入口；查账号归属或操作记录时，先从这一章进入对应页面。</w:t>
      </w:r>
    </w:p>
    <w:p w14:paraId="746668F0">
      <w:pPr>
        <w:pStyle w:val="4"/>
        <w:keepNext/>
        <w:spacing w:before="240" w:after="140" w:line="269" w:lineRule="auto"/>
      </w:pPr>
      <w:r>
        <w:rPr>
          <w:rFonts w:ascii="微软雅黑" w:hAnsi="微软雅黑" w:eastAsia="微软雅黑"/>
          <w:b/>
          <w:color w:val="1F4E79"/>
          <w:sz w:val="30"/>
        </w:rPr>
        <w:t>页面说明</w:t>
      </w:r>
    </w:p>
    <w:p w14:paraId="60DB4134">
      <w:pPr>
        <w:pStyle w:val="5"/>
        <w:keepNext/>
        <w:spacing w:before="180" w:after="100" w:line="259" w:lineRule="auto"/>
        <w:rPr>
          <w:rFonts w:hint="eastAsia" w:eastAsia="宋体"/>
          <w:lang w:val="en-US" w:eastAsia="zh-CN"/>
        </w:rPr>
      </w:pPr>
      <w:r>
        <w:rPr>
          <w:rFonts w:hint="eastAsia" w:eastAsia="宋体"/>
          <w:lang w:val="en-US" w:eastAsia="zh-CN"/>
        </w:rPr>
        <w:t>人事列表</w:t>
      </w:r>
    </w:p>
    <w:p w14:paraId="51AED6AC">
      <w:pPr>
        <w:rPr>
          <w:rFonts w:hint="default"/>
          <w:lang w:val="en-US" w:eastAsia="zh-CN"/>
        </w:rPr>
      </w:pPr>
      <w:r>
        <w:drawing>
          <wp:inline distT="0" distB="0" distL="114300" distR="114300">
            <wp:extent cx="6390640" cy="1231265"/>
            <wp:effectExtent l="0" t="0" r="10160" b="6985"/>
            <wp:docPr id="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5"/>
                    <pic:cNvPicPr>
                      <a:picLocks noChangeAspect="1"/>
                    </pic:cNvPicPr>
                  </pic:nvPicPr>
                  <pic:blipFill>
                    <a:blip r:embed="rId146"/>
                    <a:stretch>
                      <a:fillRect/>
                    </a:stretch>
                  </pic:blipFill>
                  <pic:spPr>
                    <a:xfrm>
                      <a:off x="0" y="0"/>
                      <a:ext cx="6390640" cy="1231265"/>
                    </a:xfrm>
                    <a:prstGeom prst="rect">
                      <a:avLst/>
                    </a:prstGeom>
                    <a:noFill/>
                    <a:ln>
                      <a:noFill/>
                    </a:ln>
                  </pic:spPr>
                </pic:pic>
              </a:graphicData>
            </a:graphic>
          </wp:inline>
        </w:drawing>
      </w:r>
    </w:p>
    <w:p w14:paraId="46360FD6">
      <w:pPr>
        <w:pStyle w:val="16"/>
        <w:spacing w:after="60" w:line="276" w:lineRule="auto"/>
      </w:pPr>
      <w:r>
        <w:rPr>
          <w:rFonts w:ascii="微软雅黑" w:hAnsi="微软雅黑" w:eastAsia="微软雅黑"/>
          <w:b/>
          <w:color w:val="2F5597"/>
          <w:sz w:val="20"/>
        </w:rPr>
        <w:t>账号管理</w:t>
      </w:r>
      <w:r>
        <w:rPr>
          <w:rFonts w:ascii="微软雅黑" w:hAnsi="微软雅黑" w:eastAsia="微软雅黑"/>
          <w:b w:val="0"/>
          <w:sz w:val="20"/>
        </w:rPr>
        <w:t>：用于管理后台账号和角色归属。</w:t>
      </w:r>
    </w:p>
    <w:p w14:paraId="6FC547C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：新增、编辑、启用、停用账号，分配系统预设角色。</w:t>
      </w:r>
    </w:p>
    <w:p w14:paraId="3751F99B">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：账号权限影响后台可见菜单和操作范围，调整前需确认职责。</w:t>
      </w:r>
    </w:p>
    <w:p w14:paraId="2608BA6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管理员操作日志</w:t>
      </w:r>
    </w:p>
    <w:p w14:paraId="5CC2A1A7">
      <w:r>
        <w:drawing>
          <wp:inline distT="0" distB="0" distL="114300" distR="114300">
            <wp:extent cx="6400800" cy="1401445"/>
            <wp:effectExtent l="0" t="0" r="0" b="8255"/>
            <wp:docPr id="3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6"/>
                    <pic:cNvPicPr>
                      <a:picLocks noChangeAspect="1"/>
                    </pic:cNvPicPr>
                  </pic:nvPicPr>
                  <pic:blipFill>
                    <a:blip r:embed="rId147"/>
                    <a:stretch>
                      <a:fillRect/>
                    </a:stretch>
                  </pic:blipFill>
                  <pic:spPr>
                    <a:xfrm>
                      <a:off x="0" y="0"/>
                      <a:ext cx="6400800" cy="1401445"/>
                    </a:xfrm>
                    <a:prstGeom prst="rect">
                      <a:avLst/>
                    </a:prstGeom>
                    <a:noFill/>
                    <a:ln>
                      <a:noFill/>
                    </a:ln>
                  </pic:spPr>
                </pic:pic>
              </a:graphicData>
            </a:graphic>
          </wp:inline>
        </w:drawing>
      </w:r>
    </w:p>
    <w:p w14:paraId="01BD4412">
      <w:pPr>
        <w:pStyle w:val="16"/>
        <w:spacing w:after="60" w:line="276" w:lineRule="auto"/>
      </w:pPr>
      <w:r>
        <w:rPr>
          <w:rFonts w:ascii="微软雅黑" w:hAnsi="微软雅黑" w:eastAsia="微软雅黑"/>
          <w:b/>
          <w:color w:val="2F5597"/>
          <w:sz w:val="20"/>
        </w:rPr>
        <w:t>管理员操作日志</w:t>
      </w:r>
      <w:r>
        <w:rPr>
          <w:rFonts w:ascii="微软雅黑" w:hAnsi="微软雅黑" w:eastAsia="微软雅黑"/>
          <w:b w:val="0"/>
          <w:sz w:val="20"/>
        </w:rPr>
        <w:t>：用于查看后台关键操作记录。</w:t>
      </w:r>
    </w:p>
    <w:p w14:paraId="19C6307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：按账号、模块、操作类型或时间筛选，查看操作详情。</w:t>
      </w:r>
    </w:p>
    <w:p w14:paraId="77DB7B43">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：追溯误操作时结合操作时间、操作人和业务页面记录核对。</w:t>
      </w:r>
    </w:p>
    <w:p w14:paraId="176988B1">
      <w:pPr>
        <w:pStyle w:val="3"/>
        <w:keepNext/>
        <w:spacing w:before="360" w:after="240" w:line="276" w:lineRule="auto"/>
      </w:pPr>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numPr>
          <w:numId w:val="7"/>
        </w:numPr>
        <w:spacing w:after="40" w:line="276" w:lineRule="auto"/>
      </w:pPr>
      <w:r>
        <w:rPr>
          <w:rFonts w:ascii="微软雅黑" w:hAnsi="微软雅黑" w:eastAsia="微软雅黑"/>
          <w:b w:val="0"/>
          <w:sz w:val="20"/>
        </w:rPr>
        <w:t>进入优惠活动，创建或编辑活动规则。</w:t>
      </w:r>
    </w:p>
    <w:p w14:paraId="6A3597AD">
      <w:pPr>
        <w:pStyle w:val="14"/>
        <w:numPr>
          <w:numId w:val="7"/>
        </w:numPr>
        <w:spacing w:after="40" w:line="276" w:lineRule="auto"/>
      </w:pPr>
      <w:r>
        <w:rPr>
          <w:rFonts w:ascii="微软雅黑" w:hAnsi="微软雅黑" w:eastAsia="微软雅黑"/>
          <w:b w:val="0"/>
          <w:sz w:val="20"/>
        </w:rPr>
        <w:t>检查活动展示入口、票券或任务关联、预算、领取限制和目标人群。</w:t>
      </w:r>
    </w:p>
    <w:p w14:paraId="5CFFB797">
      <w:pPr>
        <w:pStyle w:val="14"/>
        <w:numPr>
          <w:numId w:val="7"/>
        </w:numPr>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numPr>
          <w:numId w:val="8"/>
        </w:numPr>
        <w:spacing w:after="40" w:line="276" w:lineRule="auto"/>
      </w:pPr>
      <w:r>
        <w:rPr>
          <w:rFonts w:ascii="微软雅黑" w:hAnsi="微软雅黑" w:eastAsia="微软雅黑"/>
          <w:b w:val="0"/>
          <w:sz w:val="20"/>
        </w:rPr>
        <w:t>进入财务中心的提现订单列表，筛选待审核或处理中订单。</w:t>
      </w:r>
    </w:p>
    <w:p w14:paraId="3679A577">
      <w:pPr>
        <w:pStyle w:val="14"/>
        <w:numPr>
          <w:numId w:val="8"/>
        </w:numPr>
        <w:spacing w:after="40" w:line="276" w:lineRule="auto"/>
      </w:pPr>
      <w:r>
        <w:rPr>
          <w:rFonts w:ascii="微软雅黑" w:hAnsi="微软雅黑" w:eastAsia="微软雅黑"/>
          <w:b w:val="0"/>
          <w:sz w:val="20"/>
        </w:rPr>
        <w:t>核对会员、金额、账户、打码、风控提示和历史资金记录。</w:t>
      </w:r>
    </w:p>
    <w:p w14:paraId="0A17D8AB">
      <w:pPr>
        <w:pStyle w:val="14"/>
        <w:numPr>
          <w:numId w:val="8"/>
        </w:numPr>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numPr>
          <w:numId w:val="9"/>
        </w:numPr>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numPr>
          <w:numId w:val="9"/>
        </w:numPr>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numPr>
          <w:numId w:val="9"/>
        </w:numPr>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numPr>
          <w:numId w:val="10"/>
        </w:numPr>
        <w:spacing w:after="40" w:line="276" w:lineRule="auto"/>
      </w:pPr>
      <w:r>
        <w:rPr>
          <w:rFonts w:ascii="微软雅黑" w:hAnsi="微软雅黑" w:eastAsia="微软雅黑"/>
          <w:b w:val="0"/>
          <w:sz w:val="20"/>
        </w:rPr>
        <w:t>固定活动名称、统计时间和渠道范围。</w:t>
      </w:r>
    </w:p>
    <w:p w14:paraId="26F69E7F">
      <w:pPr>
        <w:pStyle w:val="14"/>
        <w:numPr>
          <w:numId w:val="10"/>
        </w:numPr>
        <w:spacing w:after="40" w:line="276" w:lineRule="auto"/>
      </w:pPr>
      <w:r>
        <w:rPr>
          <w:rFonts w:ascii="微软雅黑" w:hAnsi="微软雅黑" w:eastAsia="微软雅黑"/>
          <w:b w:val="0"/>
          <w:sz w:val="20"/>
        </w:rPr>
        <w:t>查看优惠活动、数据报表中的活动相关报表。</w:t>
      </w:r>
    </w:p>
    <w:p w14:paraId="65D27FAC">
      <w:pPr>
        <w:pStyle w:val="14"/>
        <w:numPr>
          <w:numId w:val="10"/>
        </w:numPr>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69D4"/>
    <w:rsid w:val="0029639D"/>
    <w:rsid w:val="00326F90"/>
    <w:rsid w:val="00953B0B"/>
    <w:rsid w:val="00AA1D8D"/>
    <w:rsid w:val="00B47730"/>
    <w:rsid w:val="00CB0664"/>
    <w:rsid w:val="00F83D16"/>
    <w:rsid w:val="00FC693F"/>
    <w:rsid w:val="01414E86"/>
    <w:rsid w:val="01B946DA"/>
    <w:rsid w:val="046225D4"/>
    <w:rsid w:val="04EB48D3"/>
    <w:rsid w:val="05956E55"/>
    <w:rsid w:val="068766C3"/>
    <w:rsid w:val="0FE06DEA"/>
    <w:rsid w:val="0FFB4C2D"/>
    <w:rsid w:val="101C69A6"/>
    <w:rsid w:val="152B4B8D"/>
    <w:rsid w:val="15F63412"/>
    <w:rsid w:val="17F0696C"/>
    <w:rsid w:val="183B3024"/>
    <w:rsid w:val="18FA3DCE"/>
    <w:rsid w:val="1E20265C"/>
    <w:rsid w:val="1EBC22D2"/>
    <w:rsid w:val="259865AB"/>
    <w:rsid w:val="25E47275"/>
    <w:rsid w:val="274033B7"/>
    <w:rsid w:val="278C2CA5"/>
    <w:rsid w:val="27952750"/>
    <w:rsid w:val="29C87436"/>
    <w:rsid w:val="2E532A1D"/>
    <w:rsid w:val="2F885AC1"/>
    <w:rsid w:val="308E051A"/>
    <w:rsid w:val="30956DDA"/>
    <w:rsid w:val="368F18C6"/>
    <w:rsid w:val="38A20FFB"/>
    <w:rsid w:val="398E654D"/>
    <w:rsid w:val="39F42038"/>
    <w:rsid w:val="3AEF22C6"/>
    <w:rsid w:val="3B62700C"/>
    <w:rsid w:val="412B4769"/>
    <w:rsid w:val="428608CB"/>
    <w:rsid w:val="43330444"/>
    <w:rsid w:val="449F4114"/>
    <w:rsid w:val="455B5419"/>
    <w:rsid w:val="482B7710"/>
    <w:rsid w:val="48E318B7"/>
    <w:rsid w:val="49BA49B4"/>
    <w:rsid w:val="4B5A0B07"/>
    <w:rsid w:val="4B6605E7"/>
    <w:rsid w:val="4E892E94"/>
    <w:rsid w:val="4F407994"/>
    <w:rsid w:val="53085448"/>
    <w:rsid w:val="578C750D"/>
    <w:rsid w:val="58B57261"/>
    <w:rsid w:val="58CF0BA1"/>
    <w:rsid w:val="59C16051"/>
    <w:rsid w:val="5A42010F"/>
    <w:rsid w:val="5DB26AD9"/>
    <w:rsid w:val="5F465A0D"/>
    <w:rsid w:val="61CD7A3C"/>
    <w:rsid w:val="61DB474F"/>
    <w:rsid w:val="63155CA2"/>
    <w:rsid w:val="65674A25"/>
    <w:rsid w:val="68845FAE"/>
    <w:rsid w:val="69765236"/>
    <w:rsid w:val="6AD35998"/>
    <w:rsid w:val="6E1353FB"/>
    <w:rsid w:val="6E5F3FAE"/>
    <w:rsid w:val="6E8D0303"/>
    <w:rsid w:val="6F374E0B"/>
    <w:rsid w:val="70546B19"/>
    <w:rsid w:val="72EE6907"/>
    <w:rsid w:val="74FE2F66"/>
    <w:rsid w:val="79F022DC"/>
    <w:rsid w:val="7BEB3862"/>
    <w:rsid w:val="7C724E24"/>
    <w:rsid w:val="7E6C462E"/>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0" Type="http://schemas.openxmlformats.org/officeDocument/2006/relationships/fontTable" Target="fontTable.xml"/><Relationship Id="rId15" Type="http://schemas.openxmlformats.org/officeDocument/2006/relationships/image" Target="media/image10.png"/><Relationship Id="rId149" Type="http://schemas.openxmlformats.org/officeDocument/2006/relationships/customXml" Target="../customXml/item1.xml"/><Relationship Id="rId148" Type="http://schemas.openxmlformats.org/officeDocument/2006/relationships/numbering" Target="numbering.xml"/><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pn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131</Pages>
  <Words>22433</Words>
  <Characters>23315</Characters>
  <Lines>0</Lines>
  <Paragraphs>0</Paragraphs>
  <TotalTime>171</TotalTime>
  <ScaleCrop>false</ScaleCrop>
  <LinksUpToDate>false</LinksUpToDate>
  <CharactersWithSpaces>23545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2026-06-15T10:18:34Z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