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6D87C06F">
      <w:pPr>
        <w:pStyle w:val="5"/>
        <w:keepNext/>
        <w:spacing w:before="180" w:after="100" w:line="259" w:lineRule="auto"/>
      </w:pPr>
      <w:r>
        <w:rPr>
          <w:rFonts w:ascii="微软雅黑" w:hAnsi="微软雅黑" w:eastAsia="微软雅黑"/>
          <w:b/>
          <w:color w:val="2F5597"/>
          <w:sz w:val="25"/>
        </w:rPr>
        <w:t>活动排行统计</w:t>
      </w:r>
    </w:p>
    <w:p w14:paraId="06EE24A6">
      <w:pPr>
        <w:pStyle w:val="16"/>
        <w:spacing w:after="60" w:line="276" w:lineRule="auto"/>
      </w:pPr>
      <w:r>
        <w:rPr>
          <w:rFonts w:ascii="微软雅黑" w:hAnsi="微软雅黑" w:eastAsia="微软雅黑"/>
          <w:b/>
          <w:color w:val="2F5597"/>
          <w:sz w:val="20"/>
        </w:rPr>
        <w:t>活动排行统计</w:t>
      </w:r>
      <w:r>
        <w:rPr>
          <w:rFonts w:ascii="微软雅黑" w:hAnsi="微软雅黑" w:eastAsia="微软雅黑"/>
          <w:b w:val="0"/>
          <w:sz w:val="20"/>
        </w:rPr>
        <w:t>：用于查看活动参与、排名和奖励相关统计。</w:t>
      </w:r>
    </w:p>
    <w:p w14:paraId="1AB7CF9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：按活动、时间或玩家筛选数据，查看排行、参与人数和奖励发放情况。</w:t>
      </w:r>
    </w:p>
    <w:p w14:paraId="1F28656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：统计结果用于活动复盘，需结合活动规则和奖励记录一起核对。</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1ADD44D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5EF8423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4ABF03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6"/>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7"/>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8"/>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9"/>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3"/>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4"/>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5"/>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6"/>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7"/>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8"/>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9"/>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0"/>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1"/>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Microsoft YaHei" w:hAnsi="Microsoft YaHei" w:eastAsia="Microsoft YaHei"/>
          <w:b/>
          <w:color w:val="2F5597"/>
          <w:sz w:val="25"/>
        </w:rPr>
        <w:t>提现订单列表</w:t>
      </w:r>
    </w:p>
    <w:p>
      <w:pPr>
        <w:spacing w:after="60" w:line="276" w:lineRule="auto"/>
      </w:pPr>
      <w:r>
        <w:rPr>
          <w:rFonts w:ascii="Microsoft YaHei" w:hAnsi="Microsoft YaHei" w:eastAsia="Microsoft YaHei"/>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pPr>
        <w:pStyle w:val="6"/>
        <w:spacing w:after="60" w:line="276" w:lineRule="auto"/>
      </w:pPr>
      <w:r>
        <w:rPr>
          <w:rFonts w:ascii="Microsoft YaHei" w:hAnsi="Microsoft YaHei" w:eastAsia="Microsoft YaHei"/>
          <w:b/>
          <w:i/>
          <w:color w:val="2F5597"/>
          <w:sz w:val="21"/>
        </w:rPr>
        <w:t>订单列表</w:t>
      </w:r>
    </w:p>
    <w:p>
      <w:pPr>
        <w:spacing w:after="60" w:line="276" w:lineRule="auto"/>
      </w:pPr>
      <w:r>
        <w:rPr>
          <w:rFonts w:ascii="Microsoft YaHei" w:hAnsi="Microsoft YaHei" w:eastAsia="Microsoft YaHei"/>
          <w:b w:val="0"/>
          <w:sz w:val="20"/>
        </w:rPr>
        <w:t>订单列表是处理提现申请的主入口，适合财务、客服和风控人员快速查看订单状态、实际出款金额和备注说明，并继续进入详情或异常处理操作。</w:t>
      </w:r>
    </w:p>
    <w:p>
      <w:pPr>
        <w:spacing w:after="40"/>
        <w:jc w:val="center"/>
      </w:pPr>
      <w:r>
        <w:drawing>
          <wp:inline xmlns:a="http://schemas.openxmlformats.org/drawingml/2006/main" xmlns:pic="http://schemas.openxmlformats.org/drawingml/2006/picture">
            <wp:extent cx="5852160" cy="2109746"/>
            <wp:docPr id="138" name="Picture 138"/>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852160" cy="2109746"/>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图：提现订单列表主表，用于按会员、订单状态和时间范围查询提现订单。</w:t>
      </w:r>
    </w:p>
    <w:p>
      <w:pPr>
        <w:pStyle w:val="16"/>
        <w:spacing w:after="60" w:line="276" w:lineRule="auto"/>
      </w:pPr>
      <w:r>
        <w:rPr>
          <w:rFonts w:ascii="Microsoft YaHei" w:hAnsi="Microsoft YaHei" w:eastAsia="Microsoft YaHei"/>
          <w:b/>
          <w:color w:val="2F5597"/>
          <w:sz w:val="20"/>
        </w:rPr>
        <w:t>筛选条件</w:t>
      </w:r>
      <w:r>
        <w:rPr>
          <w:rFonts w:ascii="Microsoft YaHei" w:hAnsi="Microsoft YaHei" w:eastAsia="Microsoft YaHei"/>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pPr>
        <w:pStyle w:val="16"/>
        <w:spacing w:after="60" w:line="276" w:lineRule="auto"/>
      </w:pPr>
      <w:r>
        <w:rPr>
          <w:rFonts w:ascii="Microsoft YaHei" w:hAnsi="Microsoft YaHei" w:eastAsia="Microsoft YaHei"/>
          <w:b/>
          <w:color w:val="2F5597"/>
          <w:sz w:val="20"/>
        </w:rPr>
        <w:t>列表字段</w:t>
      </w:r>
      <w:r>
        <w:rPr>
          <w:rFonts w:ascii="Microsoft YaHei" w:hAnsi="Microsoft YaHei" w:eastAsia="Microsoft YaHei"/>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pPr>
        <w:pStyle w:val="16"/>
        <w:spacing w:after="60" w:line="276" w:lineRule="auto"/>
      </w:pPr>
      <w:r>
        <w:rPr>
          <w:rFonts w:ascii="Microsoft YaHei" w:hAnsi="Microsoft YaHei" w:eastAsia="Microsoft YaHei"/>
          <w:b/>
          <w:color w:val="2F5597"/>
          <w:sz w:val="20"/>
        </w:rPr>
        <w:t>状态流转</w:t>
      </w:r>
      <w:r>
        <w:rPr>
          <w:rFonts w:ascii="Microsoft YaHei" w:hAnsi="Microsoft YaHei" w:eastAsia="Microsoft YaHei"/>
          <w:b w:val="0"/>
          <w:sz w:val="20"/>
        </w:rPr>
        <w:t>：常见状态包括待初审、初审不通过、复审不通过、待支付、支付中、已失败和已完成等。处理过程中应结合当前状态决定后续动作，避免对已终态订单重复发起支付或误做人工取消。</w:t>
      </w:r>
    </w:p>
    <w:p>
      <w:pPr>
        <w:pStyle w:val="16"/>
        <w:spacing w:after="60" w:line="276" w:lineRule="auto"/>
      </w:pPr>
      <w:r>
        <w:rPr>
          <w:rFonts w:ascii="Microsoft YaHei" w:hAnsi="Microsoft YaHei" w:eastAsia="Microsoft YaHei"/>
          <w:b/>
          <w:color w:val="2F5597"/>
          <w:sz w:val="20"/>
        </w:rPr>
        <w:t>操作入口</w:t>
      </w:r>
      <w:r>
        <w:rPr>
          <w:rFonts w:ascii="Microsoft YaHei" w:hAnsi="Microsoft YaHei" w:eastAsia="Microsoft YaHei"/>
          <w:b w:val="0"/>
          <w:sz w:val="20"/>
        </w:rPr>
        <w:t>：列表操作区通常提供详情、重新支付和取消订单等入口。只有在确认订单状态和失败原因后，才建议继续执行重新支付或取消订单，避免影响资金流转和对账口径。</w:t>
      </w:r>
    </w:p>
    <w:p>
      <w:pPr>
        <w:pStyle w:val="6"/>
        <w:spacing w:after="60" w:line="276" w:lineRule="auto"/>
      </w:pPr>
      <w:r>
        <w:rPr>
          <w:rFonts w:ascii="Microsoft YaHei" w:hAnsi="Microsoft YaHei" w:eastAsia="Microsoft YaHei"/>
          <w:b/>
          <w:i/>
          <w:color w:val="2F5597"/>
          <w:sz w:val="21"/>
        </w:rPr>
        <w:t>订单详情</w:t>
      </w:r>
    </w:p>
    <w:p>
      <w:pPr>
        <w:spacing w:after="60" w:line="276" w:lineRule="auto"/>
      </w:pPr>
      <w:r>
        <w:rPr>
          <w:rFonts w:ascii="Microsoft YaHei" w:hAnsi="Microsoft YaHei" w:eastAsia="Microsoft YaHei"/>
          <w:b w:val="0"/>
          <w:sz w:val="20"/>
        </w:rPr>
        <w:t>订单详情弹窗用于查看单笔提现订单的完整基础信息，适合在审核、复核和处理异常时快速确认订单金额、时间和备注。</w:t>
      </w:r>
    </w:p>
    <w:p>
      <w:pPr>
        <w:spacing w:after="40"/>
        <w:jc w:val="center"/>
      </w:pPr>
      <w:r>
        <w:drawing>
          <wp:inline xmlns:a="http://schemas.openxmlformats.org/drawingml/2006/main" xmlns:pic="http://schemas.openxmlformats.org/drawingml/2006/picture">
            <wp:extent cx="5852160" cy="3394424"/>
            <wp:docPr id="139" name="Picture 139"/>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852160" cy="339442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图：提现订单详情弹窗，用于查看单笔提现订单的状态、金额和处理时间。</w:t>
      </w:r>
    </w:p>
    <w:p>
      <w:pPr>
        <w:pStyle w:val="16"/>
        <w:spacing w:after="60" w:line="276" w:lineRule="auto"/>
      </w:pPr>
      <w:r>
        <w:rPr>
          <w:rFonts w:ascii="Microsoft YaHei" w:hAnsi="Microsoft YaHei" w:eastAsia="Microsoft YaHei"/>
          <w:b/>
          <w:color w:val="2F5597"/>
          <w:sz w:val="20"/>
        </w:rPr>
        <w:t>详情字段</w:t>
      </w:r>
      <w:r>
        <w:rPr>
          <w:rFonts w:ascii="Microsoft YaHei" w:hAnsi="Microsoft YaHei" w:eastAsia="Microsoft YaHei"/>
          <w:b w:val="0"/>
          <w:sz w:val="20"/>
        </w:rPr>
        <w:t>：详情弹窗通常展示订单号、订单状态、会员ID、商户ID、提现金额、实际金额、申请时间、操作时间和备注等内容，便于快速核对单笔订单的完整处理记录。</w:t>
      </w:r>
    </w:p>
    <w:p>
      <w:pPr>
        <w:pStyle w:val="16"/>
        <w:spacing w:after="60" w:line="276" w:lineRule="auto"/>
      </w:pPr>
      <w:r>
        <w:rPr>
          <w:rFonts w:ascii="Microsoft YaHei" w:hAnsi="Microsoft YaHei" w:eastAsia="Microsoft YaHei"/>
          <w:b/>
          <w:color w:val="2F5597"/>
          <w:sz w:val="20"/>
        </w:rPr>
        <w:t>核对要点</w:t>
      </w:r>
      <w:r>
        <w:rPr>
          <w:rFonts w:ascii="Microsoft YaHei" w:hAnsi="Microsoft YaHei" w:eastAsia="Microsoft YaHei"/>
          <w:b w:val="0"/>
          <w:sz w:val="20"/>
        </w:rPr>
        <w:t>：处理审核争议或玩家咨询时，可先通过详情确认订单金额、实际到账金额和状态，再结合备注判断是否存在三方返回异常、风控驳回或人工处理记录。</w:t>
      </w:r>
    </w:p>
    <w:p>
      <w:pPr>
        <w:pStyle w:val="6"/>
        <w:spacing w:after="60" w:line="276" w:lineRule="auto"/>
      </w:pPr>
      <w:r>
        <w:rPr>
          <w:rFonts w:ascii="Microsoft YaHei" w:hAnsi="Microsoft YaHei" w:eastAsia="Microsoft YaHei"/>
          <w:b/>
          <w:i/>
          <w:color w:val="2F5597"/>
          <w:sz w:val="21"/>
        </w:rPr>
        <w:t>重新支付</w:t>
      </w:r>
    </w:p>
    <w:p>
      <w:pPr>
        <w:spacing w:after="60" w:line="276" w:lineRule="auto"/>
      </w:pPr>
      <w:r>
        <w:rPr>
          <w:rFonts w:ascii="Microsoft YaHei" w:hAnsi="Microsoft YaHei" w:eastAsia="Microsoft YaHei"/>
          <w:b w:val="0"/>
          <w:sz w:val="20"/>
        </w:rPr>
        <w:t>重新支付弹窗用于对代付失败的提现订单再次发起支付请求，适合在已确认订单仍需继续出款、且失败原因已排查清楚时使用。</w:t>
      </w:r>
    </w:p>
    <w:p>
      <w:pPr>
        <w:spacing w:after="40"/>
        <w:jc w:val="center"/>
      </w:pPr>
      <w:r>
        <w:drawing>
          <wp:inline xmlns:a="http://schemas.openxmlformats.org/drawingml/2006/main" xmlns:pic="http://schemas.openxmlformats.org/drawingml/2006/picture">
            <wp:extent cx="5852160" cy="5236144"/>
            <wp:docPr id="140" name="Picture 140"/>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852160" cy="5236144"/>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图：重新支付弹窗，用于确认再次调用代付接口并选择代付通道。</w:t>
      </w:r>
    </w:p>
    <w:p>
      <w:pPr>
        <w:pStyle w:val="16"/>
        <w:spacing w:after="60" w:line="276" w:lineRule="auto"/>
      </w:pPr>
      <w:r>
        <w:rPr>
          <w:rFonts w:ascii="Microsoft YaHei" w:hAnsi="Microsoft YaHei" w:eastAsia="Microsoft YaHei"/>
          <w:b/>
          <w:color w:val="2F5597"/>
          <w:sz w:val="20"/>
        </w:rPr>
        <w:t>适用场景</w:t>
      </w:r>
      <w:r>
        <w:rPr>
          <w:rFonts w:ascii="Microsoft YaHei" w:hAnsi="Microsoft YaHei" w:eastAsia="Microsoft YaHei"/>
          <w:b w:val="0"/>
          <w:sz w:val="20"/>
        </w:rPr>
        <w:t>：重新支付通常用于三方代付失败但订单仍需继续出款的场景，例如临时通道异常、余额不足或通道切换后需重新提交。执行前应先确认失败原因已处理，避免重复提交无效请求。</w:t>
      </w:r>
    </w:p>
    <w:p>
      <w:pPr>
        <w:pStyle w:val="16"/>
        <w:spacing w:after="60" w:line="276" w:lineRule="auto"/>
      </w:pPr>
      <w:r>
        <w:rPr>
          <w:rFonts w:ascii="Microsoft YaHei" w:hAnsi="Microsoft YaHei" w:eastAsia="Microsoft YaHei"/>
          <w:b/>
          <w:color w:val="2F5597"/>
          <w:sz w:val="20"/>
        </w:rPr>
        <w:t>通道选择</w:t>
      </w:r>
      <w:r>
        <w:rPr>
          <w:rFonts w:ascii="Microsoft YaHei" w:hAnsi="Microsoft YaHei" w:eastAsia="Microsoft YaHei"/>
          <w:b w:val="0"/>
          <w:sz w:val="20"/>
        </w:rPr>
        <w:t>：弹窗中需重新选择代付通道。选择前应先确认当前可用通道的状态、支持的提现方式和出款能力，避免再次提交到不可用或不匹配的通道。</w:t>
      </w:r>
    </w:p>
    <w:p>
      <w:pPr>
        <w:pStyle w:val="16"/>
        <w:spacing w:after="60" w:line="276" w:lineRule="auto"/>
      </w:pPr>
      <w:r>
        <w:rPr>
          <w:rFonts w:ascii="Microsoft YaHei" w:hAnsi="Microsoft YaHei" w:eastAsia="Microsoft YaHei"/>
          <w:b/>
          <w:color w:val="2F5597"/>
          <w:sz w:val="20"/>
        </w:rPr>
        <w:t>处理结果</w:t>
      </w:r>
      <w:r>
        <w:rPr>
          <w:rFonts w:ascii="Microsoft YaHei" w:hAnsi="Microsoft YaHei" w:eastAsia="Microsoft YaHei"/>
          <w:b w:val="0"/>
          <w:sz w:val="20"/>
        </w:rPr>
        <w:t>：确认重新支付后，系统会再次调用三方代付接口，并把最新返回结果同步记录到备注。操作后应继续关注订单状态是否进入支付中或完成。</w:t>
      </w:r>
    </w:p>
    <w:p>
      <w:pPr>
        <w:pStyle w:val="6"/>
        <w:spacing w:after="60" w:line="276" w:lineRule="auto"/>
      </w:pPr>
      <w:r>
        <w:rPr>
          <w:rFonts w:ascii="Microsoft YaHei" w:hAnsi="Microsoft YaHei" w:eastAsia="Microsoft YaHei"/>
          <w:b/>
          <w:i/>
          <w:color w:val="2F5597"/>
          <w:sz w:val="21"/>
        </w:rPr>
        <w:t>取消订单</w:t>
      </w:r>
    </w:p>
    <w:p>
      <w:pPr>
        <w:spacing w:after="60" w:line="276" w:lineRule="auto"/>
      </w:pPr>
      <w:r>
        <w:rPr>
          <w:rFonts w:ascii="Microsoft YaHei" w:hAnsi="Microsoft YaHei" w:eastAsia="Microsoft YaHei"/>
          <w:b w:val="0"/>
          <w:sz w:val="20"/>
        </w:rPr>
        <w:t>取消订单弹窗用于终止当前提现申请，并按页面提示把未完成出款的金额退回系统余额，适合处理无法继续支付或明确无需继续出款的订单。</w:t>
      </w:r>
    </w:p>
    <w:p>
      <w:pPr>
        <w:spacing w:after="40"/>
        <w:jc w:val="center"/>
      </w:pPr>
      <w:r>
        <w:drawing>
          <wp:inline xmlns:a="http://schemas.openxmlformats.org/drawingml/2006/main" xmlns:pic="http://schemas.openxmlformats.org/drawingml/2006/picture">
            <wp:extent cx="5852160" cy="8083463"/>
            <wp:docPr id="141" name="Picture 141"/>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852160" cy="8083463"/>
                    </a:xfrm>
                    <a:prstGeom prst="rect"/>
                  </pic:spPr>
                </pic:pic>
              </a:graphicData>
            </a:graphic>
          </wp:inline>
        </w:drawing>
      </w:r>
    </w:p>
    <w:p>
      <w:pPr>
        <w:pStyle w:val="15"/>
        <w:spacing w:after="120"/>
        <w:jc w:val="center"/>
      </w:pPr>
      <w:r>
        <w:rPr>
          <w:rFonts w:ascii="Microsoft YaHei" w:hAnsi="Microsoft YaHei" w:eastAsia="Microsoft YaHei"/>
          <w:b w:val="0"/>
          <w:color w:val="707E92"/>
          <w:sz w:val="18"/>
        </w:rPr>
        <w:t>图：取消订单弹窗，用于确认终止提现订单并填写备注。</w:t>
      </w:r>
    </w:p>
    <w:p>
      <w:pPr>
        <w:pStyle w:val="16"/>
        <w:spacing w:after="60" w:line="276" w:lineRule="auto"/>
      </w:pPr>
      <w:r>
        <w:rPr>
          <w:rFonts w:ascii="Microsoft YaHei" w:hAnsi="Microsoft YaHei" w:eastAsia="Microsoft YaHei"/>
          <w:b/>
          <w:color w:val="2F5597"/>
          <w:sz w:val="20"/>
        </w:rPr>
        <w:t>取消影响</w:t>
      </w:r>
      <w:r>
        <w:rPr>
          <w:rFonts w:ascii="Microsoft YaHei" w:hAnsi="Microsoft YaHei" w:eastAsia="Microsoft YaHei"/>
          <w:b w:val="0"/>
          <w:sz w:val="20"/>
        </w:rPr>
        <w:t>：取消订单后，页面通常会把订单状态更新为失败或关闭，并按当前规则将未完成出款的金额退回对应余额。执行前应先确认该订单确实无需继续支付，避免误取消正常订单。</w:t>
      </w:r>
    </w:p>
    <w:p>
      <w:pPr>
        <w:pStyle w:val="16"/>
        <w:spacing w:after="60" w:line="276" w:lineRule="auto"/>
      </w:pPr>
      <w:r>
        <w:rPr>
          <w:rFonts w:ascii="Microsoft YaHei" w:hAnsi="Microsoft YaHei" w:eastAsia="Microsoft YaHei"/>
          <w:b/>
          <w:color w:val="2F5597"/>
          <w:sz w:val="20"/>
        </w:rPr>
        <w:t>备注说明</w:t>
      </w:r>
      <w:r>
        <w:rPr>
          <w:rFonts w:ascii="Microsoft YaHei" w:hAnsi="Microsoft YaHei" w:eastAsia="Microsoft YaHei"/>
          <w:b w:val="0"/>
          <w:sz w:val="20"/>
        </w:rPr>
        <w:t>：弹窗支持填写备注，建议明确记录取消原因、处理人和特殊说明，便于后续客服、财务或风控继续追溯订单处理过程。</w:t>
      </w:r>
    </w:p>
    <w:p>
      <w:pPr>
        <w:pStyle w:val="16"/>
        <w:spacing w:after="60" w:line="276" w:lineRule="auto"/>
      </w:pPr>
      <w:r>
        <w:rPr>
          <w:rFonts w:ascii="Microsoft YaHei" w:hAnsi="Microsoft YaHei" w:eastAsia="Microsoft YaHei"/>
          <w:b/>
          <w:color w:val="2F5597"/>
          <w:sz w:val="20"/>
        </w:rPr>
        <w:t>使用要点</w:t>
      </w:r>
      <w:r>
        <w:rPr>
          <w:rFonts w:ascii="Microsoft YaHei" w:hAnsi="Microsoft YaHei" w:eastAsia="Microsoft YaHei"/>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pPr>
      <w:r>
        <w:rPr>
          <w:rFonts w:ascii="微软雅黑" w:hAnsi="微软雅黑" w:eastAsia="微软雅黑"/>
          <w:b/>
          <w:color w:val="2F5597"/>
          <w:sz w:val="25"/>
        </w:rPr>
        <w:t>提现风控审核</w:t>
      </w:r>
    </w:p>
    <w:p w14:paraId="7D7A45F6">
      <w:pPr>
        <w:pStyle w:val="16"/>
        <w:spacing w:after="60" w:line="276" w:lineRule="auto"/>
      </w:pPr>
      <w:r>
        <w:rPr>
          <w:rFonts w:ascii="微软雅黑" w:hAnsi="微软雅黑" w:eastAsia="微软雅黑"/>
          <w:b/>
          <w:color w:val="2F5597"/>
          <w:sz w:val="20"/>
        </w:rPr>
        <w:t>提现风控审核</w:t>
      </w:r>
      <w:r>
        <w:rPr>
          <w:rFonts w:ascii="微软雅黑" w:hAnsi="微软雅黑" w:eastAsia="微软雅黑"/>
          <w:b w:val="0"/>
          <w:sz w:val="20"/>
        </w:rPr>
        <w:t>：用于处理触发风控的提现订单。</w:t>
      </w:r>
    </w:p>
    <w:p w14:paraId="0111A933">
      <w:pPr>
        <w:pStyle w:val="16"/>
        <w:spacing w:after="60" w:line="276" w:lineRule="auto"/>
      </w:pPr>
      <w:r>
        <w:rPr>
          <w:rFonts w:ascii="微软雅黑" w:hAnsi="微软雅黑" w:eastAsia="微软雅黑"/>
          <w:b/>
          <w:color w:val="2F5597"/>
          <w:sz w:val="20"/>
        </w:rPr>
        <w:t>详情查看</w:t>
      </w:r>
      <w:r>
        <w:rPr>
          <w:rFonts w:ascii="微软雅黑" w:hAnsi="微软雅黑" w:eastAsia="微软雅黑"/>
          <w:b w:val="0"/>
          <w:sz w:val="20"/>
        </w:rPr>
        <w:t>：查看风控原因、会员信息和订单详情，执行通过、拒绝或补充审核。</w:t>
      </w:r>
    </w:p>
    <w:p w14:paraId="2D338E1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：审核结果会影响资金出款，需按风控规则和财务要求处理。</w:t>
      </w:r>
    </w:p>
    <w:p w14:paraId="0761347B">
      <w:pPr>
        <w:pStyle w:val="5"/>
        <w:keepNext/>
        <w:spacing w:before="180" w:after="100" w:line="259" w:lineRule="auto"/>
      </w:pPr>
      <w:r>
        <w:rPr>
          <w:rFonts w:ascii="微软雅黑" w:hAnsi="微软雅黑" w:eastAsia="微软雅黑"/>
          <w:b/>
          <w:color w:val="2F5597"/>
          <w:sz w:val="25"/>
        </w:rPr>
        <w:t>支付通道数据</w:t>
      </w:r>
    </w:p>
    <w:p w14:paraId="09887DB0">
      <w:pPr>
        <w:pStyle w:val="16"/>
        <w:spacing w:after="60" w:line="276" w:lineRule="auto"/>
      </w:pPr>
      <w:r>
        <w:rPr>
          <w:rFonts w:ascii="微软雅黑" w:hAnsi="微软雅黑" w:eastAsia="微软雅黑"/>
          <w:b/>
          <w:color w:val="2F5597"/>
          <w:sz w:val="20"/>
        </w:rPr>
        <w:t>支付通道数据</w:t>
      </w:r>
      <w:r>
        <w:rPr>
          <w:rFonts w:ascii="微软雅黑" w:hAnsi="微软雅黑" w:eastAsia="微软雅黑"/>
          <w:b w:val="0"/>
          <w:sz w:val="20"/>
        </w:rPr>
        <w:t>：用于查看支付通道的交易和成功率数据。</w:t>
      </w:r>
    </w:p>
    <w:p w14:paraId="7F05234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：按通道、时间或状态筛选，查看充值笔数、金额和成功率。</w:t>
      </w:r>
    </w:p>
    <w:p w14:paraId="3EC02D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：用于判断通道质量，异常时联系通道配置或财务人员处理。</w:t>
      </w:r>
    </w:p>
    <w:p w14:paraId="0CF38EB6">
      <w:pPr>
        <w:pStyle w:val="5"/>
        <w:keepNext/>
        <w:spacing w:before="180" w:after="100" w:line="259" w:lineRule="auto"/>
      </w:pPr>
      <w:r>
        <w:rPr>
          <w:rFonts w:ascii="微软雅黑" w:hAnsi="微软雅黑" w:eastAsia="微软雅黑"/>
          <w:b/>
          <w:color w:val="2F5597"/>
          <w:sz w:val="25"/>
        </w:rPr>
        <w:t>人工加扣款</w:t>
      </w:r>
    </w:p>
    <w:p w14:paraId="22ADBA27">
      <w:pPr>
        <w:pStyle w:val="16"/>
        <w:spacing w:after="60" w:line="276" w:lineRule="auto"/>
      </w:pPr>
      <w:r>
        <w:rPr>
          <w:rFonts w:ascii="微软雅黑" w:hAnsi="微软雅黑" w:eastAsia="微软雅黑"/>
          <w:b/>
          <w:color w:val="2F5597"/>
          <w:sz w:val="20"/>
        </w:rPr>
        <w:t>人工加扣款</w:t>
      </w:r>
      <w:r>
        <w:rPr>
          <w:rFonts w:ascii="微软雅黑" w:hAnsi="微软雅黑" w:eastAsia="微软雅黑"/>
          <w:b w:val="0"/>
          <w:sz w:val="20"/>
        </w:rPr>
        <w:t>：用于对会员账户执行人工加款或扣款。</w:t>
      </w:r>
    </w:p>
    <w:p w14:paraId="1B6DC83A">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：填写会员、金额、类型和备注，提交后查看处理结果。</w:t>
      </w:r>
    </w:p>
    <w:p w14:paraId="5F73C63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：此操作直接影响会员余额，提交前必须核对会员和金额。</w:t>
      </w:r>
    </w:p>
    <w:p w14:paraId="53760425">
      <w:pPr>
        <w:pStyle w:val="5"/>
        <w:keepNext/>
        <w:spacing w:before="180" w:after="100" w:line="259" w:lineRule="auto"/>
      </w:pPr>
      <w:r>
        <w:rPr>
          <w:rFonts w:ascii="微软雅黑" w:hAnsi="微软雅黑" w:eastAsia="微软雅黑"/>
          <w:b/>
          <w:color w:val="2F5597"/>
          <w:sz w:val="25"/>
        </w:rPr>
        <w:t>账变记录</w:t>
      </w:r>
    </w:p>
    <w:p w14:paraId="2926E6FC">
      <w:pPr>
        <w:pStyle w:val="16"/>
        <w:spacing w:after="60" w:line="276" w:lineRule="auto"/>
      </w:pPr>
      <w:r>
        <w:rPr>
          <w:rFonts w:ascii="微软雅黑" w:hAnsi="微软雅黑" w:eastAsia="微软雅黑"/>
          <w:b/>
          <w:color w:val="2F5597"/>
          <w:sz w:val="20"/>
        </w:rPr>
        <w:t>账变记录</w:t>
      </w:r>
      <w:r>
        <w:rPr>
          <w:rFonts w:ascii="微软雅黑" w:hAnsi="微软雅黑" w:eastAsia="微软雅黑"/>
          <w:b w:val="0"/>
          <w:sz w:val="20"/>
        </w:rPr>
        <w:t>：用于查询会员资金变动明细。</w:t>
      </w:r>
    </w:p>
    <w:p w14:paraId="2C27ED6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：按会员、账变类型、订单号或时间筛选，查看余额变化。</w:t>
      </w:r>
    </w:p>
    <w:p w14:paraId="222C52D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：排查资金问题时优先结合订单、活动和人工加扣款记录核对。</w:t>
      </w:r>
    </w:p>
    <w:p w14:paraId="124545B9">
      <w:pPr>
        <w:pStyle w:val="5"/>
        <w:keepNext/>
        <w:spacing w:before="180" w:after="100" w:line="259" w:lineRule="auto"/>
      </w:pPr>
      <w:r>
        <w:rPr>
          <w:rFonts w:ascii="微软雅黑" w:hAnsi="微软雅黑" w:eastAsia="微软雅黑"/>
          <w:b/>
          <w:color w:val="2F5597"/>
          <w:sz w:val="25"/>
        </w:rPr>
        <w:t>资金账变类型</w:t>
      </w:r>
    </w:p>
    <w:p w14:paraId="5ACF9B78">
      <w:pPr>
        <w:pStyle w:val="16"/>
        <w:spacing w:after="60" w:line="276" w:lineRule="auto"/>
      </w:pPr>
      <w:r>
        <w:rPr>
          <w:rFonts w:ascii="微软雅黑" w:hAnsi="微软雅黑" w:eastAsia="微软雅黑"/>
          <w:b/>
          <w:color w:val="2F5597"/>
          <w:sz w:val="20"/>
        </w:rPr>
        <w:t>资金账变类型</w:t>
      </w:r>
      <w:r>
        <w:rPr>
          <w:rFonts w:ascii="微软雅黑" w:hAnsi="微软雅黑" w:eastAsia="微软雅黑"/>
          <w:b w:val="0"/>
          <w:sz w:val="20"/>
        </w:rPr>
        <w:t>：用于维护资金账变类型和展示名称。</w:t>
      </w:r>
    </w:p>
    <w:p w14:paraId="72393E2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：查看、启用、停用或调整账变类型配置。</w:t>
      </w:r>
    </w:p>
    <w:p w14:paraId="7E7F817A">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：类型配置会影响账变筛选和前后台展示，调整前需确认口径。</w:t>
      </w:r>
    </w:p>
    <w:p w14:paraId="3E3C5FA6">
      <w:pPr>
        <w:pStyle w:val="5"/>
        <w:keepNext/>
        <w:spacing w:before="180" w:after="100" w:line="259" w:lineRule="auto"/>
      </w:pPr>
      <w:r>
        <w:rPr>
          <w:rFonts w:ascii="微软雅黑" w:hAnsi="微软雅黑" w:eastAsia="微软雅黑"/>
          <w:b/>
          <w:color w:val="2F5597"/>
          <w:sz w:val="25"/>
        </w:rPr>
        <w:t>打码管理</w:t>
      </w:r>
    </w:p>
    <w:p w14:paraId="5C333D1A">
      <w:pPr>
        <w:pStyle w:val="16"/>
        <w:spacing w:after="60" w:line="276" w:lineRule="auto"/>
      </w:pPr>
      <w:r>
        <w:rPr>
          <w:rFonts w:ascii="微软雅黑" w:hAnsi="微软雅黑" w:eastAsia="微软雅黑"/>
          <w:b/>
          <w:color w:val="2F5597"/>
          <w:sz w:val="20"/>
        </w:rPr>
        <w:t>打码管理</w:t>
      </w:r>
      <w:r>
        <w:rPr>
          <w:rFonts w:ascii="微软雅黑" w:hAnsi="微软雅黑" w:eastAsia="微软雅黑"/>
          <w:b w:val="0"/>
          <w:sz w:val="20"/>
        </w:rPr>
        <w:t>：用于查看和管理会员打码量要求。</w:t>
      </w:r>
    </w:p>
    <w:p w14:paraId="4EE4A40A">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：查询会员打码进度，核对活动、充值或人工调整产生的打码要求。</w:t>
      </w:r>
    </w:p>
    <w:p w14:paraId="6DF2562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：处理提现或活动问题时，应结合打码完成情况判断。</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pPr>
      <w:r>
        <w:rPr>
          <w:rFonts w:ascii="微软雅黑" w:hAnsi="微软雅黑" w:eastAsia="微软雅黑"/>
          <w:b/>
          <w:color w:val="2F5597"/>
          <w:sz w:val="25"/>
        </w:rPr>
        <w:t>综合数据报表</w:t>
      </w:r>
    </w:p>
    <w:p w14:paraId="054CB3D5">
      <w:pPr>
        <w:pStyle w:val="16"/>
        <w:spacing w:after="60" w:line="276" w:lineRule="auto"/>
      </w:pPr>
      <w:r>
        <w:rPr>
          <w:rFonts w:ascii="微软雅黑" w:hAnsi="微软雅黑" w:eastAsia="微软雅黑"/>
          <w:b/>
          <w:color w:val="2F5597"/>
          <w:sz w:val="20"/>
        </w:rPr>
        <w:t>综合数据报表</w:t>
      </w:r>
      <w:r>
        <w:rPr>
          <w:rFonts w:ascii="微软雅黑" w:hAnsi="微软雅黑" w:eastAsia="微软雅黑"/>
          <w:b w:val="0"/>
          <w:sz w:val="20"/>
        </w:rPr>
        <w:t>：用于查看站点综合运营数据。</w:t>
      </w:r>
    </w:p>
    <w:p w14:paraId="0315C21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：按时间筛选充值、提现、投注、输赢、会员等关键指标。</w:t>
      </w:r>
    </w:p>
    <w:p w14:paraId="51484006">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：用于日常经营看板和趋势分析，需注意筛选时间口径。</w:t>
      </w:r>
    </w:p>
    <w:p w14:paraId="2D9CF65D">
      <w:pPr>
        <w:pStyle w:val="5"/>
        <w:keepNext/>
        <w:spacing w:before="180" w:after="100" w:line="259" w:lineRule="auto"/>
      </w:pPr>
      <w:r>
        <w:rPr>
          <w:rFonts w:ascii="微软雅黑" w:hAnsi="微软雅黑" w:eastAsia="微软雅黑"/>
          <w:b/>
          <w:color w:val="2F5597"/>
          <w:sz w:val="25"/>
        </w:rPr>
        <w:t>游戏人数据表</w:t>
      </w:r>
    </w:p>
    <w:p w14:paraId="260A50A6">
      <w:pPr>
        <w:pStyle w:val="16"/>
        <w:spacing w:after="60" w:line="276" w:lineRule="auto"/>
      </w:pPr>
      <w:r>
        <w:rPr>
          <w:rFonts w:ascii="微软雅黑" w:hAnsi="微软雅黑" w:eastAsia="微软雅黑"/>
          <w:b/>
          <w:color w:val="2F5597"/>
          <w:sz w:val="20"/>
        </w:rPr>
        <w:t>游戏人数据表</w:t>
      </w:r>
      <w:r>
        <w:rPr>
          <w:rFonts w:ascii="微软雅黑" w:hAnsi="微软雅黑" w:eastAsia="微软雅黑"/>
          <w:b w:val="0"/>
          <w:sz w:val="20"/>
        </w:rPr>
        <w:t>：用于查看游戏维度的玩家人数数据。</w:t>
      </w:r>
    </w:p>
    <w:p w14:paraId="7744656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：按时间、游戏或渠道筛选，查看活跃、投注和参与人数。</w:t>
      </w:r>
    </w:p>
    <w:p w14:paraId="4FBA4DE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：用于判断游戏热度和玩家分布，分析时结合投注报表。</w:t>
      </w:r>
    </w:p>
    <w:p w14:paraId="4F380F61">
      <w:pPr>
        <w:pStyle w:val="5"/>
        <w:keepNext/>
        <w:spacing w:before="180" w:after="100" w:line="259" w:lineRule="auto"/>
      </w:pPr>
      <w:r>
        <w:rPr>
          <w:rFonts w:ascii="微软雅黑" w:hAnsi="微软雅黑" w:eastAsia="微软雅黑"/>
          <w:b/>
          <w:color w:val="2F5597"/>
          <w:sz w:val="25"/>
        </w:rPr>
        <w:t>优惠数据报表</w:t>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pPr>
      <w:r>
        <w:rPr>
          <w:rFonts w:ascii="微软雅黑" w:hAnsi="微软雅黑" w:eastAsia="微软雅黑"/>
          <w:b/>
          <w:color w:val="2F5597"/>
          <w:sz w:val="25"/>
        </w:rPr>
        <w:t>充值留存报表</w:t>
      </w:r>
    </w:p>
    <w:p w14:paraId="35DAE308">
      <w:pPr>
        <w:pStyle w:val="16"/>
        <w:spacing w:after="60" w:line="276" w:lineRule="auto"/>
      </w:pPr>
      <w:r>
        <w:rPr>
          <w:rFonts w:ascii="微软雅黑" w:hAnsi="微软雅黑" w:eastAsia="微软雅黑"/>
          <w:b/>
          <w:color w:val="2F5597"/>
          <w:sz w:val="20"/>
        </w:rPr>
        <w:t>充值留存报表</w:t>
      </w:r>
      <w:r>
        <w:rPr>
          <w:rFonts w:ascii="微软雅黑" w:hAnsi="微软雅黑" w:eastAsia="微软雅黑"/>
          <w:b w:val="0"/>
          <w:sz w:val="20"/>
        </w:rPr>
        <w:t>：用于查看充值用户后续留存情况。</w:t>
      </w:r>
    </w:p>
    <w:p w14:paraId="23854D5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：按首充日期、渠道或站点筛选，查看次日、多日留存。</w:t>
      </w:r>
    </w:p>
    <w:p w14:paraId="35B907D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：用于评估充值用户质量和运营活动效果。</w:t>
      </w:r>
    </w:p>
    <w:p w14:paraId="6B51C8CF">
      <w:pPr>
        <w:pStyle w:val="5"/>
        <w:keepNext/>
        <w:spacing w:before="180" w:after="100" w:line="259" w:lineRule="auto"/>
      </w:pPr>
      <w:r>
        <w:rPr>
          <w:rFonts w:ascii="微软雅黑" w:hAnsi="微软雅黑" w:eastAsia="微软雅黑"/>
          <w:b/>
          <w:color w:val="2F5597"/>
          <w:sz w:val="25"/>
        </w:rPr>
        <w:t>代理结算明细</w:t>
      </w:r>
    </w:p>
    <w:p w14:paraId="7B3232AF">
      <w:pPr>
        <w:pStyle w:val="16"/>
        <w:spacing w:after="60" w:line="276" w:lineRule="auto"/>
      </w:pPr>
      <w:r>
        <w:rPr>
          <w:rFonts w:ascii="微软雅黑" w:hAnsi="微软雅黑" w:eastAsia="微软雅黑"/>
          <w:b/>
          <w:color w:val="2F5597"/>
          <w:sz w:val="20"/>
        </w:rPr>
        <w:t>代理结算明细</w:t>
      </w:r>
      <w:r>
        <w:rPr>
          <w:rFonts w:ascii="微软雅黑" w:hAnsi="微软雅黑" w:eastAsia="微软雅黑"/>
          <w:b w:val="0"/>
          <w:sz w:val="20"/>
        </w:rPr>
        <w:t>：用于查看代理结算明细和结算结果。</w:t>
      </w:r>
    </w:p>
    <w:p w14:paraId="20462E4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：按代理、结算周期或状态筛选，查看佣金、返水和调整项。</w:t>
      </w:r>
    </w:p>
    <w:p w14:paraId="004262F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：结算前需核对代理配置、会员数据和异常调整。</w:t>
      </w:r>
    </w:p>
    <w:p w14:paraId="028AA85F">
      <w:pPr>
        <w:pStyle w:val="5"/>
        <w:keepNext/>
        <w:spacing w:before="180" w:after="100" w:line="259" w:lineRule="auto"/>
      </w:pPr>
      <w:r>
        <w:rPr>
          <w:rFonts w:ascii="微软雅黑" w:hAnsi="微软雅黑" w:eastAsia="微软雅黑"/>
          <w:b/>
          <w:color w:val="2F5597"/>
          <w:sz w:val="25"/>
        </w:rPr>
        <w:t>VIP数据统计</w:t>
      </w:r>
    </w:p>
    <w:p w14:paraId="6651434E">
      <w:pPr>
        <w:pStyle w:val="16"/>
        <w:spacing w:after="60" w:line="276" w:lineRule="auto"/>
      </w:pPr>
      <w:r>
        <w:rPr>
          <w:rFonts w:ascii="微软雅黑" w:hAnsi="微软雅黑" w:eastAsia="微软雅黑"/>
          <w:b/>
          <w:color w:val="2F5597"/>
          <w:sz w:val="20"/>
        </w:rPr>
        <w:t>VIP数据统计</w:t>
      </w:r>
      <w:r>
        <w:rPr>
          <w:rFonts w:ascii="微软雅黑" w:hAnsi="微软雅黑" w:eastAsia="微软雅黑"/>
          <w:b w:val="0"/>
          <w:sz w:val="20"/>
        </w:rPr>
        <w:t>：用于统计各 VIP 等级会员数据。</w:t>
      </w:r>
    </w:p>
    <w:p w14:paraId="259A9454">
      <w:pPr>
        <w:pStyle w:val="16"/>
        <w:spacing w:after="60" w:line="276" w:lineRule="auto"/>
      </w:pPr>
      <w:r>
        <w:rPr>
          <w:rFonts w:ascii="微软雅黑" w:hAnsi="微软雅黑" w:eastAsia="微软雅黑"/>
          <w:b/>
          <w:color w:val="2F5597"/>
          <w:sz w:val="20"/>
        </w:rPr>
        <w:t>查看内容</w:t>
      </w:r>
      <w:r>
        <w:rPr>
          <w:rFonts w:ascii="微软雅黑" w:hAnsi="微软雅黑" w:eastAsia="微软雅黑"/>
          <w:b w:val="0"/>
          <w:sz w:val="20"/>
        </w:rPr>
        <w:t>：按时间或等级查看会员数量、充值、投注和升降级情况。</w:t>
      </w:r>
    </w:p>
    <w:p w14:paraId="57D7C6C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 VIP 结构和高价值会员运营效果。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pPr>
      <w:r>
        <w:rPr>
          <w:rFonts w:ascii="微软雅黑" w:hAnsi="微软雅黑" w:eastAsia="微软雅黑"/>
          <w:b/>
          <w:color w:val="2F5597"/>
          <w:sz w:val="25"/>
        </w:rPr>
        <w:t>游戏记录</w:t>
      </w:r>
    </w:p>
    <w:p w14:paraId="631FA4A6">
      <w:pPr>
        <w:pStyle w:val="16"/>
        <w:spacing w:after="60" w:line="276" w:lineRule="auto"/>
      </w:pPr>
      <w:r>
        <w:rPr>
          <w:rFonts w:ascii="微软雅黑" w:hAnsi="微软雅黑" w:eastAsia="微软雅黑"/>
          <w:b/>
          <w:color w:val="2F5597"/>
          <w:sz w:val="20"/>
        </w:rPr>
        <w:t>游戏记录</w:t>
      </w:r>
      <w:r>
        <w:rPr>
          <w:rFonts w:ascii="微软雅黑" w:hAnsi="微软雅黑" w:eastAsia="微软雅黑"/>
          <w:b w:val="0"/>
          <w:sz w:val="20"/>
        </w:rPr>
        <w:t>：用于查询玩家游戏投注记录。</w:t>
      </w:r>
    </w:p>
    <w:p w14:paraId="47CD2E8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：按玩家、游戏、订单号、状态或时间筛选，查看投注明细。</w:t>
      </w:r>
    </w:p>
    <w:p w14:paraId="03FB3BAC">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：排查输赢争议时应结合游戏记录、账变和订单状态。</w:t>
      </w:r>
    </w:p>
    <w:p w14:paraId="4782256E">
      <w:pPr>
        <w:pStyle w:val="5"/>
        <w:keepNext/>
        <w:spacing w:before="180" w:after="100" w:line="259" w:lineRule="auto"/>
      </w:pPr>
      <w:r>
        <w:rPr>
          <w:rFonts w:ascii="微软雅黑" w:hAnsi="微软雅黑" w:eastAsia="微软雅黑"/>
          <w:b/>
          <w:color w:val="2F5597"/>
          <w:sz w:val="25"/>
        </w:rPr>
        <w:t>用户留存</w:t>
      </w:r>
    </w:p>
    <w:p w14:paraId="1A4ADA83">
      <w:pPr>
        <w:pStyle w:val="16"/>
        <w:spacing w:after="60" w:line="276" w:lineRule="auto"/>
      </w:pPr>
      <w:r>
        <w:rPr>
          <w:rFonts w:ascii="微软雅黑" w:hAnsi="微软雅黑" w:eastAsia="微软雅黑"/>
          <w:b/>
          <w:color w:val="2F5597"/>
          <w:sz w:val="20"/>
        </w:rPr>
        <w:t>用户留存</w:t>
      </w:r>
      <w:r>
        <w:rPr>
          <w:rFonts w:ascii="微软雅黑" w:hAnsi="微软雅黑" w:eastAsia="微软雅黑"/>
          <w:b w:val="0"/>
          <w:sz w:val="20"/>
        </w:rPr>
        <w:t>：用于查看注册或活跃用户的留存情况。</w:t>
      </w:r>
    </w:p>
    <w:p w14:paraId="409BDBF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：按日期、渠道或用户分组筛选，查看留存比例。</w:t>
      </w:r>
    </w:p>
    <w:p w14:paraId="545D7255">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：留存分析用于评估渠道质量和运营活动效果。</w:t>
      </w:r>
    </w:p>
    <w:p w14:paraId="7F4FB0CF">
      <w:pPr>
        <w:pStyle w:val="5"/>
        <w:keepNext/>
        <w:spacing w:before="180" w:after="100" w:line="259" w:lineRule="auto"/>
      </w:pPr>
      <w:r>
        <w:rPr>
          <w:rFonts w:ascii="微软雅黑" w:hAnsi="微软雅黑" w:eastAsia="微软雅黑"/>
          <w:b/>
          <w:color w:val="2F5597"/>
          <w:sz w:val="25"/>
        </w:rPr>
        <w:t>用户分析</w:t>
      </w:r>
    </w:p>
    <w:p w14:paraId="74B4BFBB">
      <w:pPr>
        <w:pStyle w:val="16"/>
        <w:spacing w:after="60" w:line="276" w:lineRule="auto"/>
      </w:pPr>
      <w:r>
        <w:rPr>
          <w:rFonts w:ascii="微软雅黑" w:hAnsi="微软雅黑" w:eastAsia="微软雅黑"/>
          <w:b/>
          <w:color w:val="2F5597"/>
          <w:sz w:val="20"/>
        </w:rPr>
        <w:t>用户分析</w:t>
      </w:r>
      <w:r>
        <w:rPr>
          <w:rFonts w:ascii="微软雅黑" w:hAnsi="微软雅黑" w:eastAsia="微软雅黑"/>
          <w:b w:val="0"/>
          <w:sz w:val="20"/>
        </w:rPr>
        <w:t>：用于分析用户结构、活跃和行为数据。</w:t>
      </w:r>
    </w:p>
    <w:p w14:paraId="55A63E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：按时间、渠道或用户类型筛选，查看新增、活跃、充值等指标。</w:t>
      </w:r>
    </w:p>
    <w:p w14:paraId="764ACB6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：用于用户运营决策，需结合留存、充值和活动数据判断。</w:t>
      </w:r>
    </w:p>
    <w:p w14:paraId="6E8DFB1B">
      <w:pPr>
        <w:pStyle w:val="5"/>
        <w:keepNext/>
        <w:spacing w:before="180" w:after="100" w:line="259" w:lineRule="auto"/>
      </w:pPr>
      <w:r>
        <w:rPr>
          <w:rFonts w:ascii="微软雅黑" w:hAnsi="微软雅黑" w:eastAsia="微软雅黑"/>
          <w:b/>
          <w:color w:val="2F5597"/>
          <w:sz w:val="25"/>
        </w:rPr>
        <w:t>LTV</w:t>
      </w:r>
    </w:p>
    <w:p w14:paraId="5D591226">
      <w:pPr>
        <w:pStyle w:val="16"/>
        <w:spacing w:after="60" w:line="276" w:lineRule="auto"/>
      </w:pPr>
      <w:r>
        <w:rPr>
          <w:rFonts w:ascii="微软雅黑" w:hAnsi="微软雅黑" w:eastAsia="微软雅黑"/>
          <w:b/>
          <w:color w:val="2F5597"/>
          <w:sz w:val="20"/>
        </w:rPr>
        <w:t>LTV</w:t>
      </w:r>
      <w:r>
        <w:rPr>
          <w:rFonts w:ascii="微软雅黑" w:hAnsi="微软雅黑" w:eastAsia="微软雅黑"/>
          <w:b w:val="0"/>
          <w:sz w:val="20"/>
        </w:rPr>
        <w:t>：用于查看用户生命周期价值数据。</w:t>
      </w:r>
    </w:p>
    <w:p w14:paraId="2FAF872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：按注册日期、渠道或用户分组筛选，查看不同周期价值表现。</w:t>
      </w:r>
    </w:p>
    <w:p w14:paraId="6C0E154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：用于评估投放回收和用户质量，需与渠道成本结合分析。</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59DE9601">
      <w:pPr>
        <w:pStyle w:val="5"/>
        <w:keepNext/>
        <w:spacing w:before="180" w:after="100" w:line="259" w:lineRule="auto"/>
      </w:pPr>
      <w:r>
        <w:rPr>
          <w:rFonts w:ascii="微软雅黑" w:hAnsi="微软雅黑" w:eastAsia="微软雅黑"/>
          <w:b/>
          <w:color w:val="2F5597"/>
          <w:sz w:val="25"/>
        </w:rPr>
        <w:t>用户分群查询</w:t>
      </w:r>
    </w:p>
    <w:p w14:paraId="5C0CAEB1">
      <w:pPr>
        <w:pStyle w:val="16"/>
        <w:spacing w:after="60" w:line="276" w:lineRule="auto"/>
      </w:pPr>
      <w:r>
        <w:rPr>
          <w:rFonts w:ascii="微软雅黑" w:hAnsi="微软雅黑" w:eastAsia="微软雅黑"/>
          <w:b/>
          <w:color w:val="2F5597"/>
          <w:sz w:val="20"/>
        </w:rPr>
        <w:t>用户分群查询</w:t>
      </w:r>
      <w:r>
        <w:rPr>
          <w:rFonts w:ascii="微软雅黑" w:hAnsi="微软雅黑" w:eastAsia="微软雅黑"/>
          <w:b w:val="0"/>
          <w:sz w:val="20"/>
        </w:rPr>
        <w:t>：用于查询用户分群结果和分群成员。</w:t>
      </w:r>
    </w:p>
    <w:p w14:paraId="35F9A45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：按分群条件、标签或会员信息筛选，查看命中用户。</w:t>
      </w:r>
    </w:p>
    <w:p w14:paraId="18848A1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：分群结果可用于活动、消息推送和精细化运营。</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5D44EC52">
      <w:pPr>
        <w:pStyle w:val="5"/>
        <w:keepNext/>
        <w:spacing w:before="180" w:after="100" w:line="259" w:lineRule="auto"/>
      </w:pPr>
      <w:r>
        <w:rPr>
          <w:rFonts w:ascii="微软雅黑" w:hAnsi="微软雅黑" w:eastAsia="微软雅黑"/>
          <w:b/>
          <w:color w:val="2F5597"/>
          <w:sz w:val="25"/>
        </w:rPr>
        <w:t>推荐频道管理</w:t>
      </w:r>
    </w:p>
    <w:p w14:paraId="614F7F9C">
      <w:pPr>
        <w:pStyle w:val="16"/>
        <w:spacing w:after="60" w:line="276" w:lineRule="auto"/>
      </w:pPr>
      <w:r>
        <w:rPr>
          <w:rFonts w:ascii="微软雅黑" w:hAnsi="微软雅黑" w:eastAsia="微软雅黑"/>
          <w:b/>
          <w:color w:val="2F5597"/>
          <w:sz w:val="20"/>
        </w:rPr>
        <w:t>推荐频道管理</w:t>
      </w:r>
      <w:r>
        <w:rPr>
          <w:rFonts w:ascii="微软雅黑" w:hAnsi="微软雅黑" w:eastAsia="微软雅黑"/>
          <w:b w:val="0"/>
          <w:sz w:val="20"/>
        </w:rPr>
        <w:t>：用于维护前台推荐频道和展示内容。</w:t>
      </w:r>
    </w:p>
    <w:p w14:paraId="1071B0F6">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：新增、编辑、排序、启用或停用推荐频道。</w:t>
      </w:r>
    </w:p>
    <w:p w14:paraId="5D4D30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：调整前确认频道内容、排序和前台展示效果。</w:t>
      </w:r>
    </w:p>
    <w:p w14:paraId="65EA5E4B">
      <w:pPr>
        <w:pStyle w:val="5"/>
        <w:keepNext/>
        <w:spacing w:before="180" w:after="100" w:line="259" w:lineRule="auto"/>
      </w:pPr>
      <w:r>
        <w:rPr>
          <w:rFonts w:ascii="微软雅黑" w:hAnsi="微软雅黑" w:eastAsia="微软雅黑"/>
          <w:b/>
          <w:color w:val="2F5597"/>
          <w:sz w:val="25"/>
        </w:rPr>
        <w:t>游戏类型设置</w:t>
      </w:r>
    </w:p>
    <w:p w14:paraId="0FBFB201">
      <w:pPr>
        <w:pStyle w:val="16"/>
        <w:spacing w:after="60" w:line="276" w:lineRule="auto"/>
      </w:pPr>
      <w:r>
        <w:rPr>
          <w:rFonts w:ascii="微软雅黑" w:hAnsi="微软雅黑" w:eastAsia="微软雅黑"/>
          <w:b/>
          <w:color w:val="2F5597"/>
          <w:sz w:val="20"/>
        </w:rPr>
        <w:t>游戏类型设置</w:t>
      </w:r>
      <w:r>
        <w:rPr>
          <w:rFonts w:ascii="微软雅黑" w:hAnsi="微软雅黑" w:eastAsia="微软雅黑"/>
          <w:b w:val="0"/>
          <w:sz w:val="20"/>
        </w:rPr>
        <w:t>：用于维护游戏类型分类。</w:t>
      </w:r>
    </w:p>
    <w:p w14:paraId="25ABDC9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：新增、编辑、排序、启用或停用游戏类型。</w:t>
      </w:r>
    </w:p>
    <w:p w14:paraId="48A5F3B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：类型配置会影响前台游戏筛选和后台统计归类。</w:t>
      </w:r>
    </w:p>
    <w:p w14:paraId="4B2C4F27">
      <w:pPr>
        <w:pStyle w:val="5"/>
        <w:keepNext/>
        <w:spacing w:before="180" w:after="100" w:line="259" w:lineRule="auto"/>
      </w:pPr>
      <w:r>
        <w:rPr>
          <w:rFonts w:ascii="微软雅黑" w:hAnsi="微软雅黑" w:eastAsia="微软雅黑"/>
          <w:b/>
          <w:color w:val="2F5597"/>
          <w:sz w:val="25"/>
        </w:rPr>
        <w:t>游戏频道管理</w:t>
      </w:r>
    </w:p>
    <w:p w14:paraId="79105434">
      <w:pPr>
        <w:pStyle w:val="16"/>
        <w:spacing w:after="60" w:line="276" w:lineRule="auto"/>
      </w:pPr>
      <w:r>
        <w:rPr>
          <w:rFonts w:ascii="微软雅黑" w:hAnsi="微软雅黑" w:eastAsia="微软雅黑"/>
          <w:b/>
          <w:color w:val="2F5597"/>
          <w:sz w:val="20"/>
        </w:rPr>
        <w:t>游戏频道管理</w:t>
      </w:r>
      <w:r>
        <w:rPr>
          <w:rFonts w:ascii="微软雅黑" w:hAnsi="微软雅黑" w:eastAsia="微软雅黑"/>
          <w:b w:val="0"/>
          <w:sz w:val="20"/>
        </w:rPr>
        <w:t>：用于维护游戏频道和频道内游戏展示。</w:t>
      </w:r>
    </w:p>
    <w:p w14:paraId="39ED2534">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：配置频道名称、排序、展示游戏和启停状态。</w:t>
      </w:r>
    </w:p>
    <w:p w14:paraId="728279E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：保存后需检查前台频道展示和游戏入口是否正确。</w:t>
      </w:r>
    </w:p>
    <w:p w14:paraId="6618AAB0">
      <w:pPr>
        <w:pStyle w:val="5"/>
        <w:keepNext/>
        <w:spacing w:before="180" w:after="100" w:line="259" w:lineRule="auto"/>
      </w:pPr>
      <w:r>
        <w:rPr>
          <w:rFonts w:ascii="微软雅黑" w:hAnsi="微软雅黑" w:eastAsia="微软雅黑"/>
          <w:b/>
          <w:color w:val="2F5597"/>
          <w:sz w:val="25"/>
        </w:rPr>
        <w:t>子游戏列表</w:t>
      </w:r>
    </w:p>
    <w:p w14:paraId="22BFEA74">
      <w:pPr>
        <w:pStyle w:val="16"/>
        <w:spacing w:after="60" w:line="276" w:lineRule="auto"/>
      </w:pPr>
      <w:r>
        <w:rPr>
          <w:rFonts w:ascii="微软雅黑" w:hAnsi="微软雅黑" w:eastAsia="微软雅黑"/>
          <w:b/>
          <w:color w:val="2F5597"/>
          <w:sz w:val="20"/>
        </w:rPr>
        <w:t>子游戏列表</w:t>
      </w:r>
      <w:r>
        <w:rPr>
          <w:rFonts w:ascii="微软雅黑" w:hAnsi="微软雅黑" w:eastAsia="微软雅黑"/>
          <w:b w:val="0"/>
          <w:sz w:val="20"/>
        </w:rPr>
        <w:t>：用于查看和管理子游戏信息。</w:t>
      </w:r>
    </w:p>
    <w:p w14:paraId="3A9BF828">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：按厂商、类型或状态筛选，启用、停用或调整游戏展示。</w:t>
      </w:r>
    </w:p>
    <w:p w14:paraId="367A88C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：调整游戏状态会影响玩家进入游戏，操作前需确认影响范围。</w:t>
      </w:r>
    </w:p>
    <w:p w14:paraId="6D89B257">
      <w:pPr>
        <w:pStyle w:val="5"/>
        <w:keepNext/>
        <w:spacing w:before="180" w:after="100" w:line="259" w:lineRule="auto"/>
      </w:pPr>
      <w:r>
        <w:rPr>
          <w:rFonts w:ascii="微软雅黑" w:hAnsi="微软雅黑" w:eastAsia="微软雅黑"/>
          <w:b/>
          <w:color w:val="2F5597"/>
          <w:sz w:val="25"/>
        </w:rPr>
        <w:t>游戏统计</w:t>
      </w:r>
    </w:p>
    <w:p w14:paraId="1A33C13A">
      <w:pPr>
        <w:pStyle w:val="16"/>
        <w:spacing w:after="60" w:line="276" w:lineRule="auto"/>
      </w:pPr>
      <w:r>
        <w:rPr>
          <w:rFonts w:ascii="微软雅黑" w:hAnsi="微软雅黑" w:eastAsia="微软雅黑"/>
          <w:b/>
          <w:color w:val="2F5597"/>
          <w:sz w:val="20"/>
        </w:rPr>
        <w:t>游戏统计</w:t>
      </w:r>
      <w:r>
        <w:rPr>
          <w:rFonts w:ascii="微软雅黑" w:hAnsi="微软雅黑" w:eastAsia="微软雅黑"/>
          <w:b w:val="0"/>
          <w:sz w:val="20"/>
        </w:rPr>
        <w:t>：用于查看游戏投注和输赢统计。</w:t>
      </w:r>
    </w:p>
    <w:p w14:paraId="0D86C84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：按游戏、厂商或时间筛选，查看投注人数、投注额和输赢。</w:t>
      </w:r>
    </w:p>
    <w:p w14:paraId="5CBCC1E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：用于分析游戏表现，异常时结合游戏记录核对。</w:t>
      </w:r>
    </w:p>
    <w:p w14:paraId="11EEA7F1">
      <w:pPr>
        <w:pStyle w:val="5"/>
        <w:keepNext/>
        <w:spacing w:before="180" w:after="100" w:line="259" w:lineRule="auto"/>
      </w:pPr>
      <w:r>
        <w:rPr>
          <w:rFonts w:ascii="微软雅黑" w:hAnsi="微软雅黑" w:eastAsia="微软雅黑"/>
          <w:b/>
          <w:color w:val="2F5597"/>
          <w:sz w:val="25"/>
        </w:rPr>
        <w:t>游戏厂商统计</w:t>
      </w:r>
    </w:p>
    <w:p w14:paraId="287B5C7A">
      <w:pPr>
        <w:pStyle w:val="16"/>
        <w:spacing w:after="60" w:line="276" w:lineRule="auto"/>
      </w:pPr>
      <w:r>
        <w:rPr>
          <w:rFonts w:ascii="微软雅黑" w:hAnsi="微软雅黑" w:eastAsia="微软雅黑"/>
          <w:b/>
          <w:color w:val="2F5597"/>
          <w:sz w:val="20"/>
        </w:rPr>
        <w:t>游戏厂商统计</w:t>
      </w:r>
      <w:r>
        <w:rPr>
          <w:rFonts w:ascii="微软雅黑" w:hAnsi="微软雅黑" w:eastAsia="微软雅黑"/>
          <w:b w:val="0"/>
          <w:sz w:val="20"/>
        </w:rPr>
        <w:t>：用于查看各游戏厂商数据表现。</w:t>
      </w:r>
    </w:p>
    <w:p w14:paraId="6719718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：按厂商和时间筛选，查看投注、输赢和活跃数据。</w:t>
      </w:r>
    </w:p>
    <w:p w14:paraId="458A5AC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：用于评估厂商质量和游戏引入效果。</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pPr>
      <w:r>
        <w:rPr>
          <w:rFonts w:ascii="微软雅黑" w:hAnsi="微软雅黑" w:eastAsia="微软雅黑"/>
          <w:b/>
          <w:color w:val="2F5597"/>
          <w:sz w:val="25"/>
        </w:rPr>
        <w:t>在线玩家列表</w:t>
      </w:r>
    </w:p>
    <w:p w14:paraId="1B48DE56">
      <w:pPr>
        <w:pStyle w:val="16"/>
        <w:spacing w:after="60" w:line="276" w:lineRule="auto"/>
      </w:pPr>
      <w:r>
        <w:rPr>
          <w:rFonts w:ascii="微软雅黑" w:hAnsi="微软雅黑" w:eastAsia="微软雅黑"/>
          <w:b/>
          <w:color w:val="2F5597"/>
          <w:sz w:val="20"/>
        </w:rPr>
        <w:t>在线玩家列表</w:t>
      </w:r>
      <w:r>
        <w:rPr>
          <w:rFonts w:ascii="微软雅黑" w:hAnsi="微软雅黑" w:eastAsia="微软雅黑"/>
          <w:b w:val="0"/>
          <w:sz w:val="20"/>
        </w:rPr>
        <w:t>：用于查看当前在线玩家。</w:t>
      </w:r>
    </w:p>
    <w:p w14:paraId="6CC5D4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：按会员、渠道或状态筛选，查看在线时间、终端和会员信息。</w:t>
      </w:r>
    </w:p>
    <w:p w14:paraId="50D074F6">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：用于实时运营观察和异常在线排查。</w:t>
      </w:r>
    </w:p>
    <w:p w14:paraId="7114301A">
      <w:pPr>
        <w:pStyle w:val="5"/>
        <w:keepNext/>
        <w:spacing w:before="180" w:after="100" w:line="259" w:lineRule="auto"/>
      </w:pPr>
      <w:r>
        <w:rPr>
          <w:rFonts w:ascii="微软雅黑" w:hAnsi="微软雅黑" w:eastAsia="微软雅黑"/>
          <w:b/>
          <w:color w:val="2F5597"/>
          <w:sz w:val="25"/>
        </w:rPr>
        <w:t>所有会员</w:t>
      </w:r>
    </w:p>
    <w:p w14:paraId="20FF2DF4">
      <w:pPr>
        <w:pStyle w:val="16"/>
        <w:spacing w:after="60" w:line="276" w:lineRule="auto"/>
      </w:pPr>
      <w:r>
        <w:rPr>
          <w:rFonts w:ascii="微软雅黑" w:hAnsi="微软雅黑" w:eastAsia="微软雅黑"/>
          <w:b/>
          <w:color w:val="2F5597"/>
          <w:sz w:val="20"/>
        </w:rPr>
        <w:t>所有会员</w:t>
      </w:r>
      <w:r>
        <w:rPr>
          <w:rFonts w:ascii="微软雅黑" w:hAnsi="微软雅黑" w:eastAsia="微软雅黑"/>
          <w:b w:val="0"/>
          <w:sz w:val="20"/>
        </w:rPr>
        <w:t>：用于查询和管理会员基础信息。</w:t>
      </w:r>
    </w:p>
    <w:p w14:paraId="2BA1C63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：按会员账号、ID、状态或注册时间筛选，查看资料、余额和行为信息。</w:t>
      </w:r>
    </w:p>
    <w:p w14:paraId="4871796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：处理会员问题时先确认账号身份，再进入资金、订单或活动明细核对。</w:t>
      </w:r>
    </w:p>
    <w:p w14:paraId="053421E3">
      <w:pPr>
        <w:pStyle w:val="5"/>
        <w:keepNext/>
        <w:spacing w:before="180" w:after="100" w:line="259" w:lineRule="auto"/>
      </w:pPr>
      <w:r>
        <w:rPr>
          <w:rFonts w:ascii="微软雅黑" w:hAnsi="微软雅黑" w:eastAsia="微软雅黑"/>
          <w:b/>
          <w:color w:val="2F5597"/>
          <w:sz w:val="25"/>
        </w:rPr>
        <w:t>VIP设置</w:t>
      </w:r>
    </w:p>
    <w:p w14:paraId="3C970DBD">
      <w:pPr>
        <w:pStyle w:val="16"/>
        <w:spacing w:after="60" w:line="276" w:lineRule="auto"/>
      </w:pPr>
      <w:r>
        <w:rPr>
          <w:rFonts w:ascii="微软雅黑" w:hAnsi="微软雅黑" w:eastAsia="微软雅黑"/>
          <w:b/>
          <w:color w:val="2F5597"/>
          <w:sz w:val="20"/>
        </w:rPr>
        <w:t>VIP设置</w:t>
      </w:r>
      <w:r>
        <w:rPr>
          <w:rFonts w:ascii="微软雅黑" w:hAnsi="微软雅黑" w:eastAsia="微软雅黑"/>
          <w:b w:val="0"/>
          <w:sz w:val="20"/>
        </w:rPr>
        <w:t>：用于配置 VIP 等级、权益和升级条件。</w:t>
      </w:r>
    </w:p>
    <w:p w14:paraId="64A3E67E">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：设置等级名称、升级条件、保级条件、奖励和启停状态。</w:t>
      </w:r>
    </w:p>
    <w:p w14:paraId="2B732B8F">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：调整后会影响会员等级和权益展示，需提前确认规则。</w:t>
      </w:r>
    </w:p>
    <w:p w14:paraId="7DC6CA3D">
      <w:pPr>
        <w:pStyle w:val="5"/>
        <w:keepNext/>
        <w:spacing w:before="180" w:after="100" w:line="259" w:lineRule="auto"/>
      </w:pPr>
      <w:r>
        <w:rPr>
          <w:rFonts w:ascii="微软雅黑" w:hAnsi="微软雅黑" w:eastAsia="微软雅黑"/>
          <w:b/>
          <w:color w:val="2F5597"/>
          <w:sz w:val="25"/>
        </w:rPr>
        <w:t>有奖反馈</w:t>
      </w:r>
    </w:p>
    <w:p w14:paraId="04EABB9C">
      <w:pPr>
        <w:pStyle w:val="16"/>
        <w:spacing w:after="60" w:line="276" w:lineRule="auto"/>
      </w:pPr>
      <w:r>
        <w:rPr>
          <w:rFonts w:ascii="微软雅黑" w:hAnsi="微软雅黑" w:eastAsia="微软雅黑"/>
          <w:b/>
          <w:color w:val="2F5597"/>
          <w:sz w:val="20"/>
        </w:rPr>
        <w:t>有奖反馈</w:t>
      </w:r>
      <w:r>
        <w:rPr>
          <w:rFonts w:ascii="微软雅黑" w:hAnsi="微软雅黑" w:eastAsia="微软雅黑"/>
          <w:b w:val="0"/>
          <w:sz w:val="20"/>
        </w:rPr>
        <w:t>：用于查看和处理会员反馈奖励。</w:t>
      </w:r>
    </w:p>
    <w:p w14:paraId="2A5C855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：筛选反馈记录，查看内容、处理状态并发放或拒绝奖励。</w:t>
      </w:r>
    </w:p>
    <w:p w14:paraId="2A97AFAD">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：处理前核对反馈内容、奖励规则和会员信息。</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32E84B52">
      <w:pPr>
        <w:pStyle w:val="16"/>
        <w:spacing w:after="60" w:line="276" w:lineRule="auto"/>
      </w:pPr>
      <w:r>
        <w:rPr>
          <w:rFonts w:ascii="微软雅黑" w:hAnsi="微软雅黑" w:eastAsia="微软雅黑"/>
          <w:b/>
          <w:color w:val="2F5597"/>
          <w:sz w:val="20"/>
        </w:rPr>
        <w:t>代理列表</w:t>
      </w:r>
      <w:r>
        <w:rPr>
          <w:rFonts w:ascii="微软雅黑" w:hAnsi="微软雅黑" w:eastAsia="微软雅黑"/>
          <w:b w:val="0"/>
          <w:sz w:val="20"/>
        </w:rPr>
        <w:t>：用于查询和管理代理账号。</w:t>
      </w:r>
    </w:p>
    <w:p w14:paraId="2764B9F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：按代理账号、状态或时间筛选，查看代理信息和下级数据。</w:t>
      </w:r>
    </w:p>
    <w:p w14:paraId="0468D12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：调整代理状态前需确认结算、会员归属和业务影响。</w:t>
      </w:r>
    </w:p>
    <w:p w14:paraId="7B2F927C">
      <w:pPr>
        <w:pStyle w:val="5"/>
        <w:keepNext/>
        <w:spacing w:before="180" w:after="100" w:line="259" w:lineRule="auto"/>
      </w:pPr>
      <w:r>
        <w:rPr>
          <w:rFonts w:ascii="微软雅黑" w:hAnsi="微软雅黑" w:eastAsia="微软雅黑"/>
          <w:b/>
          <w:color w:val="2F5597"/>
          <w:sz w:val="25"/>
        </w:rPr>
        <w:t>代理配置</w:t>
      </w:r>
    </w:p>
    <w:p w14:paraId="63DBE911">
      <w:pPr>
        <w:pStyle w:val="16"/>
        <w:spacing w:after="60" w:line="276" w:lineRule="auto"/>
      </w:pPr>
      <w:r>
        <w:rPr>
          <w:rFonts w:ascii="微软雅黑" w:hAnsi="微软雅黑" w:eastAsia="微软雅黑"/>
          <w:b/>
          <w:color w:val="2F5597"/>
          <w:sz w:val="20"/>
        </w:rPr>
        <w:t>代理配置</w:t>
      </w:r>
      <w:r>
        <w:rPr>
          <w:rFonts w:ascii="微软雅黑" w:hAnsi="微软雅黑" w:eastAsia="微软雅黑"/>
          <w:b w:val="0"/>
          <w:sz w:val="20"/>
        </w:rPr>
        <w:t>：用于维护代理返佣、返水和结算规则。</w:t>
      </w:r>
    </w:p>
    <w:p w14:paraId="48F29FA1">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：设置代理等级、比例、结算周期和启停状态。</w:t>
      </w:r>
    </w:p>
    <w:p w14:paraId="29D47E7C">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：配置变更会影响代理收益，保存前需复核规则。</w:t>
      </w:r>
    </w:p>
    <w:p w14:paraId="7A8BCCC2">
      <w:pPr>
        <w:pStyle w:val="5"/>
        <w:keepNext/>
        <w:spacing w:before="180" w:after="100" w:line="259" w:lineRule="auto"/>
      </w:pPr>
      <w:r>
        <w:rPr>
          <w:rFonts w:ascii="微软雅黑" w:hAnsi="微软雅黑" w:eastAsia="微软雅黑"/>
          <w:b/>
          <w:color w:val="2F5597"/>
          <w:sz w:val="25"/>
        </w:rPr>
        <w:t>代理领取记录</w:t>
      </w:r>
    </w:p>
    <w:p w14:paraId="5EB7FD94">
      <w:pPr>
        <w:pStyle w:val="16"/>
        <w:spacing w:after="60" w:line="276" w:lineRule="auto"/>
      </w:pPr>
      <w:r>
        <w:rPr>
          <w:rFonts w:ascii="微软雅黑" w:hAnsi="微软雅黑" w:eastAsia="微软雅黑"/>
          <w:b/>
          <w:color w:val="2F5597"/>
          <w:sz w:val="20"/>
        </w:rPr>
        <w:t>代理领取记录</w:t>
      </w:r>
      <w:r>
        <w:rPr>
          <w:rFonts w:ascii="微软雅黑" w:hAnsi="微软雅黑" w:eastAsia="微软雅黑"/>
          <w:b w:val="0"/>
          <w:sz w:val="20"/>
        </w:rPr>
        <w:t>：用于查看代理奖励或佣金领取记录。</w:t>
      </w:r>
    </w:p>
    <w:p w14:paraId="06F90DFE">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：按代理、状态或时间筛选，查看领取金额和处理结果。</w:t>
      </w:r>
    </w:p>
    <w:p w14:paraId="749874C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：排查收益问题时结合结算明细和账变记录核对。</w:t>
      </w:r>
    </w:p>
    <w:p w14:paraId="03B26D96">
      <w:pPr>
        <w:pStyle w:val="5"/>
        <w:keepNext/>
        <w:spacing w:before="180" w:after="100" w:line="259" w:lineRule="auto"/>
      </w:pPr>
      <w:r>
        <w:rPr>
          <w:rFonts w:ascii="微软雅黑" w:hAnsi="微软雅黑" w:eastAsia="微软雅黑"/>
          <w:b/>
          <w:color w:val="2F5597"/>
          <w:sz w:val="25"/>
        </w:rPr>
        <w:t>代理数据查询</w:t>
      </w:r>
    </w:p>
    <w:p w14:paraId="760FEA40">
      <w:pPr>
        <w:pStyle w:val="16"/>
        <w:spacing w:after="60" w:line="276" w:lineRule="auto"/>
      </w:pPr>
      <w:r>
        <w:rPr>
          <w:rFonts w:ascii="微软雅黑" w:hAnsi="微软雅黑" w:eastAsia="微软雅黑"/>
          <w:b/>
          <w:color w:val="2F5597"/>
          <w:sz w:val="20"/>
        </w:rPr>
        <w:t>代理数据查询</w:t>
      </w:r>
      <w:r>
        <w:rPr>
          <w:rFonts w:ascii="微软雅黑" w:hAnsi="微软雅黑" w:eastAsia="微软雅黑"/>
          <w:b w:val="0"/>
          <w:sz w:val="20"/>
        </w:rPr>
        <w:t>：用于查询代理维度的运营数据。</w:t>
      </w:r>
    </w:p>
    <w:p w14:paraId="1F17117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：按代理和时间筛选，查看下级会员、充值、投注和佣金数据。</w:t>
      </w:r>
    </w:p>
    <w:p w14:paraId="344CFFF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：用于代理运营分析和结算核对。</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01C69A6"/>
    <w:rsid w:val="15F63412"/>
    <w:rsid w:val="17F0696C"/>
    <w:rsid w:val="183B3024"/>
    <w:rsid w:val="18FA3DCE"/>
    <w:rsid w:val="1E20265C"/>
    <w:rsid w:val="259865AB"/>
    <w:rsid w:val="274033B7"/>
    <w:rsid w:val="29C87436"/>
    <w:rsid w:val="308E051A"/>
    <w:rsid w:val="38A20FFB"/>
    <w:rsid w:val="3AEF22C6"/>
    <w:rsid w:val="449F4114"/>
    <w:rsid w:val="48E318B7"/>
    <w:rsid w:val="4E892E94"/>
    <w:rsid w:val="4F407994"/>
    <w:rsid w:val="578C750D"/>
    <w:rsid w:val="59C16051"/>
    <w:rsid w:val="61DB474F"/>
    <w:rsid w:val="6E5F3FAE"/>
    <w:rsid w:val="72EE6907"/>
    <w:rsid w:val="79F022DC"/>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8" Type="http://schemas.openxmlformats.org/officeDocument/2006/relationships/fontTable" Target="fontTable.xml"/><Relationship Id="rId77" Type="http://schemas.openxmlformats.org/officeDocument/2006/relationships/customXml" Target="../customXml/item1.xml"/><Relationship Id="rId76" Type="http://schemas.openxmlformats.org/officeDocument/2006/relationships/numbering" Target="numbering.xml"/><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21865</Words>
  <Characters>22737</Characters>
  <Lines>0</Lines>
  <Paragraphs>0</Paragraphs>
  <TotalTime>20</TotalTime>
  <ScaleCrop>false</ScaleCrop>
  <LinksUpToDate>false</LinksUpToDate>
  <CharactersWithSpaces>22965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2026-06-10T06:54:22Z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