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：若开启独立提现规则，应确认其适用范围不与常规单笔上下限和 VIP 限制冲突，避免不同规则并行时出现口径冲突。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852160" cy="4352290"/>
            <wp:effectExtent l="0" t="0" r="15240" b="1016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852160" cy="435236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5852160" cy="4215130"/>
            <wp:effectExtent l="0" t="0" r="15240" b="1397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5852160" cy="4215267"/>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852160" cy="4431665"/>
            <wp:effectExtent l="0" t="0" r="1524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852160" cy="4432151"/>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充值订单列表</w:t>
      </w:r>
    </w:p>
    <w:p>
      <w:pPr>
        <w:spacing w:after="60" w:line="276" w:lineRule="auto"/>
      </w:pPr>
      <w:r>
        <w:rPr>
          <w:rFonts w:ascii="Microsoft YaHei" w:hAnsi="Microsoft YaHei" w:eastAsia="Microsoft YaHei"/>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pPr>
        <w:pStyle w:val="16"/>
        <w:spacing w:after="60" w:line="276" w:lineRule="auto"/>
      </w:pPr>
      <w:r>
        <w:rPr>
          <w:rFonts w:ascii="Microsoft YaHei" w:hAnsi="Microsoft YaHei" w:eastAsia="Microsoft YaHei"/>
          <w:b/>
          <w:color w:val="2F5597"/>
          <w:sz w:val="20"/>
        </w:rPr>
        <w:t>订单类型</w:t>
      </w:r>
      <w:r>
        <w:rPr>
          <w:rFonts w:ascii="Microsoft YaHei" w:hAnsi="Microsoft YaHei" w:eastAsia="Microsoft YaHei"/>
          <w:b w:val="0"/>
          <w:sz w:val="20"/>
        </w:rPr>
        <w:t>：页面顶部支持在“在线充值”和“USDT充值”之间切换。在线充值列表会展示支付渠道、汇率和第三方单号等信息，USDT 充值列表则更适合核对链路相关订单状态和充值币种。</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：可按创建时间、会员ID、订单状态筛选订单；在线充值页签还支持按支付渠道进一步缩小范围。处理玩家咨询或通道异常时，建议先固定时间范围和会员账号，再结合状态筛选待付款、处理中或充值成功订单。</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主表会展示订单号、会员ID、订单状态、订单金额、赠送金额、实际到账金额、创建时间、支付方式、支付渠道、充值币种、第三方单号和备注等信息。核对到账问题时，应重点关注订单状态、实际到账金额、赠送金额和备注说明，判断订单是否已完成到账、仍在处理中，或因超时、回调异常而关闭。</w:t>
      </w:r>
    </w:p>
    <w:p>
      <w:pPr>
        <w:pStyle w:val="16"/>
        <w:spacing w:after="60" w:line="276" w:lineRule="auto"/>
      </w:pPr>
      <w:r>
        <w:rPr>
          <w:rFonts w:ascii="Microsoft YaHei" w:hAnsi="Microsoft YaHei" w:eastAsia="Microsoft YaHei"/>
          <w:b/>
          <w:color w:val="2F5597"/>
          <w:sz w:val="20"/>
        </w:rPr>
        <w:t>订单详情</w:t>
      </w:r>
      <w:r>
        <w:rPr>
          <w:rFonts w:ascii="Microsoft YaHei" w:hAnsi="Microsoft YaHei" w:eastAsia="Microsoft YaHei"/>
          <w:b w:val="0"/>
          <w:sz w:val="20"/>
        </w:rPr>
        <w:t>：点击列表“详情”可查看单笔订单的完整信息，包括订单金额、实际到账金额、赠送金额、充值币种、汇率、手续费、支付方式、支付渠道、是否首充、备注以及创建和更新时间。排查充值争议时，可优先通过详情页核对第三方单号和更新时间，再决定是否继续结合支付通道数据或账变记录追查。</w:t>
      </w:r>
    </w:p>
    <w:p>
      <w:pPr>
        <w:pStyle w:val="16"/>
        <w:spacing w:after="60" w:line="276" w:lineRule="auto"/>
      </w:pPr>
      <w:r>
        <w:rPr>
          <w:rFonts w:ascii="Microsoft YaHei" w:hAnsi="Microsoft YaHei" w:eastAsia="Microsoft YaHei"/>
          <w:b/>
          <w:color w:val="2F5597"/>
          <w:sz w:val="20"/>
        </w:rPr>
        <w:t>导出与对账</w:t>
      </w:r>
      <w:r>
        <w:rPr>
          <w:rFonts w:ascii="Microsoft YaHei" w:hAnsi="Microsoft YaHei" w:eastAsia="Microsoft YaHei"/>
          <w:b w:val="0"/>
          <w:sz w:val="20"/>
        </w:rPr>
        <w:t>：页面支持导出表格，便于按时间段留档或交叉核对。导出前建议先确认当前页签、筛选条件和订单状态范围，避免把不同充值类型或无关时间段数据混在同一份结果中。</w:t>
      </w:r>
    </w:p>
    <w:p>
      <w:pPr>
        <w:pStyle w:val="16"/>
        <w:spacing w:after="60" w:line="276" w:lineRule="auto"/>
      </w:pPr>
      <w:r>
        <w:rPr>
          <w:rFonts w:ascii="Microsoft YaHei" w:hAnsi="Microsoft YaHei" w:eastAsia="Microsoft YaHei"/>
          <w:b/>
          <w:color w:val="2F5597"/>
          <w:sz w:val="20"/>
        </w:rPr>
        <w:t>使用要点</w:t>
      </w:r>
      <w:r>
        <w:rPr>
          <w:rFonts w:ascii="Microsoft YaHei" w:hAnsi="Microsoft YaHei" w:eastAsia="Microsoft YaHei"/>
          <w:b w:val="0"/>
          <w:sz w:val="20"/>
        </w:rPr>
        <w:t>：当订单显示“待付款”时，通常表示会员尚未完成支付；“处理中”表示渠道回调或系统入账仍在进行中；“充值成功”可继续核对实际到账金额与赠送金额是否符合活动规则；“已关闭”则应结合备注判断是否因超时关闭或其他异常终止。若列表与会员余额结果不一致，应继续到账变记录或支付通道数据页面做交叉核对。</w:t>
      </w:r>
    </w:p>
    <w:p w14:paraId="162FCBF1">
      <w:r>
        <w:drawing>
          <wp:inline distT="0" distB="0" distL="114300" distR="114300">
            <wp:extent cx="6398895" cy="2284095"/>
            <wp:effectExtent l="0" t="0" r="1905" b="190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8"/>
                    <a:stretch>
                      <a:fillRect/>
                    </a:stretch>
                  </pic:blipFill>
                  <pic:spPr>
                    <a:xfrm>
                      <a:off x="0" y="0"/>
                      <a:ext cx="6398895" cy="2284095"/>
                    </a:xfrm>
                    <a:prstGeom prst="rect">
                      <a:avLst/>
                    </a:prstGeom>
                    <a:noFill/>
                    <a:ln>
                      <a:noFill/>
                    </a:ln>
                  </pic:spPr>
                </pic:pic>
              </a:graphicData>
            </a:graphic>
          </wp:inline>
        </w:drawing>
      </w:r>
    </w:p>
    <w:p w14:paraId="1E85721A">
      <w:bookmarkStart w:id="0" w:name="_GoBack"/>
      <w:r>
        <w:drawing>
          <wp:inline distT="0" distB="0" distL="114300" distR="114300">
            <wp:extent cx="4712335" cy="4650105"/>
            <wp:effectExtent l="0" t="0" r="12065" b="171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9"/>
                    <a:stretch>
                      <a:fillRect/>
                    </a:stretch>
                  </pic:blipFill>
                  <pic:spPr>
                    <a:xfrm>
                      <a:off x="0" y="0"/>
                      <a:ext cx="4712335" cy="4650105"/>
                    </a:xfrm>
                    <a:prstGeom prst="rect">
                      <a:avLst/>
                    </a:prstGeom>
                    <a:noFill/>
                    <a:ln>
                      <a:noFill/>
                    </a:ln>
                  </pic:spPr>
                </pic:pic>
              </a:graphicData>
            </a:graphic>
          </wp:inline>
        </w:drawing>
      </w:r>
      <w:bookmarkEnd w:id="0"/>
    </w:p>
    <w:p w14:paraId="276EACFF">
      <w:r>
        <w:drawing>
          <wp:inline distT="0" distB="0" distL="114300" distR="114300">
            <wp:extent cx="6393180" cy="2154555"/>
            <wp:effectExtent l="0" t="0" r="7620" b="171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0"/>
                    <a:stretch>
                      <a:fillRect/>
                    </a:stretch>
                  </pic:blipFill>
                  <pic:spPr>
                    <a:xfrm>
                      <a:off x="0" y="0"/>
                      <a:ext cx="6393180" cy="2154555"/>
                    </a:xfrm>
                    <a:prstGeom prst="rect">
                      <a:avLst/>
                    </a:prstGeom>
                    <a:noFill/>
                    <a:ln>
                      <a:noFill/>
                    </a:ln>
                  </pic:spPr>
                </pic:pic>
              </a:graphicData>
            </a:graphic>
          </wp:inline>
        </w:drawing>
      </w:r>
    </w:p>
    <w:p w14:paraId="64AF5CDF">
      <w:r>
        <w:drawing>
          <wp:inline distT="0" distB="0" distL="114300" distR="114300">
            <wp:extent cx="3600450" cy="17526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1"/>
                    <a:stretch>
                      <a:fillRect/>
                    </a:stretch>
                  </pic:blipFill>
                  <pic:spPr>
                    <a:xfrm>
                      <a:off x="0" y="0"/>
                      <a:ext cx="3600450" cy="1752600"/>
                    </a:xfrm>
                    <a:prstGeom prst="rect">
                      <a:avLst/>
                    </a:prstGeom>
                    <a:noFill/>
                    <a:ln>
                      <a:noFill/>
                    </a:ln>
                  </pic:spPr>
                </pic:pic>
              </a:graphicData>
            </a:graphic>
          </wp:inline>
        </w:drawing>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274033B7"/>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4" Type="http://schemas.openxmlformats.org/officeDocument/2006/relationships/fontTable" Target="fontTable.xml"/><Relationship Id="rId73" Type="http://schemas.openxmlformats.org/officeDocument/2006/relationships/customXml" Target="../customXml/item1.xml"/><Relationship Id="rId72" Type="http://schemas.openxmlformats.org/officeDocument/2006/relationships/numbering" Target="numbering.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22310</Words>
  <Characters>23192</Characters>
  <Lines>0</Lines>
  <Paragraphs>0</Paragraphs>
  <TotalTime>8</TotalTime>
  <ScaleCrop>false</ScaleCrop>
  <LinksUpToDate>false</LinksUpToDate>
  <CharactersWithSpaces>23422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2026-06-10T05:44:43Z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