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pPr>
      <w:r>
        <w:rPr>
          <w:rFonts w:ascii="微软雅黑" w:hAnsi="微软雅黑" w:eastAsia="微软雅黑"/>
          <w:b/>
          <w:color w:val="254061"/>
          <w:sz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rPr>
          <w:rFonts w:ascii="微软雅黑" w:hAnsi="微软雅黑" w:eastAsia="微软雅黑"/>
          <w:b w:val="0"/>
          <w:sz w:val="20"/>
        </w:rPr>
        <w:t>商户创建或维护后台账号时，只能选择系统已配置好的角色；不同角色对应不同菜单、按钮和数据范围。若角色权限不满足业务需要，需要联系平台管理员或上级管理方调整。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默认看板</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09A77A3A">
      <w:pPr>
        <w:pStyle w:val="4"/>
        <w:keepNext/>
        <w:spacing w:before="240" w:after="140" w:line="269" w:lineRule="auto"/>
      </w:pPr>
      <w:r>
        <w:rPr>
          <w:rFonts w:ascii="微软雅黑" w:hAnsi="微软雅黑" w:eastAsia="微软雅黑"/>
          <w:b/>
          <w:color w:val="1F4E79"/>
          <w:sz w:val="30"/>
        </w:rPr>
        <w:t>模块定位</w:t>
      </w:r>
    </w:p>
    <w:p w14:paraId="34C890A4">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A2E6C01">
      <w:pPr>
        <w:pStyle w:val="4"/>
        <w:keepNext/>
        <w:spacing w:before="240" w:after="140" w:line="269" w:lineRule="auto"/>
      </w:pPr>
      <w:r>
        <w:rPr>
          <w:rFonts w:ascii="微软雅黑" w:hAnsi="微软雅黑" w:eastAsia="微软雅黑"/>
          <w:b/>
          <w:color w:val="1F4E79"/>
          <w:sz w:val="30"/>
        </w:rPr>
        <w:t>页面说明</w:t>
      </w:r>
    </w:p>
    <w:p w14:paraId="6F34775A">
      <w:pPr>
        <w:pStyle w:val="5"/>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6"/>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6"/>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6"/>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6"/>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rPr>
          <w:rFonts w:ascii="微软雅黑" w:hAnsi="微软雅黑" w:eastAsia="微软雅黑"/>
          <w:b w:val="0"/>
          <w:sz w:val="20"/>
        </w:rPr>
        <w:t>组件说明按模板管理中常见组件逐项整理。后续补充截图时，可在对应组件下继续追加字段截图、弹窗说明或配置示例。</w:t>
      </w:r>
    </w:p>
    <w:p w14:paraId="52A0F926">
      <w:pPr>
        <w:pStyle w:val="6"/>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6"/>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6"/>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6"/>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6"/>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6"/>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6"/>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6"/>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可选择热门、老虎机、真人、棋牌、体育、捕鱼等分类；卡片可按图片、名称、厂商等不同信息组合展示。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6"/>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6"/>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5"/>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6"/>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6"/>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6"/>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6391275" cy="1407160"/>
            <wp:effectExtent l="0" t="0" r="9525" b="254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2"/>
                    <a:stretch>
                      <a:fillRect/>
                    </a:stretch>
                  </pic:blipFill>
                  <pic:spPr>
                    <a:xfrm>
                      <a:off x="0" y="0"/>
                      <a:ext cx="6391275" cy="1407160"/>
                    </a:xfrm>
                    <a:prstGeom prst="rect">
                      <a:avLst/>
                    </a:prstGeom>
                    <a:noFill/>
                    <a:ln>
                      <a:noFill/>
                    </a:ln>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1A7C1846">
      <w:pPr>
        <w:pStyle w:val="16"/>
        <w:numPr>
          <w:ilvl w:val="0"/>
          <w:numId w:val="0"/>
        </w:numPr>
        <w:spacing w:after="40" w:line="276" w:lineRule="auto"/>
        <w:ind w:leftChars="0"/>
      </w:pPr>
    </w:p>
    <w:p w14:paraId="28C20023">
      <w:pPr>
        <w:pStyle w:val="6"/>
        <w:spacing w:after="80"/>
      </w:pPr>
      <w:r>
        <w:rPr>
          <w:rFonts w:ascii="微软雅黑" w:hAnsi="微软雅黑" w:eastAsia="微软雅黑"/>
          <w:b/>
          <w:color w:val="2F5597"/>
          <w:sz w:val="21"/>
        </w:rPr>
        <w:t>PWA配置</w:t>
      </w:r>
    </w:p>
    <w:p w14:paraId="12BEAE06">
      <w:pPr>
        <w:spacing w:after="40"/>
        <w:jc w:val="center"/>
      </w:pPr>
      <w:r>
        <w:drawing>
          <wp:inline distT="0" distB="0" distL="114300" distR="114300">
            <wp:extent cx="5897880" cy="1806575"/>
            <wp:effectExtent l="0" t="0" r="7620"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13"/>
                    <a:stretch>
                      <a:fillRect/>
                    </a:stretch>
                  </pic:blipFill>
                  <pic:spPr>
                    <a:xfrm>
                      <a:off x="0" y="0"/>
                      <a:ext cx="5897880" cy="1806758"/>
                    </a:xfrm>
                    <a:prstGeom prst="rect">
                      <a:avLst/>
                    </a:prstGeom>
                  </pic:spPr>
                </pic:pic>
              </a:graphicData>
            </a:graphic>
          </wp:inline>
        </w:drawing>
      </w:r>
    </w:p>
    <w:p w14:paraId="47811C09">
      <w:pPr>
        <w:pStyle w:val="15"/>
        <w:spacing w:after="120"/>
        <w:jc w:val="center"/>
      </w:pPr>
      <w:r>
        <w:rPr>
          <w:rFonts w:ascii="微软雅黑" w:hAnsi="微软雅黑" w:eastAsia="微软雅黑"/>
          <w:b w:val="0"/>
          <w:color w:val="707E92"/>
          <w:sz w:val="18"/>
        </w:rPr>
        <w:t>图8：PWA 配置页面，用于维护应用名称、显示模式、屏幕方向和桌面图标。</w:t>
      </w:r>
    </w:p>
    <w:p w14:paraId="161EB00C">
      <w:pPr>
        <w:pStyle w:val="16"/>
        <w:spacing w:after="60" w:line="276" w:lineRule="auto"/>
      </w:pPr>
      <w:r>
        <w:rPr>
          <w:rFonts w:ascii="微软雅黑" w:hAnsi="微软雅黑" w:eastAsia="微软雅黑"/>
          <w:b/>
          <w:color w:val="2F5597"/>
          <w:sz w:val="20"/>
        </w:rPr>
        <w:t>应用名称</w:t>
      </w:r>
      <w:r>
        <w:rPr>
          <w:rFonts w:ascii="微软雅黑" w:hAnsi="微软雅黑" w:eastAsia="微软雅黑"/>
          <w:b w:val="0"/>
          <w:sz w:val="20"/>
        </w:rPr>
        <w:t>：用于配置应用在安装页或浏览器提示中的名称，建议与站点品牌名保持一致，避免玩家安装后无法识别。</w:t>
      </w:r>
    </w:p>
    <w:p w14:paraId="2105E95E">
      <w:pPr>
        <w:pStyle w:val="16"/>
        <w:spacing w:after="60" w:line="276" w:lineRule="auto"/>
      </w:pPr>
      <w:r>
        <w:rPr>
          <w:rFonts w:ascii="微软雅黑" w:hAnsi="微软雅黑" w:eastAsia="微软雅黑"/>
          <w:b/>
          <w:color w:val="2F5597"/>
          <w:sz w:val="20"/>
        </w:rPr>
        <w:t>桌面显示名称</w:t>
      </w:r>
      <w:r>
        <w:rPr>
          <w:rFonts w:ascii="微软雅黑" w:hAnsi="微软雅黑" w:eastAsia="微软雅黑"/>
          <w:b w:val="0"/>
          <w:sz w:val="20"/>
        </w:rPr>
        <w:t>：用于控制用户添加到桌面后的图标名称，应保持简短清晰，避免在移动端桌面被截断。</w:t>
      </w:r>
    </w:p>
    <w:p w14:paraId="2078FBFB">
      <w:pPr>
        <w:pStyle w:val="16"/>
        <w:spacing w:after="60" w:line="276" w:lineRule="auto"/>
      </w:pPr>
      <w:r>
        <w:rPr>
          <w:rFonts w:ascii="微软雅黑" w:hAnsi="微软雅黑" w:eastAsia="微软雅黑"/>
          <w:b/>
          <w:color w:val="2F5597"/>
          <w:sz w:val="20"/>
        </w:rPr>
        <w:t>应用描述</w:t>
      </w:r>
      <w:r>
        <w:rPr>
          <w:rFonts w:ascii="微软雅黑" w:hAnsi="微软雅黑" w:eastAsia="微软雅黑"/>
          <w:b w:val="0"/>
          <w:sz w:val="20"/>
        </w:rPr>
        <w:t>：用于补充应用用途或品牌说明，建议与站点定位、推广文案保持一致。</w:t>
      </w:r>
    </w:p>
    <w:p w14:paraId="47280859">
      <w:pPr>
        <w:pStyle w:val="16"/>
        <w:spacing w:after="60" w:line="276" w:lineRule="auto"/>
      </w:pPr>
      <w:r>
        <w:rPr>
          <w:rFonts w:ascii="微软雅黑" w:hAnsi="微软雅黑" w:eastAsia="微软雅黑"/>
          <w:b/>
          <w:color w:val="2F5597"/>
          <w:sz w:val="20"/>
        </w:rPr>
        <w:t>显示模式</w:t>
      </w:r>
      <w:r>
        <w:rPr>
          <w:rFonts w:ascii="微软雅黑" w:hAnsi="微软雅黑" w:eastAsia="微软雅黑"/>
          <w:b w:val="0"/>
          <w:sz w:val="20"/>
        </w:rPr>
        <w:t>：当前页面支持配置显示模式，例如 minimal-ui，用于控制 PWA 打开后的浏览器 UI 保留方式。调整时应结合移动端实际打开效果检查导航栏和返回行为。</w:t>
      </w:r>
    </w:p>
    <w:p w14:paraId="126E90AA">
      <w:pPr>
        <w:pStyle w:val="16"/>
        <w:spacing w:after="60" w:line="276" w:lineRule="auto"/>
      </w:pPr>
      <w:r>
        <w:rPr>
          <w:rFonts w:ascii="微软雅黑" w:hAnsi="微软雅黑" w:eastAsia="微软雅黑"/>
          <w:b/>
          <w:color w:val="2F5597"/>
          <w:sz w:val="20"/>
        </w:rPr>
        <w:t>屏幕方向</w:t>
      </w:r>
      <w:r>
        <w:rPr>
          <w:rFonts w:ascii="微软雅黑" w:hAnsi="微软雅黑" w:eastAsia="微软雅黑"/>
          <w:b w:val="0"/>
          <w:sz w:val="20"/>
        </w:rPr>
        <w:t>：用于限制应用安装后的展示方向，例如 portrait 竖屏。保存前需确认与前台主要页面的适配方向一致。</w:t>
      </w:r>
    </w:p>
    <w:p w14:paraId="18F93C35">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：通过启用状态控制当前 PWA 配置是否生效。关闭后应同步评估是否影响桌面快捷入口和安装引导。</w:t>
      </w:r>
    </w:p>
    <w:p w14:paraId="386C9BA6">
      <w:pPr>
        <w:pStyle w:val="16"/>
        <w:spacing w:after="60" w:line="276" w:lineRule="auto"/>
      </w:pPr>
      <w:r>
        <w:rPr>
          <w:rFonts w:ascii="微软雅黑" w:hAnsi="微软雅黑" w:eastAsia="微软雅黑"/>
          <w:b/>
          <w:color w:val="2F5597"/>
          <w:sz w:val="20"/>
        </w:rPr>
        <w:t>应用图标</w:t>
      </w:r>
      <w:r>
        <w:rPr>
          <w:rFonts w:ascii="微软雅黑" w:hAnsi="微软雅黑" w:eastAsia="微软雅黑"/>
          <w:b w:val="0"/>
          <w:sz w:val="20"/>
        </w:rPr>
        <w:t>：页面底部需要上传桌面图标和 512×512 启动图。上传时要按页面提示控制尺寸、格式和文件大小，避免安装时图标模糊或启动页拉伸。</w:t>
      </w:r>
    </w:p>
    <w:p w14:paraId="0D3D1BF2">
      <w:pPr>
        <w:pStyle w:val="16"/>
        <w:spacing w:after="60" w:line="276" w:lineRule="auto"/>
      </w:pPr>
      <w:r>
        <w:rPr>
          <w:rFonts w:ascii="微软雅黑" w:hAnsi="微软雅黑" w:eastAsia="微软雅黑"/>
          <w:b/>
          <w:color w:val="2F5597"/>
          <w:sz w:val="20"/>
        </w:rPr>
        <w:t>操作方式</w:t>
      </w:r>
      <w:r>
        <w:rPr>
          <w:rFonts w:ascii="微软雅黑" w:hAnsi="微软雅黑" w:eastAsia="微软雅黑"/>
          <w:b w:val="0"/>
          <w:sz w:val="20"/>
        </w:rPr>
        <w:t>：点击右上角编辑进入编辑态，更新字段或图片后保存；上线前建议实际安装一次，确认名称、图标、启动图和打开体验都符合预期。</w:t>
      </w:r>
    </w:p>
    <w:p w14:paraId="70A219B5">
      <w:pPr>
        <w:pStyle w:val="6"/>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6395720" cy="2598420"/>
            <wp:effectExtent l="0" t="0" r="5080" b="1143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4"/>
                    <a:stretch>
                      <a:fillRect/>
                    </a:stretch>
                  </pic:blipFill>
                  <pic:spPr>
                    <a:xfrm>
                      <a:off x="0" y="0"/>
                      <a:ext cx="6395720" cy="2598420"/>
                    </a:xfrm>
                    <a:prstGeom prst="rect">
                      <a:avLst/>
                    </a:prstGeom>
                    <a:noFill/>
                    <a:ln>
                      <a:noFill/>
                    </a:ln>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6"/>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6388100" cy="1395730"/>
            <wp:effectExtent l="0" t="0" r="12700" b="1397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15"/>
                    <a:stretch>
                      <a:fillRect/>
                    </a:stretch>
                  </pic:blipFill>
                  <pic:spPr>
                    <a:xfrm>
                      <a:off x="0" y="0"/>
                      <a:ext cx="6388100" cy="1395730"/>
                    </a:xfrm>
                    <a:prstGeom prst="rect">
                      <a:avLst/>
                    </a:prstGeom>
                    <a:noFill/>
                    <a:ln>
                      <a:noFill/>
                    </a:ln>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通过新编辑维护入口列表；保存前检查路由、图标和排序。</w:t>
      </w:r>
    </w:p>
    <w:p w14:paraId="0EA33020">
      <w:pPr>
        <w:pStyle w:val="6"/>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6398260" cy="1381760"/>
            <wp:effectExtent l="0" t="0" r="2540" b="8890"/>
            <wp:docPr id="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pic:cNvPicPr>
                      <a:picLocks noChangeAspect="1"/>
                    </pic:cNvPicPr>
                  </pic:nvPicPr>
                  <pic:blipFill>
                    <a:blip r:embed="rId16"/>
                    <a:stretch>
                      <a:fillRect/>
                    </a:stretch>
                  </pic:blipFill>
                  <pic:spPr>
                    <a:xfrm>
                      <a:off x="0" y="0"/>
                      <a:ext cx="6398260" cy="1381760"/>
                    </a:xfrm>
                    <a:prstGeom prst="rect">
                      <a:avLst/>
                    </a:prstGeom>
                    <a:noFill/>
                    <a:ln>
                      <a:noFill/>
                    </a:ln>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5"/>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6"/>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6"/>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6"/>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6"/>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6"/>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5"/>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6"/>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6"/>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3"/>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5"/>
        <w:keepNext/>
        <w:spacing w:before="180" w:after="100" w:line="259" w:lineRule="auto"/>
      </w:pPr>
      <w:r>
        <w:rPr>
          <w:rFonts w:ascii="微软雅黑" w:hAnsi="微软雅黑" w:eastAsia="微软雅黑"/>
          <w:b/>
          <w:color w:val="2F5597"/>
          <w:sz w:val="25"/>
        </w:rPr>
        <w:t>站点域名</w:t>
      </w:r>
    </w:p>
    <w:p w14:paraId="53159632">
      <w:r>
        <w:rPr>
          <w:rFonts w:ascii="微软雅黑" w:hAnsi="微软雅黑" w:eastAsia="微软雅黑"/>
          <w:b w:val="0"/>
          <w:sz w:val="20"/>
        </w:rPr>
        <w:t>站点域名用于维护不同业务入口的域名配置，页面通过顶部页签区分前台域名管理、后台域名管理和推广域名。操作时先根据蓝色选中态识别当前页面，再执行查询、新增、绑定站点、修改落地页模板、启用、停用或删除等操作。</w:t>
      </w:r>
    </w:p>
    <w:p w14:paraId="7E7CCF56">
      <w:pPr>
        <w:pStyle w:val="6"/>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选中状态</w:t>
      </w:r>
      <w:r>
        <w:rPr>
          <w:rFonts w:ascii="微软雅黑" w:hAnsi="微软雅黑" w:eastAsia="微软雅黑"/>
          <w:b w:val="0"/>
          <w:sz w:val="20"/>
        </w:rPr>
        <w:t>：顶部“前台域名管理”为蓝色文字并显示下划线时，代表当前列表展示前台域名数据。</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6"/>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选中状态</w:t>
      </w:r>
      <w:r>
        <w:rPr>
          <w:rFonts w:ascii="微软雅黑" w:hAnsi="微软雅黑" w:eastAsia="微软雅黑"/>
          <w:b w:val="0"/>
          <w:sz w:val="20"/>
        </w:rPr>
        <w:t>：顶部“后台域名管理”为蓝色文字并显示下划线时，代表当前列表展示后台域名数据。</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：停用会影响后台访问入口，应先确认替代后台域名可用；删除前需确认无账号、公告、白名单或运维文档仍指向该域名。</w:t>
      </w:r>
    </w:p>
    <w:p w14:paraId="08BD8EB3">
      <w:pPr>
        <w:pStyle w:val="6"/>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选中状态</w:t>
      </w:r>
      <w:r>
        <w:rPr>
          <w:rFonts w:ascii="微软雅黑" w:hAnsi="微软雅黑" w:eastAsia="微软雅黑"/>
          <w:b w:val="0"/>
          <w:sz w:val="20"/>
        </w:rPr>
        <w:t>：顶部“推广域名”为蓝色文字并显示下划线时，代表当前列表展示推广域名数据。</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6"/>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6"/>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5"/>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6"/>
      </w:pPr>
      <w:r>
        <w:rPr>
          <w:rFonts w:ascii="微软雅黑" w:hAnsi="微软雅黑" w:eastAsia="微软雅黑"/>
          <w:b/>
          <w:color w:val="2F5597"/>
          <w:sz w:val="22"/>
        </w:rPr>
        <w:t>在线客服</w:t>
      </w:r>
    </w:p>
    <w:p w14:paraId="4F993BD3">
      <w:pPr>
        <w:jc w:val="center"/>
      </w:pPr>
      <w:r>
        <w:drawing>
          <wp:inline distT="0" distB="0" distL="114300" distR="114300">
            <wp:extent cx="6395720" cy="3333115"/>
            <wp:effectExtent l="0" t="0" r="5080" b="635"/>
            <wp:docPr id="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pic:cNvPicPr>
                      <a:picLocks noChangeAspect="1"/>
                    </pic:cNvPicPr>
                  </pic:nvPicPr>
                  <pic:blipFill>
                    <a:blip r:embed="rId28"/>
                    <a:stretch>
                      <a:fillRect/>
                    </a:stretch>
                  </pic:blipFill>
                  <pic:spPr>
                    <a:xfrm>
                      <a:off x="0" y="0"/>
                      <a:ext cx="6395720" cy="3333115"/>
                    </a:xfrm>
                    <a:prstGeom prst="rect">
                      <a:avLst/>
                    </a:prstGeom>
                    <a:noFill/>
                    <a:ln>
                      <a:noFill/>
                    </a:ln>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：配置用户侧看到的客服入口标题，示例为“测试”。标题应简短明确，通常用于说明客服入口名称或服务类型。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：配置用户侧客服入口的说明文案，示例为“测试说明”。可说明服务范围、在线时间或联系前需要准备的信息。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6"/>
      </w:pPr>
      <w:r>
        <w:rPr>
          <w:rFonts w:ascii="微软雅黑" w:hAnsi="微软雅黑" w:eastAsia="微软雅黑"/>
          <w:b/>
          <w:color w:val="2F5597"/>
          <w:sz w:val="22"/>
        </w:rPr>
        <w:t>其他客服</w:t>
      </w:r>
    </w:p>
    <w:p w14:paraId="62D723DD">
      <w:pPr>
        <w:jc w:val="center"/>
      </w:pPr>
      <w:r>
        <w:drawing>
          <wp:inline distT="0" distB="0" distL="114300" distR="114300">
            <wp:extent cx="6393180" cy="3228340"/>
            <wp:effectExtent l="0" t="0" r="7620" b="10160"/>
            <wp:docPr id="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7"/>
                    <pic:cNvPicPr>
                      <a:picLocks noChangeAspect="1"/>
                    </pic:cNvPicPr>
                  </pic:nvPicPr>
                  <pic:blipFill>
                    <a:blip r:embed="rId29"/>
                    <a:stretch>
                      <a:fillRect/>
                    </a:stretch>
                  </pic:blipFill>
                  <pic:spPr>
                    <a:xfrm>
                      <a:off x="0" y="0"/>
                      <a:ext cx="6393180" cy="3228340"/>
                    </a:xfrm>
                    <a:prstGeom prst="rect">
                      <a:avLst/>
                    </a:prstGeom>
                    <a:noFill/>
                    <a:ln>
                      <a:noFill/>
                    </a:ln>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：显示客服渠道类型，当前原型包含 Telegram、WhatsApp、Facebook、Line。不同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6"/>
      </w:pPr>
      <w:r>
        <w:rPr>
          <w:rFonts w:ascii="微软雅黑" w:hAnsi="微软雅黑" w:eastAsia="微软雅黑"/>
          <w:b/>
          <w:color w:val="2F5597"/>
          <w:sz w:val="22"/>
        </w:rPr>
        <w:t>新增或编辑其他客服</w:t>
      </w:r>
    </w:p>
    <w:p w14:paraId="78DB4F5A">
      <w:pPr>
        <w:jc w:val="center"/>
      </w:pPr>
      <w:r>
        <w:drawing>
          <wp:inline distT="0" distB="0" distL="114300" distR="114300">
            <wp:extent cx="6400800" cy="6045835"/>
            <wp:effectExtent l="0" t="0" r="0" b="12065"/>
            <wp:docPr id="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
                    <pic:cNvPicPr>
                      <a:picLocks noChangeAspect="1"/>
                    </pic:cNvPicPr>
                  </pic:nvPicPr>
                  <pic:blipFill>
                    <a:blip r:embed="rId30"/>
                    <a:stretch>
                      <a:fillRect/>
                    </a:stretch>
                  </pic:blipFill>
                  <pic:spPr>
                    <a:xfrm>
                      <a:off x="0" y="0"/>
                      <a:ext cx="6400800" cy="6045835"/>
                    </a:xfrm>
                    <a:prstGeom prst="rect">
                      <a:avLst/>
                    </a:prstGeom>
                    <a:noFill/>
                    <a:ln>
                      <a:noFill/>
                    </a:ln>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5"/>
        <w:keepNext/>
        <w:spacing w:before="180" w:after="100" w:line="259" w:lineRule="auto"/>
      </w:pPr>
      <w:r>
        <w:rPr>
          <w:rFonts w:ascii="微软雅黑" w:hAnsi="微软雅黑" w:eastAsia="微软雅黑"/>
          <w:b/>
          <w:color w:val="2F5597"/>
          <w:sz w:val="25"/>
        </w:rPr>
        <w:t>分享配置</w:t>
      </w:r>
    </w:p>
    <w:p w14:paraId="39D862D5">
      <w:pPr>
        <w:pStyle w:val="16"/>
        <w:spacing w:after="60" w:line="276" w:lineRule="auto"/>
      </w:pPr>
      <w:r>
        <w:rPr>
          <w:rFonts w:ascii="微软雅黑" w:hAnsi="微软雅黑" w:eastAsia="微软雅黑"/>
          <w:b/>
          <w:color w:val="2F5597"/>
          <w:sz w:val="20"/>
        </w:rPr>
        <w:t>分享配置</w:t>
      </w:r>
      <w:r>
        <w:rPr>
          <w:rFonts w:ascii="微软雅黑" w:hAnsi="微软雅黑" w:eastAsia="微软雅黑"/>
          <w:b w:val="0"/>
          <w:sz w:val="20"/>
        </w:rPr>
        <w:t>：用于维护分享标题、描述、图片和渠道参数。</w:t>
      </w:r>
    </w:p>
    <w:p w14:paraId="1E20F9F4">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：编辑分享文案、配置分享图片，并设置渠道或落地页参数。</w:t>
      </w:r>
    </w:p>
    <w:p w14:paraId="5B0E71D8">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：发布前确认分享配置与活动、品牌和投放页面保持一致。</w:t>
      </w:r>
    </w:p>
    <w:p w14:paraId="7506ED41">
      <w:pPr>
        <w:pStyle w:val="5"/>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等登录或验证服务。页面以配置卡片展示每个服务的启用状态、配置状态和关键参数，运营或技术人员可在上线前逐项核对。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1"/>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后台绑定，保存后需用测试账号验证发送链路和号码归属是否正常。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等敏感字段时，保存前应由技术或运维人员复核来源，避免粘贴测试环境参数。</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5"/>
        <w:keepNext/>
        <w:spacing w:before="180" w:after="100" w:line="259" w:lineRule="auto"/>
      </w:pPr>
      <w:r>
        <w:rPr>
          <w:rFonts w:ascii="微软雅黑" w:hAnsi="微软雅黑" w:eastAsia="微软雅黑"/>
          <w:b/>
          <w:color w:val="2F5597"/>
          <w:sz w:val="25"/>
        </w:rPr>
        <w:t>支付通道配置</w:t>
      </w:r>
    </w:p>
    <w:p w14:paraId="5F91BA65">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14:paraId="14F187F6">
      <w:pPr>
        <w:jc w:val="center"/>
      </w:pPr>
      <w:r>
        <w:drawing>
          <wp:inline distT="0" distB="0" distL="114300" distR="114300">
            <wp:extent cx="5806440" cy="1687830"/>
            <wp:effectExtent l="0" t="0" r="381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32"/>
                    <a:stretch>
                      <a:fillRect/>
                    </a:stretch>
                  </pic:blipFill>
                  <pic:spPr>
                    <a:xfrm>
                      <a:off x="0" y="0"/>
                      <a:ext cx="5806440" cy="1688000"/>
                    </a:xfrm>
                    <a:prstGeom prst="rect">
                      <a:avLst/>
                    </a:prstGeom>
                  </pic:spPr>
                </pic:pic>
              </a:graphicData>
            </a:graphic>
          </wp:inline>
        </w:drawing>
      </w:r>
    </w:p>
    <w:p w14:paraId="25715291">
      <w:pPr>
        <w:jc w:val="center"/>
      </w:pPr>
      <w:r>
        <w:rPr>
          <w:rFonts w:ascii="微软雅黑" w:hAnsi="微软雅黑" w:eastAsia="微软雅黑"/>
          <w:b w:val="0"/>
          <w:color w:val="707E92"/>
          <w:sz w:val="18"/>
        </w:rPr>
        <w:t>图：支付通道配置列表。</w:t>
      </w:r>
    </w:p>
    <w:p w14:paraId="76D74203">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14:paraId="59270232">
      <w:pPr>
        <w:jc w:val="center"/>
      </w:pPr>
      <w:r>
        <w:drawing>
          <wp:inline distT="0" distB="0" distL="114300" distR="114300">
            <wp:extent cx="5806440" cy="6962140"/>
            <wp:effectExtent l="0" t="0" r="3810" b="1016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33"/>
                    <a:stretch>
                      <a:fillRect/>
                    </a:stretch>
                  </pic:blipFill>
                  <pic:spPr>
                    <a:xfrm>
                      <a:off x="0" y="0"/>
                      <a:ext cx="5806440" cy="6962225"/>
                    </a:xfrm>
                    <a:prstGeom prst="rect">
                      <a:avLst/>
                    </a:prstGeom>
                  </pic:spPr>
                </pic:pic>
              </a:graphicData>
            </a:graphic>
          </wp:inline>
        </w:drawing>
      </w:r>
    </w:p>
    <w:p w14:paraId="037C3945">
      <w:pPr>
        <w:jc w:val="center"/>
      </w:pPr>
      <w:r>
        <w:rPr>
          <w:rFonts w:ascii="微软雅黑" w:hAnsi="微软雅黑" w:eastAsia="微软雅黑"/>
          <w:b w:val="0"/>
          <w:color w:val="707E92"/>
          <w:sz w:val="18"/>
        </w:rPr>
        <w:t>图：新增在线支付平台参数配置。</w:t>
      </w:r>
    </w:p>
    <w:p w14:paraId="2287D100">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14:paraId="6AC04DFB">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14:paraId="52973279">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14:paraId="47425312">
      <w:pPr>
        <w:pStyle w:val="16"/>
      </w:pPr>
      <w:r>
        <w:rPr>
          <w:rFonts w:ascii="微软雅黑" w:hAnsi="微软雅黑" w:eastAsia="微软雅黑"/>
          <w:b/>
          <w:color w:val="2F5597"/>
          <w:sz w:val="20"/>
        </w:rPr>
        <w:t>修改与删除：</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14:paraId="00885AB3">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5"/>
        <w:keepNext/>
        <w:spacing w:before="180" w:after="100" w:line="259" w:lineRule="auto"/>
      </w:pPr>
      <w:r>
        <w:rPr>
          <w:rFonts w:ascii="微软雅黑" w:hAnsi="微软雅黑" w:eastAsia="微软雅黑"/>
          <w:b/>
          <w:color w:val="2F5597"/>
          <w:sz w:val="25"/>
        </w:rPr>
        <w:t>广告埋点配置</w:t>
      </w:r>
    </w:p>
    <w:p w14:paraId="5D4D94E6">
      <w:pPr>
        <w:pStyle w:val="6"/>
      </w:pPr>
      <w:r>
        <w:rPr>
          <w:rFonts w:ascii="微软雅黑" w:hAnsi="微软雅黑" w:eastAsia="微软雅黑"/>
          <w:b/>
          <w:color w:val="1F4E79"/>
          <w:sz w:val="21"/>
        </w:rPr>
        <w:t>页面说明</w:t>
      </w:r>
    </w:p>
    <w:p w14:paraId="3A3A28B9">
      <w:pPr>
        <w:jc w:val="center"/>
      </w:pPr>
      <w:r>
        <w:drawing>
          <wp:inline distT="0" distB="0" distL="114300" distR="114300">
            <wp:extent cx="5943600" cy="2688590"/>
            <wp:effectExtent l="0" t="0" r="0" b="165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4"/>
                    <a:stretch>
                      <a:fillRect/>
                    </a:stretch>
                  </pic:blipFill>
                  <pic:spPr>
                    <a:xfrm>
                      <a:off x="0" y="0"/>
                      <a:ext cx="5943600" cy="2688771"/>
                    </a:xfrm>
                    <a:prstGeom prst="rect">
                      <a:avLst/>
                    </a:prstGeom>
                  </pic:spPr>
                </pic:pic>
              </a:graphicData>
            </a:graphic>
          </wp:inline>
        </w:drawing>
      </w:r>
    </w:p>
    <w:p w14:paraId="7C28E1FA">
      <w:pPr>
        <w:pStyle w:val="15"/>
        <w:jc w:val="center"/>
      </w:pPr>
      <w:r>
        <w:rPr>
          <w:rFonts w:ascii="微软雅黑" w:hAnsi="微软雅黑" w:eastAsia="微软雅黑"/>
          <w:b w:val="0"/>
          <w:color w:val="7F7F7F"/>
          <w:sz w:val="18"/>
        </w:rPr>
        <w:t>图：广告埋点配置列表，用于维护不同渠道的落地页、跳转地址和事件标识。</w:t>
      </w:r>
    </w:p>
    <w:p w14:paraId="7E5E52B4">
      <w:pPr>
        <w:pStyle w:val="16"/>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6"/>
      </w:pPr>
      <w:r>
        <w:rPr>
          <w:rFonts w:ascii="微软雅黑" w:hAnsi="微软雅黑" w:eastAsia="微软雅黑"/>
          <w:b/>
          <w:color w:val="1F4E79"/>
          <w:sz w:val="21"/>
        </w:rPr>
        <w:t>筛选与列表字段</w:t>
      </w:r>
    </w:p>
    <w:p w14:paraId="1D2B88B1">
      <w:pPr>
        <w:pStyle w:val="16"/>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pPr>
      <w:r>
        <w:rPr>
          <w:rFonts w:ascii="微软雅黑" w:hAnsi="微软雅黑" w:eastAsia="微软雅黑"/>
          <w:b/>
          <w:color w:val="1F4E79"/>
          <w:sz w:val="20"/>
        </w:rPr>
        <w:t>渠道ID：</w:t>
      </w:r>
      <w:r>
        <w:rPr>
          <w:rFonts w:ascii="微软雅黑" w:hAnsi="微软雅黑" w:eastAsia="微软雅黑"/>
          <w:b w:val="0"/>
          <w:sz w:val="20"/>
        </w:rPr>
        <w:t>系统生成的配置唯一标识，通常用于技术排查或接口核对。列表中较长内容会省略显示，核对完整值时可进入修改弹窗或结合后台数据记录确认。</w:t>
      </w:r>
    </w:p>
    <w:p w14:paraId="45D3E0CE">
      <w:pPr>
        <w:pStyle w:val="16"/>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Google、Facebook测试、adjust测试等，建议使用便于运营识别的渠道或活动名称。</w:t>
      </w:r>
    </w:p>
    <w:p w14:paraId="5026C73C">
      <w:pPr>
        <w:pStyle w:val="16"/>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pPr>
      <w:r>
        <w:rPr>
          <w:rFonts w:ascii="微软雅黑" w:hAnsi="微软雅黑" w:eastAsia="微软雅黑"/>
          <w:b/>
          <w:color w:val="1F4E79"/>
          <w:sz w:val="20"/>
        </w:rPr>
        <w:t>备注：</w:t>
      </w:r>
      <w:r>
        <w:rPr>
          <w:rFonts w:ascii="微软雅黑" w:hAnsi="微软雅黑" w:eastAsia="微软雅黑"/>
          <w:b w:val="0"/>
          <w:sz w:val="20"/>
        </w:rPr>
        <w:t>记录配置用途、投放批次、测试说明或特殊约定，便于后续排查和交接。</w:t>
      </w:r>
    </w:p>
    <w:p w14:paraId="380678DB">
      <w:pPr>
        <w:pStyle w:val="16"/>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6"/>
      </w:pPr>
      <w:r>
        <w:rPr>
          <w:rFonts w:ascii="微软雅黑" w:hAnsi="微软雅黑" w:eastAsia="微软雅黑"/>
          <w:b/>
          <w:color w:val="1F4E79"/>
          <w:sz w:val="21"/>
        </w:rPr>
        <w:t>新增与编辑配置</w:t>
      </w:r>
    </w:p>
    <w:p w14:paraId="3EFB07AF">
      <w:pPr>
        <w:pStyle w:val="16"/>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6"/>
      </w:pPr>
      <w:r>
        <w:rPr>
          <w:rFonts w:ascii="微软雅黑" w:hAnsi="微软雅黑" w:eastAsia="微软雅黑"/>
          <w:b/>
          <w:color w:val="1F4E79"/>
          <w:sz w:val="21"/>
        </w:rPr>
        <w:t>注意事项</w:t>
      </w:r>
    </w:p>
    <w:p w14:paraId="039197E2">
      <w:pPr>
        <w:pStyle w:val="16"/>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pPr>
      <w:r>
        <w:rPr>
          <w:rFonts w:ascii="微软雅黑" w:hAnsi="微软雅黑" w:eastAsia="微软雅黑"/>
          <w:b w:val="0"/>
          <w:sz w:val="20"/>
        </w:rPr>
        <w:t>涉及像素ID和事件标识的调整应由运营、投放或技术人员共同复核。修改线上渠道前，建议先复制当前值留档，确认新配置验证通过后再用于正式投放。</w:t>
      </w:r>
    </w:p>
    <w:p w14:paraId="4B2E92E8">
      <w:pPr>
        <w:pStyle w:val="16"/>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5"/>
        <w:keepNext/>
        <w:spacing w:before="180" w:after="100" w:line="259" w:lineRule="auto"/>
      </w:pPr>
      <w:r>
        <w:rPr>
          <w:rFonts w:ascii="微软雅黑" w:hAnsi="微软雅黑" w:eastAsia="微软雅黑"/>
          <w:b/>
          <w:color w:val="2F5597"/>
          <w:sz w:val="25"/>
        </w:rPr>
        <w:t>音乐管理</w:t>
      </w:r>
    </w:p>
    <w:p w14:paraId="3EB00200">
      <w:pPr>
        <w:pStyle w:val="6"/>
      </w:pPr>
      <w:r>
        <w:rPr>
          <w:rFonts w:ascii="微软雅黑" w:hAnsi="微软雅黑" w:eastAsia="微软雅黑"/>
          <w:b/>
          <w:color w:val="1F4E79"/>
          <w:sz w:val="21"/>
        </w:rPr>
        <w:t>页面说明</w:t>
      </w:r>
    </w:p>
    <w:p w14:paraId="5F957846">
      <w:pPr>
        <w:jc w:val="center"/>
      </w:pPr>
      <w:r>
        <w:drawing>
          <wp:inline distT="0" distB="0" distL="114300" distR="114300">
            <wp:extent cx="5943600" cy="1033780"/>
            <wp:effectExtent l="0" t="0" r="0" b="139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5"/>
                    <a:stretch>
                      <a:fillRect/>
                    </a:stretch>
                  </pic:blipFill>
                  <pic:spPr>
                    <a:xfrm>
                      <a:off x="0" y="0"/>
                      <a:ext cx="5943600" cy="1034136"/>
                    </a:xfrm>
                    <a:prstGeom prst="rect">
                      <a:avLst/>
                    </a:prstGeom>
                  </pic:spPr>
                </pic:pic>
              </a:graphicData>
            </a:graphic>
          </wp:inline>
        </w:drawing>
      </w:r>
    </w:p>
    <w:p w14:paraId="303E3B98">
      <w:pPr>
        <w:pStyle w:val="15"/>
        <w:jc w:val="center"/>
      </w:pPr>
      <w:r>
        <w:rPr>
          <w:rFonts w:ascii="微软雅黑" w:hAnsi="微软雅黑" w:eastAsia="微软雅黑"/>
          <w:color w:val="7F7F7F"/>
          <w:sz w:val="18"/>
        </w:rPr>
        <w:t>图：音乐管理列表，用于维护音乐开关、曲目状态和列表操作。</w:t>
      </w:r>
    </w:p>
    <w:p w14:paraId="64C55D59">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6"/>
      </w:pPr>
      <w:r>
        <w:rPr>
          <w:rFonts w:ascii="微软雅黑" w:hAnsi="微软雅黑" w:eastAsia="微软雅黑"/>
          <w:b/>
          <w:color w:val="1F4E79"/>
          <w:sz w:val="21"/>
        </w:rPr>
        <w:t>列表字段</w:t>
      </w:r>
    </w:p>
    <w:p w14:paraId="68DAC838">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6"/>
      </w:pPr>
      <w:r>
        <w:rPr>
          <w:rFonts w:ascii="微软雅黑" w:hAnsi="微软雅黑" w:eastAsia="微软雅黑"/>
          <w:b/>
          <w:color w:val="1F4E79"/>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6"/>
                    <a:stretch>
                      <a:fillRect/>
                    </a:stretch>
                  </pic:blipFill>
                  <pic:spPr>
                    <a:xfrm>
                      <a:off x="0" y="0"/>
                      <a:ext cx="4297680" cy="2257286"/>
                    </a:xfrm>
                    <a:prstGeom prst="rect">
                      <a:avLst/>
                    </a:prstGeom>
                  </pic:spPr>
                </pic:pic>
              </a:graphicData>
            </a:graphic>
          </wp:inline>
        </w:drawing>
      </w:r>
    </w:p>
    <w:p w14:paraId="60BC61DD">
      <w:pPr>
        <w:pStyle w:val="15"/>
        <w:jc w:val="center"/>
      </w:pPr>
      <w:r>
        <w:rPr>
          <w:rFonts w:ascii="微软雅黑" w:hAnsi="微软雅黑" w:eastAsia="微软雅黑"/>
          <w:color w:val="7F7F7F"/>
          <w:sz w:val="18"/>
        </w:rPr>
        <w:t>图：新增音乐弹窗，用于填写歌曲名称、排序并上传 MP3 文件。</w:t>
      </w:r>
    </w:p>
    <w:p w14:paraId="23181468">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6"/>
      </w:pPr>
      <w:r>
        <w:rPr>
          <w:rFonts w:ascii="微软雅黑" w:hAnsi="微软雅黑" w:eastAsia="微软雅黑"/>
          <w:b/>
          <w:color w:val="1F4E79"/>
          <w:sz w:val="21"/>
        </w:rPr>
        <w:t>修改、停用与删除</w:t>
      </w:r>
    </w:p>
    <w:p w14:paraId="65148321">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6"/>
      </w:pPr>
      <w:r>
        <w:rPr>
          <w:rFonts w:ascii="微软雅黑" w:hAnsi="微软雅黑" w:eastAsia="微软雅黑"/>
          <w:b/>
          <w:color w:val="1F4E79"/>
          <w:sz w:val="21"/>
        </w:rPr>
        <w:t>注意事项</w:t>
      </w:r>
    </w:p>
    <w:p w14:paraId="375B3F5E">
      <w:pPr>
        <w:pStyle w:val="1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color w:val="17365D"/>
          <w:sz w:val="40"/>
        </w:rPr>
        <w:t>五、运营中心</w:t>
      </w:r>
    </w:p>
    <w:p w14:paraId="243C499A">
      <w:pPr>
        <w:pStyle w:val="4"/>
        <w:keepNext/>
        <w:spacing w:before="240" w:after="140" w:line="269" w:lineRule="auto"/>
      </w:pPr>
      <w:r>
        <w:rPr>
          <w:rFonts w:ascii="微软雅黑" w:hAnsi="微软雅黑" w:eastAsia="微软雅黑"/>
          <w:b/>
          <w:color w:val="1F4E79"/>
          <w:sz w:val="30"/>
        </w:rPr>
        <w:t>模块定位</w:t>
      </w:r>
    </w:p>
    <w:p w14:paraId="37FA3E10">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D4CFE54">
      <w:pPr>
        <w:pStyle w:val="4"/>
        <w:keepNext/>
        <w:spacing w:before="240" w:after="140" w:line="269" w:lineRule="auto"/>
      </w:pPr>
      <w:r>
        <w:rPr>
          <w:rFonts w:ascii="微软雅黑" w:hAnsi="微软雅黑" w:eastAsia="微软雅黑"/>
          <w:b/>
          <w:color w:val="1F4E79"/>
          <w:sz w:val="30"/>
        </w:rPr>
        <w:t>页面说明</w:t>
      </w:r>
    </w:p>
    <w:p w14:paraId="0E329C96">
      <w:pPr>
        <w:pStyle w:val="5"/>
        <w:keepNext/>
        <w:spacing w:before="180" w:after="100" w:line="259" w:lineRule="auto"/>
      </w:pPr>
      <w:r>
        <w:rPr>
          <w:rFonts w:ascii="微软雅黑" w:hAnsi="微软雅黑" w:eastAsia="微软雅黑"/>
          <w:b/>
          <w:color w:val="2F5597"/>
          <w:sz w:val="25"/>
        </w:rPr>
        <w:t>站点维护管理</w:t>
      </w:r>
    </w:p>
    <w:p w14:paraId="21D7AE17">
      <w:pPr>
        <w:pStyle w:val="16"/>
        <w:spacing w:after="60" w:line="276" w:lineRule="auto"/>
      </w:pPr>
      <w:r>
        <w:rPr>
          <w:rFonts w:ascii="微软雅黑" w:hAnsi="微软雅黑" w:eastAsia="微软雅黑"/>
          <w:b/>
          <w:color w:val="2F5597"/>
          <w:sz w:val="20"/>
        </w:rPr>
        <w:t>站点维护管理</w:t>
      </w:r>
      <w:r>
        <w:rPr>
          <w:rFonts w:ascii="微软雅黑" w:hAnsi="微软雅黑" w:eastAsia="微软雅黑"/>
          <w:b w:val="0"/>
          <w:sz w:val="20"/>
        </w:rPr>
        <w:t>：用于设置站点维护状态、维护时间和前台提示内容。</w:t>
      </w:r>
    </w:p>
    <w:p w14:paraId="3143A6EA">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：查看维护配置，新增或编辑维护计划，启用、停用维护状态。</w:t>
      </w:r>
    </w:p>
    <w:p w14:paraId="01548926">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：保存前确认维护时间、影响站点和提示文案，避免误影响正常访问。</w:t>
      </w:r>
    </w:p>
    <w:p w14:paraId="59F87390">
      <w:pPr>
        <w:pStyle w:val="5"/>
        <w:keepNext/>
        <w:spacing w:before="180" w:after="100" w:line="259" w:lineRule="auto"/>
      </w:pPr>
      <w:r>
        <w:rPr>
          <w:rFonts w:ascii="微软雅黑" w:hAnsi="微软雅黑" w:eastAsia="微软雅黑"/>
          <w:b/>
          <w:color w:val="2F5597"/>
          <w:sz w:val="25"/>
        </w:rPr>
        <w:t>平台公告</w:t>
      </w:r>
    </w:p>
    <w:p w14:paraId="514AFA0E">
      <w:pPr>
        <w:spacing w:after="60" w:line="276" w:lineRule="auto"/>
      </w:pPr>
      <w:r>
        <w:rPr>
          <w:rFonts w:ascii="微软雅黑" w:hAnsi="微软雅黑" w:eastAsia="微软雅黑"/>
          <w:b w:val="0"/>
          <w:sz w:val="20"/>
        </w:rPr>
        <w:t>平台公告用于查看平台发布的公告、通知和站内消息。</w:t>
      </w:r>
    </w:p>
    <w:p w14:paraId="77E5AB4C">
      <w:pPr>
        <w:spacing w:after="40"/>
        <w:jc w:val="center"/>
      </w:pPr>
      <w:r>
        <w:drawing>
          <wp:inline distT="0" distB="0" distL="114300" distR="114300">
            <wp:extent cx="5943600" cy="22288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37"/>
                    <a:stretch>
                      <a:fillRect/>
                    </a:stretch>
                  </pic:blipFill>
                  <pic:spPr>
                    <a:xfrm>
                      <a:off x="0" y="0"/>
                      <a:ext cx="5943600" cy="2228850"/>
                    </a:xfrm>
                    <a:prstGeom prst="rect">
                      <a:avLst/>
                    </a:prstGeom>
                  </pic:spPr>
                </pic:pic>
              </a:graphicData>
            </a:graphic>
          </wp:inline>
        </w:drawing>
      </w:r>
    </w:p>
    <w:p w14:paraId="7D493B5F">
      <w:pPr>
        <w:pStyle w:val="15"/>
        <w:spacing w:after="120"/>
        <w:jc w:val="center"/>
      </w:pPr>
      <w:r>
        <w:rPr>
          <w:rFonts w:ascii="微软雅黑" w:hAnsi="微软雅黑" w:eastAsia="微软雅黑"/>
          <w:b w:val="0"/>
          <w:color w:val="707E92"/>
          <w:sz w:val="18"/>
        </w:rPr>
        <w:t>图：平台公告列表，用于查看公告通知和站内消息。</w:t>
      </w:r>
    </w:p>
    <w:p w14:paraId="23DC6EC0">
      <w:pPr>
        <w:pStyle w:val="16"/>
        <w:spacing w:after="60" w:line="276" w:lineRule="auto"/>
      </w:pPr>
      <w:r>
        <w:rPr>
          <w:rFonts w:ascii="微软雅黑" w:hAnsi="微软雅黑" w:eastAsia="微软雅黑"/>
          <w:b/>
          <w:color w:val="2F5597"/>
          <w:sz w:val="20"/>
        </w:rPr>
        <w:t>类型</w:t>
      </w:r>
      <w:r>
        <w:rPr>
          <w:rFonts w:ascii="微软雅黑" w:hAnsi="微软雅黑" w:eastAsia="微软雅黑"/>
          <w:b w:val="0"/>
          <w:sz w:val="20"/>
        </w:rPr>
        <w:t>：按平台公告、通知、短信、风控预警、站内信等类型筛选。</w:t>
      </w:r>
    </w:p>
    <w:p w14:paraId="05203557">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：输入标题关键字查询消息。</w:t>
      </w:r>
    </w:p>
    <w:p w14:paraId="13E1AECF">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：按未读、已读筛选消息。</w:t>
      </w:r>
    </w:p>
    <w:p w14:paraId="2CB9424A">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234FA8CA">
      <w:pPr>
        <w:pStyle w:val="16"/>
        <w:spacing w:after="60" w:line="276" w:lineRule="auto"/>
      </w:pPr>
      <w:r>
        <w:rPr>
          <w:rFonts w:ascii="微软雅黑" w:hAnsi="微软雅黑" w:eastAsia="微软雅黑"/>
          <w:b/>
          <w:color w:val="2F5597"/>
          <w:sz w:val="20"/>
        </w:rPr>
        <w:t>全部已读</w:t>
      </w:r>
      <w:r>
        <w:rPr>
          <w:rFonts w:ascii="微软雅黑" w:hAnsi="微软雅黑" w:eastAsia="微软雅黑"/>
          <w:b w:val="0"/>
          <w:sz w:val="20"/>
        </w:rPr>
        <w:t>：将当前未读消息批量标记为已读。</w:t>
      </w:r>
    </w:p>
    <w:p w14:paraId="1F09315C">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：展示类型、标题、时间、状态和操作入口。</w:t>
      </w:r>
    </w:p>
    <w:p w14:paraId="1CE936E8">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：打开消息详情，查看完整标题和内容。</w:t>
      </w:r>
    </w:p>
    <w:p w14:paraId="74C9FC42">
      <w:pPr>
        <w:pStyle w:val="5"/>
        <w:keepNext/>
        <w:spacing w:before="180" w:after="100" w:line="259" w:lineRule="auto"/>
      </w:pPr>
      <w:r>
        <w:rPr>
          <w:rFonts w:ascii="微软雅黑" w:hAnsi="微软雅黑" w:eastAsia="微软雅黑"/>
          <w:b/>
          <w:color w:val="2F5597"/>
          <w:sz w:val="25"/>
        </w:rPr>
        <w:t>给平台提建议</w:t>
      </w:r>
    </w:p>
    <w:p w14:paraId="0A805B79">
      <w:pPr>
        <w:spacing w:after="60" w:line="276" w:lineRule="auto"/>
      </w:pPr>
      <w:r>
        <w:rPr>
          <w:rFonts w:ascii="微软雅黑" w:hAnsi="微软雅黑" w:eastAsia="微软雅黑"/>
          <w:b w:val="0"/>
          <w:sz w:val="20"/>
        </w:rPr>
        <w:t>给平台提建议页面用于提交产品、运营或系统使用过程中的优化建议，并在列表中跟踪建议的处理状态、回复内容和附件记录。</w:t>
      </w:r>
    </w:p>
    <w:p w14:paraId="3F783A31">
      <w:pPr>
        <w:spacing w:after="40"/>
        <w:jc w:val="center"/>
      </w:pPr>
      <w:r>
        <w:drawing>
          <wp:inline distT="0" distB="0" distL="114300" distR="114300">
            <wp:extent cx="5897880" cy="1449705"/>
            <wp:effectExtent l="0" t="0" r="7620" b="171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38"/>
                    <a:stretch>
                      <a:fillRect/>
                    </a:stretch>
                  </pic:blipFill>
                  <pic:spPr>
                    <a:xfrm>
                      <a:off x="0" y="0"/>
                      <a:ext cx="5897880" cy="1450180"/>
                    </a:xfrm>
                    <a:prstGeom prst="rect">
                      <a:avLst/>
                    </a:prstGeom>
                  </pic:spPr>
                </pic:pic>
              </a:graphicData>
            </a:graphic>
          </wp:inline>
        </w:drawing>
      </w:r>
    </w:p>
    <w:p w14:paraId="00A843EF">
      <w:pPr>
        <w:pStyle w:val="15"/>
        <w:spacing w:after="120"/>
        <w:jc w:val="center"/>
      </w:pPr>
      <w:r>
        <w:rPr>
          <w:rFonts w:ascii="微软雅黑" w:hAnsi="微软雅黑" w:eastAsia="微软雅黑"/>
          <w:b w:val="0"/>
          <w:color w:val="707E92"/>
          <w:sz w:val="18"/>
        </w:rPr>
        <w:t>图：给平台提建议页面，用于按状态筛选建议记录并查看平台处理结果。</w:t>
      </w:r>
    </w:p>
    <w:p w14:paraId="1959A29A">
      <w:pPr>
        <w:pStyle w:val="16"/>
        <w:spacing w:after="60" w:line="276" w:lineRule="auto"/>
      </w:pPr>
      <w:r>
        <w:rPr>
          <w:rFonts w:ascii="微软雅黑" w:hAnsi="微软雅黑" w:eastAsia="微软雅黑"/>
          <w:b/>
          <w:color w:val="2F5597"/>
          <w:sz w:val="20"/>
        </w:rPr>
        <w:t>时间范围</w:t>
      </w:r>
      <w:r>
        <w:rPr>
          <w:rFonts w:ascii="微软雅黑" w:hAnsi="微软雅黑" w:eastAsia="微软雅黑"/>
          <w:b w:val="0"/>
          <w:sz w:val="20"/>
        </w:rPr>
        <w:t>：可按开始时间和结束时间筛选建议提交记录，适合按活动期、版本发布时间或问题反馈时间段追踪处理情况。</w:t>
      </w:r>
    </w:p>
    <w:p w14:paraId="585C5984">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：支持按全部、已采纳、待处理、已忽略筛选建议，便于优先跟进还未处理或已确认采纳的内容。</w:t>
      </w:r>
    </w:p>
    <w:p w14:paraId="540FF8AE">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：搜索按当前筛选条件刷新列表；重置用于清空条件并恢复查看全部建议记录。</w:t>
      </w:r>
    </w:p>
    <w:p w14:paraId="3932476C">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：点击新增后填写反馈内容，并可上传图片或视频附件，提交后系统会将建议写入列表等待平台处理。</w:t>
      </w:r>
    </w:p>
    <w:p w14:paraId="1B3DEC3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：列表展示建议 ID、状态、提交时间、反馈内容、附件、回复内容、操作人和操作时间，方便核对建议进度与处理结果。</w:t>
      </w:r>
    </w:p>
    <w:p w14:paraId="00B0E320">
      <w:pPr>
        <w:pStyle w:val="16"/>
        <w:spacing w:after="60" w:line="276" w:lineRule="auto"/>
      </w:pPr>
      <w:r>
        <w:rPr>
          <w:rFonts w:ascii="微软雅黑" w:hAnsi="微软雅黑" w:eastAsia="微软雅黑"/>
          <w:b/>
          <w:color w:val="2F5597"/>
          <w:sz w:val="20"/>
        </w:rPr>
        <w:t>状态说明</w:t>
      </w:r>
      <w:r>
        <w:rPr>
          <w:rFonts w:ascii="微软雅黑" w:hAnsi="微软雅黑" w:eastAsia="微软雅黑"/>
          <w:b w:val="0"/>
          <w:sz w:val="20"/>
        </w:rPr>
        <w:t>：已采纳表示平台已确认采纳建议；待处理表示建议已提交但还未完成反馈；已忽略表示平台暂不采用该建议。</w:t>
      </w:r>
    </w:p>
    <w:p w14:paraId="7B808297">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：点击列表中的查看可打开详情窗口，查看完整反馈内容、附件预览和平台回复内容。</w:t>
      </w:r>
    </w:p>
    <w:p w14:paraId="5E42A4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：提交建议时应尽量写清问题场景、复现步骤、期望效果和影响范围；如涉及页面异常，建议同时上传截图或录屏附件，便于平台快速定位。</w:t>
      </w:r>
    </w:p>
    <w:p w14:paraId="239E6456">
      <w:pPr>
        <w:pStyle w:val="5"/>
        <w:keepNext/>
        <w:spacing w:before="180" w:after="100" w:line="259" w:lineRule="auto"/>
      </w:pPr>
      <w:r>
        <w:rPr>
          <w:rFonts w:ascii="微软雅黑" w:hAnsi="微软雅黑" w:eastAsia="微软雅黑"/>
          <w:b/>
          <w:color w:val="2F5597"/>
          <w:sz w:val="25"/>
        </w:rPr>
        <w:t>会员投诉列表</w:t>
      </w:r>
    </w:p>
    <w:p w14:paraId="3EB33421">
      <w:pPr>
        <w:spacing w:after="60" w:line="276" w:lineRule="auto"/>
      </w:pPr>
      <w:r>
        <w:rPr>
          <w:rFonts w:ascii="微软雅黑" w:hAnsi="微软雅黑" w:eastAsia="微软雅黑"/>
          <w:b w:val="0"/>
          <w:sz w:val="20"/>
        </w:rPr>
        <w:t>会员投诉列表用于集中查看玩家提交的投诉记录，并按会员、投诉时间和处理状态跟进投诉进度，完成回复、采纳或忽略等处理动作。</w:t>
      </w:r>
    </w:p>
    <w:p w14:paraId="720773C9">
      <w:pPr>
        <w:spacing w:after="40"/>
        <w:jc w:val="center"/>
      </w:pPr>
      <w:r>
        <w:drawing>
          <wp:inline distT="0" distB="0" distL="114300" distR="114300">
            <wp:extent cx="5897880" cy="1709420"/>
            <wp:effectExtent l="0" t="0" r="762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39"/>
                    <a:stretch>
                      <a:fillRect/>
                    </a:stretch>
                  </pic:blipFill>
                  <pic:spPr>
                    <a:xfrm>
                      <a:off x="0" y="0"/>
                      <a:ext cx="5897880" cy="1709844"/>
                    </a:xfrm>
                    <a:prstGeom prst="rect">
                      <a:avLst/>
                    </a:prstGeom>
                  </pic:spPr>
                </pic:pic>
              </a:graphicData>
            </a:graphic>
          </wp:inline>
        </w:drawing>
      </w:r>
    </w:p>
    <w:p w14:paraId="56992AC8">
      <w:pPr>
        <w:pStyle w:val="15"/>
        <w:spacing w:after="120"/>
        <w:jc w:val="center"/>
      </w:pPr>
      <w:r>
        <w:rPr>
          <w:rFonts w:ascii="微软雅黑" w:hAnsi="微软雅黑" w:eastAsia="微软雅黑"/>
          <w:b w:val="0"/>
          <w:color w:val="707E92"/>
          <w:sz w:val="18"/>
        </w:rPr>
        <w:t>图：会员投诉列表页面，用于筛选投诉记录并执行处理或查看操作。</w:t>
      </w:r>
    </w:p>
    <w:p w14:paraId="5E84D66C">
      <w:pPr>
        <w:pStyle w:val="16"/>
        <w:spacing w:after="60" w:line="276" w:lineRule="auto"/>
      </w:pPr>
      <w:r>
        <w:rPr>
          <w:rFonts w:ascii="微软雅黑" w:hAnsi="微软雅黑" w:eastAsia="微软雅黑"/>
          <w:b/>
          <w:color w:val="2F5597"/>
          <w:sz w:val="20"/>
        </w:rPr>
        <w:t>会员ID</w:t>
      </w:r>
      <w:r>
        <w:rPr>
          <w:rFonts w:ascii="微软雅黑" w:hAnsi="微软雅黑" w:eastAsia="微软雅黑"/>
          <w:b w:val="0"/>
          <w:sz w:val="20"/>
        </w:rPr>
        <w:t>：支持按会员ID精确筛选投诉记录，适合在接到会员反馈后快速定位对应账号的投诉历史。</w:t>
      </w:r>
    </w:p>
    <w:p w14:paraId="7AECF6BA">
      <w:pPr>
        <w:pStyle w:val="16"/>
        <w:spacing w:after="60" w:line="276" w:lineRule="auto"/>
      </w:pPr>
      <w:r>
        <w:rPr>
          <w:rFonts w:ascii="微软雅黑" w:hAnsi="微软雅黑" w:eastAsia="微软雅黑"/>
          <w:b/>
          <w:color w:val="2F5597"/>
          <w:sz w:val="20"/>
        </w:rPr>
        <w:t>投诉时间</w:t>
      </w:r>
      <w:r>
        <w:rPr>
          <w:rFonts w:ascii="微软雅黑" w:hAnsi="微软雅黑" w:eastAsia="微软雅黑"/>
          <w:b w:val="0"/>
          <w:sz w:val="20"/>
        </w:rPr>
        <w:t>：可按开始时间和结束时间筛选投诉提交区间，用于核对某个活动周期、账变时段或客服处理时段内的投诉情况。</w:t>
      </w:r>
    </w:p>
    <w:p w14:paraId="1D2B6C0B">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：支持按全部、待处理、已采纳筛选列表；处理中的记录可优先跟进，已采纳记录可结合回复内容复核处理结果。</w:t>
      </w:r>
    </w:p>
    <w:p w14:paraId="7DF98EDD">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：搜索按当前筛选条件刷新列表，重置用于清空条件并恢复查看全部投诉记录。</w:t>
      </w:r>
    </w:p>
    <w:p w14:paraId="06B3B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：列表展示投诉账号、投诉账号ID、状态、投诉时间、投诉类型、投诉内容、附件、回复内容、操作人和操作时间，便于同时核对投诉来源、处理结论和责任人。</w:t>
      </w:r>
    </w:p>
    <w:p w14:paraId="4D779296">
      <w:pPr>
        <w:pStyle w:val="16"/>
        <w:spacing w:after="60" w:line="276" w:lineRule="auto"/>
      </w:pPr>
      <w:r>
        <w:rPr>
          <w:rFonts w:ascii="微软雅黑" w:hAnsi="微软雅黑" w:eastAsia="微软雅黑"/>
          <w:b/>
          <w:color w:val="2F5597"/>
          <w:sz w:val="20"/>
        </w:rPr>
        <w:t>附件与回复</w:t>
      </w:r>
      <w:r>
        <w:rPr>
          <w:rFonts w:ascii="微软雅黑" w:hAnsi="微软雅黑" w:eastAsia="微软雅黑"/>
          <w:b w:val="0"/>
          <w:sz w:val="20"/>
        </w:rPr>
        <w:t>：有附件的投诉可直接查看附件入口；已处理记录会在回复内容中展示处理意见，方便复查客服答复是否完整。</w:t>
      </w:r>
    </w:p>
    <w:p w14:paraId="650DBA16">
      <w:pPr>
        <w:pStyle w:val="16"/>
        <w:spacing w:after="60" w:line="276" w:lineRule="auto"/>
      </w:pPr>
      <w:r>
        <w:rPr>
          <w:rFonts w:ascii="微软雅黑" w:hAnsi="微软雅黑" w:eastAsia="微软雅黑"/>
          <w:b/>
          <w:color w:val="2F5597"/>
          <w:sz w:val="20"/>
        </w:rPr>
        <w:t>处理</w:t>
      </w:r>
      <w:r>
        <w:rPr>
          <w:rFonts w:ascii="微软雅黑" w:hAnsi="微软雅黑" w:eastAsia="微软雅黑"/>
          <w:b w:val="0"/>
          <w:sz w:val="20"/>
        </w:rPr>
        <w:t>：点击待处理记录右侧的处理可打开处理投诉窗口，查看原始反馈内容和附件，并填写回复内容后执行采纳或忽略。</w:t>
      </w:r>
    </w:p>
    <w:p w14:paraId="31D20E2B">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：已处理记录可通过查看进入详情窗口，重点核对回复内容、处理人和操作时间，确认处理过程留痕完整。</w:t>
      </w:r>
    </w:p>
    <w:p w14:paraId="2BC6AB3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：处理投诉前建议先核对会员账号、投诉类型以及关联订单、充值、活动或游戏记录；回复内容应写清处理结论和依据，避免后续重复投诉。</w:t>
      </w:r>
    </w:p>
    <w:p w14:paraId="03EC7769">
      <w:pPr>
        <w:pStyle w:val="5"/>
        <w:keepNext/>
        <w:spacing w:before="180" w:after="100" w:line="259" w:lineRule="auto"/>
      </w:pPr>
      <w:r>
        <w:rPr>
          <w:rFonts w:ascii="微软雅黑" w:hAnsi="微软雅黑" w:eastAsia="微软雅黑"/>
          <w:b/>
          <w:color w:val="2F5597"/>
          <w:sz w:val="25"/>
        </w:rPr>
        <w:t>消息推送</w:t>
      </w:r>
    </w:p>
    <w:p w14:paraId="20DB1609">
      <w:pPr>
        <w:spacing w:after="60" w:line="276" w:lineRule="auto"/>
      </w:pPr>
      <w:r>
        <w:rPr>
          <w:rFonts w:ascii="微软雅黑" w:hAnsi="微软雅黑" w:eastAsia="微软雅黑"/>
          <w:b w:val="0"/>
          <w:sz w:val="20"/>
        </w:rPr>
        <w:t>消息推送用于创建和管理面向玩家展示的消息、公告和跑马灯。</w:t>
      </w:r>
    </w:p>
    <w:p w14:paraId="244B4B76">
      <w:pPr>
        <w:spacing w:after="40"/>
        <w:jc w:val="center"/>
      </w:pPr>
      <w:r>
        <w:drawing>
          <wp:inline distT="0" distB="0" distL="114300" distR="114300">
            <wp:extent cx="6394450" cy="1868805"/>
            <wp:effectExtent l="0" t="0" r="6350" b="17145"/>
            <wp:docPr id="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1"/>
                    <pic:cNvPicPr>
                      <a:picLocks noChangeAspect="1"/>
                    </pic:cNvPicPr>
                  </pic:nvPicPr>
                  <pic:blipFill>
                    <a:blip r:embed="rId40"/>
                    <a:stretch>
                      <a:fillRect/>
                    </a:stretch>
                  </pic:blipFill>
                  <pic:spPr>
                    <a:xfrm>
                      <a:off x="0" y="0"/>
                      <a:ext cx="6394450" cy="1868805"/>
                    </a:xfrm>
                    <a:prstGeom prst="rect">
                      <a:avLst/>
                    </a:prstGeom>
                    <a:noFill/>
                    <a:ln>
                      <a:noFill/>
                    </a:ln>
                  </pic:spPr>
                </pic:pic>
              </a:graphicData>
            </a:graphic>
          </wp:inline>
        </w:drawing>
      </w:r>
    </w:p>
    <w:p w14:paraId="3ECBBDCF">
      <w:pPr>
        <w:pStyle w:val="15"/>
        <w:spacing w:after="120"/>
        <w:jc w:val="center"/>
      </w:pPr>
      <w:r>
        <w:rPr>
          <w:rFonts w:ascii="微软雅黑" w:hAnsi="微软雅黑" w:eastAsia="微软雅黑"/>
          <w:b w:val="0"/>
          <w:color w:val="707E92"/>
          <w:sz w:val="18"/>
        </w:rPr>
        <w:t>图：消息推送列表，用于管理消息、公告和跑马灯。</w:t>
      </w:r>
    </w:p>
    <w:p w14:paraId="0DA454A1">
      <w:pPr>
        <w:pStyle w:val="16"/>
        <w:spacing w:after="60" w:line="276" w:lineRule="auto"/>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14:paraId="654C5E3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14:paraId="1A21B7E0">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14:paraId="4F0B431F">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6806694F">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14:paraId="0E033B73">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14:paraId="61D049CF">
      <w:pPr>
        <w:pStyle w:val="16"/>
        <w:spacing w:after="60" w:line="276" w:lineRule="auto"/>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14:paraId="10D6189A">
      <w:pPr>
        <w:pStyle w:val="16"/>
        <w:spacing w:after="60" w:line="276" w:lineRule="auto"/>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5"/>
        <w:keepNext/>
        <w:spacing w:before="180" w:after="100" w:line="259" w:lineRule="auto"/>
      </w:pPr>
      <w:r>
        <w:rPr>
          <w:rFonts w:ascii="微软雅黑" w:hAnsi="微软雅黑" w:eastAsia="微软雅黑"/>
          <w:b/>
          <w:color w:val="2F5597"/>
          <w:sz w:val="21"/>
        </w:rPr>
        <w:t>宣传管理</w:t>
      </w:r>
    </w:p>
    <w:p w14:paraId="2929A4B0">
      <w:pPr>
        <w:spacing w:after="60" w:line="276" w:lineRule="auto"/>
      </w:pPr>
      <w:r>
        <w:rPr>
          <w:rFonts w:ascii="微软雅黑" w:hAnsi="微软雅黑" w:eastAsia="微软雅黑"/>
          <w:b w:val="0"/>
          <w:sz w:val="20"/>
        </w:rPr>
        <w:t>宣传管理用于维护站点大厅 Banner 等宣传素材的展示顺序、展示图片和跳转内容，是运营统一配置首页宣传位的入口。新增、修改或删除宣传内容后，会直接影响前台宣传位展示，提交前应复核图片规格、跳转目标、活动有效期和排序结果。</w:t>
      </w:r>
    </w:p>
    <w:p w14:paraId="2520898F">
      <w:pPr>
        <w:spacing w:after="20"/>
        <w:jc w:val="center"/>
      </w:pPr>
      <w:r>
        <w:drawing>
          <wp:inline distT="0" distB="0" distL="114300" distR="114300">
            <wp:extent cx="6400165" cy="1767205"/>
            <wp:effectExtent l="0" t="0" r="635" b="4445"/>
            <wp:docPr id="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2"/>
                    <pic:cNvPicPr>
                      <a:picLocks noChangeAspect="1"/>
                    </pic:cNvPicPr>
                  </pic:nvPicPr>
                  <pic:blipFill>
                    <a:blip r:embed="rId41"/>
                    <a:stretch>
                      <a:fillRect/>
                    </a:stretch>
                  </pic:blipFill>
                  <pic:spPr>
                    <a:xfrm>
                      <a:off x="0" y="0"/>
                      <a:ext cx="6400165" cy="1767205"/>
                    </a:xfrm>
                    <a:prstGeom prst="rect">
                      <a:avLst/>
                    </a:prstGeom>
                    <a:noFill/>
                    <a:ln>
                      <a:noFill/>
                    </a:ln>
                  </pic:spPr>
                </pic:pic>
              </a:graphicData>
            </a:graphic>
          </wp:inline>
        </w:drawing>
      </w:r>
    </w:p>
    <w:p w14:paraId="72B9D513">
      <w:pPr>
        <w:pStyle w:val="15"/>
        <w:spacing w:after="120"/>
        <w:jc w:val="center"/>
      </w:pPr>
      <w:r>
        <w:rPr>
          <w:rFonts w:ascii="微软雅黑" w:hAnsi="微软雅黑" w:eastAsia="微软雅黑"/>
          <w:b w:val="0"/>
          <w:color w:val="707E92"/>
          <w:sz w:val="18"/>
        </w:rPr>
        <w:t>图：宣传管理列表页面，用于查看宣传记录、筛选条件和行内操作。</w:t>
      </w:r>
    </w:p>
    <w:p w14:paraId="5952B333">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：页面顶部提供宣传类型筛选、搜索、重置和新增入口，适合先按宣传类型定位目标宣传位，再执行维护操作。</w:t>
      </w:r>
    </w:p>
    <w:p w14:paraId="091F0F59">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：选择宣传类型后点击“搜索”刷新列表；点击“重置”可清空筛选条件并恢复全部记录。</w:t>
      </w:r>
    </w:p>
    <w:p w14:paraId="1907050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：列表展示排序、类型、宣传图、路径链接、创建时间和操作等信息，便于快速确认当前展示内容。</w:t>
      </w:r>
    </w:p>
    <w:p w14:paraId="1FEC9A36">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：排序值通常用于控制前台展示顺序，数值越小越靠前；调整排序后应结合前台展示位再次核对实际顺序。</w:t>
      </w:r>
    </w:p>
    <w:p w14:paraId="2F5F0070">
      <w:pPr>
        <w:pStyle w:val="16"/>
        <w:spacing w:after="60" w:line="276" w:lineRule="auto"/>
      </w:pPr>
      <w:r>
        <w:rPr>
          <w:rFonts w:ascii="微软雅黑" w:hAnsi="微软雅黑" w:eastAsia="微软雅黑"/>
          <w:b/>
          <w:color w:val="2F5597"/>
          <w:sz w:val="20"/>
        </w:rPr>
        <w:t>路径链接</w:t>
      </w:r>
      <w:r>
        <w:rPr>
          <w:rFonts w:ascii="微软雅黑" w:hAnsi="微软雅黑" w:eastAsia="微软雅黑"/>
          <w:b w:val="0"/>
          <w:sz w:val="20"/>
        </w:rPr>
        <w:t>：列表中的路径链接用于显示当前宣传图对应的跳转目标，常见内容包括无、外部链接、活动、返水、代理和 VIP 等。</w:t>
      </w:r>
    </w:p>
    <w:p w14:paraId="703AE5F8">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：点击“修改”可进入编辑弹窗，调整宣传类型、宣传图片、跳转类型、活动或外部链接以及排序。</w:t>
      </w:r>
    </w:p>
    <w:p w14:paraId="03C1FEA2">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：点击“删除”可移除当前宣传记录。删除前应确认该宣传位已下线或已有替代素材，避免前台出现空白宣传位。</w:t>
      </w:r>
    </w:p>
    <w:p w14:paraId="77823D27">
      <w:pPr>
        <w:spacing w:after="20"/>
        <w:jc w:val="center"/>
      </w:pPr>
      <w:r>
        <w:drawing>
          <wp:inline distT="0" distB="0" distL="114300" distR="114300">
            <wp:extent cx="3665855" cy="3138170"/>
            <wp:effectExtent l="0" t="0" r="10795" b="5080"/>
            <wp:docPr id="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3"/>
                    <pic:cNvPicPr>
                      <a:picLocks noChangeAspect="1"/>
                    </pic:cNvPicPr>
                  </pic:nvPicPr>
                  <pic:blipFill>
                    <a:blip r:embed="rId42"/>
                    <a:stretch>
                      <a:fillRect/>
                    </a:stretch>
                  </pic:blipFill>
                  <pic:spPr>
                    <a:xfrm>
                      <a:off x="0" y="0"/>
                      <a:ext cx="3665855" cy="3138170"/>
                    </a:xfrm>
                    <a:prstGeom prst="rect">
                      <a:avLst/>
                    </a:prstGeom>
                    <a:noFill/>
                    <a:ln>
                      <a:noFill/>
                    </a:ln>
                  </pic:spPr>
                </pic:pic>
              </a:graphicData>
            </a:graphic>
          </wp:inline>
        </w:drawing>
      </w:r>
    </w:p>
    <w:p w14:paraId="19AF48F8">
      <w:pPr>
        <w:pStyle w:val="15"/>
        <w:spacing w:after="120"/>
        <w:jc w:val="center"/>
      </w:pPr>
      <w:r>
        <w:rPr>
          <w:rFonts w:ascii="微软雅黑" w:hAnsi="微软雅黑" w:eastAsia="微软雅黑"/>
          <w:b w:val="0"/>
          <w:color w:val="707E92"/>
          <w:sz w:val="18"/>
        </w:rPr>
        <w:t>图：宣传管理新增弹窗，用于配置宣传类型、上传宣传图片和设置跳转内容。</w:t>
      </w:r>
    </w:p>
    <w:p w14:paraId="07828E32">
      <w:pPr>
        <w:pStyle w:val="16"/>
        <w:spacing w:after="60" w:line="276" w:lineRule="auto"/>
      </w:pPr>
      <w:r>
        <w:rPr>
          <w:rFonts w:ascii="微软雅黑" w:hAnsi="微软雅黑" w:eastAsia="微软雅黑"/>
          <w:b/>
          <w:color w:val="2F5597"/>
          <w:sz w:val="20"/>
        </w:rPr>
        <w:t>宣传类型</w:t>
      </w:r>
      <w:r>
        <w:rPr>
          <w:rFonts w:ascii="微软雅黑" w:hAnsi="微软雅黑" w:eastAsia="微软雅黑"/>
          <w:b w:val="0"/>
          <w:sz w:val="20"/>
        </w:rPr>
        <w:t>：新增时应先选择宣传类型。不同宣传类型对应的图片尺寸要求可能不同，先选类型再上传图片可减少返工。</w:t>
      </w:r>
    </w:p>
    <w:p w14:paraId="6946A951">
      <w:pPr>
        <w:pStyle w:val="16"/>
        <w:spacing w:after="60" w:line="276" w:lineRule="auto"/>
      </w:pPr>
      <w:r>
        <w:rPr>
          <w:rFonts w:ascii="微软雅黑" w:hAnsi="微软雅黑" w:eastAsia="微软雅黑"/>
          <w:b/>
          <w:color w:val="2F5597"/>
          <w:sz w:val="20"/>
        </w:rPr>
        <w:t>宣传图片</w:t>
      </w:r>
      <w:r>
        <w:rPr>
          <w:rFonts w:ascii="微软雅黑" w:hAnsi="微软雅黑" w:eastAsia="微软雅黑"/>
          <w:b w:val="0"/>
          <w:sz w:val="20"/>
        </w:rPr>
        <w:t>：宣传图片为核心展示素材，上传前应检查清晰度、比例和文案是否正确，避免出现裁切、拉伸或旧活动图未替换的情况。</w:t>
      </w:r>
    </w:p>
    <w:p w14:paraId="1EFD824A">
      <w:pPr>
        <w:pStyle w:val="16"/>
        <w:spacing w:after="60" w:line="276" w:lineRule="auto"/>
      </w:pPr>
      <w:r>
        <w:rPr>
          <w:rFonts w:ascii="微软雅黑" w:hAnsi="微软雅黑" w:eastAsia="微软雅黑"/>
          <w:b/>
          <w:color w:val="2F5597"/>
          <w:sz w:val="20"/>
        </w:rPr>
        <w:t>跳转类型</w:t>
      </w:r>
      <w:r>
        <w:rPr>
          <w:rFonts w:ascii="微软雅黑" w:hAnsi="微软雅黑" w:eastAsia="微软雅黑"/>
          <w:b w:val="0"/>
          <w:sz w:val="20"/>
        </w:rPr>
        <w:t>：跳转类型支持无、外部链接、活动、返水、代理和 VIP 等配置，应按实际落地页面选择对应类型。</w:t>
      </w:r>
    </w:p>
    <w:p w14:paraId="7045328F">
      <w:pPr>
        <w:pStyle w:val="16"/>
        <w:spacing w:after="60" w:line="276" w:lineRule="auto"/>
      </w:pPr>
      <w:r>
        <w:rPr>
          <w:rFonts w:ascii="微软雅黑" w:hAnsi="微软雅黑" w:eastAsia="微软雅黑"/>
          <w:b/>
          <w:color w:val="2F5597"/>
          <w:sz w:val="20"/>
        </w:rPr>
        <w:t>活动选择</w:t>
      </w:r>
      <w:r>
        <w:rPr>
          <w:rFonts w:ascii="微软雅黑" w:hAnsi="微软雅黑" w:eastAsia="微软雅黑"/>
          <w:b w:val="0"/>
          <w:sz w:val="20"/>
        </w:rPr>
        <w:t>：当跳转类型选择活动时，应从活动列表中选择对应活动，并确认活动状态、名称和有效期无误。</w:t>
      </w:r>
    </w:p>
    <w:p w14:paraId="631D001D">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：当跳转类型选择外部链接时，应填写完整可访问地址，并检查是否能够正常打开目标页面。</w:t>
      </w:r>
    </w:p>
    <w:p w14:paraId="7E93B8D2">
      <w:pPr>
        <w:pStyle w:val="16"/>
        <w:spacing w:after="60" w:line="276" w:lineRule="auto"/>
      </w:pPr>
      <w:r>
        <w:rPr>
          <w:rFonts w:ascii="微软雅黑" w:hAnsi="微软雅黑" w:eastAsia="微软雅黑"/>
          <w:b/>
          <w:color w:val="2F5597"/>
          <w:sz w:val="20"/>
        </w:rPr>
        <w:t>排序设置</w:t>
      </w:r>
      <w:r>
        <w:rPr>
          <w:rFonts w:ascii="微软雅黑" w:hAnsi="微软雅黑" w:eastAsia="微软雅黑"/>
          <w:b w:val="0"/>
          <w:sz w:val="20"/>
        </w:rPr>
        <w:t>：弹窗中的排序字段用于维护当前宣传位的展示先后顺序，保存前应与同类宣传位统一核对。</w:t>
      </w:r>
    </w:p>
    <w:p w14:paraId="3B56503A">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：点击“确定”后保存本次新增或修改；点击“取消”或关闭弹窗会放弃当前未保存内容。</w:t>
      </w:r>
    </w:p>
    <w:p w14:paraId="10FAAC27">
      <w:pPr>
        <w:pStyle w:val="16"/>
        <w:spacing w:after="60" w:line="276" w:lineRule="auto"/>
      </w:pPr>
      <w:r>
        <w:rPr>
          <w:rFonts w:ascii="微软雅黑" w:hAnsi="微软雅黑" w:eastAsia="微软雅黑"/>
          <w:b/>
          <w:color w:val="2F5597"/>
          <w:sz w:val="20"/>
        </w:rPr>
        <w:t>发布检查</w:t>
      </w:r>
      <w:r>
        <w:rPr>
          <w:rFonts w:ascii="微软雅黑" w:hAnsi="微软雅黑" w:eastAsia="微软雅黑"/>
          <w:b w:val="0"/>
          <w:sz w:val="20"/>
        </w:rPr>
        <w:t>：发布前重点检查宣传图片、跳转目标、活动配置、排序值和前台展示效果，避免出现图片正确但跳转错误的情况。</w:t>
      </w:r>
    </w:p>
    <w:p w14:paraId="4CE1F0D8">
      <w:pPr>
        <w:pStyle w:val="16"/>
        <w:spacing w:after="60" w:line="276" w:lineRule="auto"/>
      </w:pPr>
      <w:r>
        <w:rPr>
          <w:rFonts w:ascii="微软雅黑" w:hAnsi="微软雅黑" w:eastAsia="微软雅黑"/>
          <w:b/>
          <w:color w:val="2F5597"/>
          <w:sz w:val="20"/>
        </w:rPr>
        <w:t>维护提示</w:t>
      </w:r>
      <w:r>
        <w:rPr>
          <w:rFonts w:ascii="微软雅黑" w:hAnsi="微软雅黑" w:eastAsia="微软雅黑"/>
          <w:b w:val="0"/>
          <w:sz w:val="20"/>
        </w:rPr>
        <w:t>：修改已上线宣传素材时，应同步关注相关活动、落地页和公告排期，确保前台宣传内容与实际运营安排一致。</w:t>
      </w:r>
    </w:p>
    <w:p w14:paraId="49D66ED6">
      <w:pPr>
        <w:pStyle w:val="5"/>
        <w:keepNext/>
        <w:spacing w:before="180" w:after="100" w:line="259" w:lineRule="auto"/>
      </w:pPr>
      <w:r>
        <w:rPr>
          <w:rFonts w:ascii="微软雅黑" w:hAnsi="微软雅黑" w:eastAsia="微软雅黑"/>
          <w:b/>
          <w:color w:val="2F5597"/>
          <w:sz w:val="25"/>
        </w:rPr>
        <w:t>客服中心</w:t>
      </w:r>
    </w:p>
    <w:p w14:paraId="59D14112">
      <w:pPr>
        <w:spacing w:after="60" w:line="276" w:lineRule="auto"/>
      </w:pPr>
      <w:r>
        <w:rPr>
          <w:rFonts w:ascii="微软雅黑" w:hAnsi="微软雅黑" w:eastAsia="微软雅黑"/>
          <w:b w:val="0"/>
          <w:sz w:val="20"/>
        </w:rPr>
        <w:t>客服中心用于接待会员咨询、处理在线会话和跟进待回复问题，是客服日常处理用户沟通的主要页面。</w:t>
      </w:r>
    </w:p>
    <w:p w14:paraId="4C518B8C">
      <w:pPr>
        <w:spacing w:after="40"/>
        <w:jc w:val="center"/>
      </w:pPr>
      <w:r>
        <w:drawing>
          <wp:inline distT="0" distB="0" distL="114300" distR="114300">
            <wp:extent cx="5897880" cy="2736850"/>
            <wp:effectExtent l="0" t="0" r="762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3"/>
                    <a:stretch>
                      <a:fillRect/>
                    </a:stretch>
                  </pic:blipFill>
                  <pic:spPr>
                    <a:xfrm>
                      <a:off x="0" y="0"/>
                      <a:ext cx="5897880" cy="2737294"/>
                    </a:xfrm>
                    <a:prstGeom prst="rect">
                      <a:avLst/>
                    </a:prstGeom>
                  </pic:spPr>
                </pic:pic>
              </a:graphicData>
            </a:graphic>
          </wp:inline>
        </w:drawing>
      </w:r>
    </w:p>
    <w:p w14:paraId="32F25902">
      <w:pPr>
        <w:pStyle w:val="15"/>
        <w:spacing w:after="120"/>
        <w:jc w:val="center"/>
      </w:pPr>
      <w:r>
        <w:rPr>
          <w:rFonts w:ascii="微软雅黑" w:hAnsi="微软雅黑" w:eastAsia="微软雅黑"/>
          <w:b w:val="0"/>
          <w:color w:val="707E92"/>
          <w:sz w:val="18"/>
        </w:rPr>
        <w:t>图：客服中心页面，用于查看会话队列、接入会员咨询并发送客服回复。</w:t>
      </w:r>
    </w:p>
    <w:p w14:paraId="1574AD44">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：左侧展示当前会话、排队数量、搜索框和自动接待开关，可先从队列或搜索结果中定位目标会员。</w:t>
      </w:r>
    </w:p>
    <w:p w14:paraId="129C2DF1">
      <w:pPr>
        <w:pStyle w:val="16"/>
        <w:spacing w:after="60" w:line="276" w:lineRule="auto"/>
      </w:pPr>
      <w:r>
        <w:rPr>
          <w:rFonts w:ascii="微软雅黑" w:hAnsi="微软雅黑" w:eastAsia="微软雅黑"/>
          <w:b/>
          <w:color w:val="2F5597"/>
          <w:sz w:val="20"/>
        </w:rPr>
        <w:t>搜索</w:t>
      </w:r>
      <w:r>
        <w:rPr>
          <w:rFonts w:ascii="微软雅黑" w:hAnsi="微软雅黑" w:eastAsia="微软雅黑"/>
          <w:b w:val="0"/>
          <w:sz w:val="20"/>
        </w:rPr>
        <w:t>：支持按会员昵称、ID 或标签快速筛选会话，适合同时处理多位会员时快速切换。</w:t>
      </w:r>
    </w:p>
    <w:p w14:paraId="55AB1330">
      <w:pPr>
        <w:pStyle w:val="16"/>
        <w:spacing w:after="60" w:line="276" w:lineRule="auto"/>
      </w:pPr>
      <w:r>
        <w:rPr>
          <w:rFonts w:ascii="微软雅黑" w:hAnsi="微软雅黑" w:eastAsia="微软雅黑"/>
          <w:b/>
          <w:color w:val="2F5597"/>
          <w:sz w:val="20"/>
        </w:rPr>
        <w:t>自动接待</w:t>
      </w:r>
      <w:r>
        <w:rPr>
          <w:rFonts w:ascii="微软雅黑" w:hAnsi="微软雅黑" w:eastAsia="微软雅黑"/>
          <w:b w:val="0"/>
          <w:sz w:val="20"/>
        </w:rPr>
        <w:t>：用于控制是否自动接入新会话；开启前先确认当前客服处理量，避免接入后回复不及时。</w:t>
      </w:r>
    </w:p>
    <w:p w14:paraId="0EEC6418">
      <w:pPr>
        <w:pStyle w:val="16"/>
        <w:spacing w:after="60" w:line="276" w:lineRule="auto"/>
      </w:pPr>
      <w:r>
        <w:rPr>
          <w:rFonts w:ascii="微软雅黑" w:hAnsi="微软雅黑" w:eastAsia="微软雅黑"/>
          <w:b/>
          <w:color w:val="2F5597"/>
          <w:sz w:val="20"/>
        </w:rPr>
        <w:t>聊天工作区</w:t>
      </w:r>
      <w:r>
        <w:rPr>
          <w:rFonts w:ascii="微软雅黑" w:hAnsi="微软雅黑" w:eastAsia="微软雅黑"/>
          <w:b w:val="0"/>
          <w:sz w:val="20"/>
        </w:rPr>
        <w:t>：右侧显示当前会话的会员信息、聊天记录、标签按钮、语言切换和消息输入区，用于集中完成沟通处理。</w:t>
      </w:r>
    </w:p>
    <w:p w14:paraId="6CACAF86">
      <w:pPr>
        <w:pStyle w:val="16"/>
        <w:spacing w:after="60" w:line="276" w:lineRule="auto"/>
      </w:pPr>
      <w:r>
        <w:rPr>
          <w:rFonts w:ascii="微软雅黑" w:hAnsi="微软雅黑" w:eastAsia="微软雅黑"/>
          <w:b/>
          <w:color w:val="2F5597"/>
          <w:sz w:val="20"/>
        </w:rPr>
        <w:t>发送回复</w:t>
      </w:r>
      <w:r>
        <w:rPr>
          <w:rFonts w:ascii="微软雅黑" w:hAnsi="微软雅黑" w:eastAsia="微软雅黑"/>
          <w:b w:val="0"/>
          <w:sz w:val="20"/>
        </w:rPr>
        <w:t>：确认当前选中的会话后，在底部输入内容并发送；涉及订单、活动、充值提现等问题时，先到对应页面核对再回复结果。</w:t>
      </w:r>
    </w:p>
    <w:p w14:paraId="27A88340">
      <w:pPr>
        <w:pStyle w:val="16"/>
        <w:spacing w:after="60" w:line="276" w:lineRule="auto"/>
      </w:pPr>
      <w:r>
        <w:rPr>
          <w:rFonts w:ascii="微软雅黑" w:hAnsi="微软雅黑" w:eastAsia="微软雅黑"/>
          <w:b/>
          <w:color w:val="2F5597"/>
          <w:sz w:val="20"/>
        </w:rPr>
        <w:t>工具入口</w:t>
      </w:r>
      <w:r>
        <w:rPr>
          <w:rFonts w:ascii="微软雅黑" w:hAnsi="微软雅黑" w:eastAsia="微软雅黑"/>
          <w:b w:val="0"/>
          <w:sz w:val="20"/>
        </w:rPr>
        <w:t>：可结合附件、表情或快捷用语提高回复效率，但发送前仍需按当前问题补充实际处理进度。</w:t>
      </w:r>
    </w:p>
    <w:p w14:paraId="0D120669">
      <w:pPr>
        <w:pStyle w:val="16"/>
        <w:spacing w:after="60" w:line="276" w:lineRule="auto"/>
      </w:pPr>
      <w:r>
        <w:rPr>
          <w:rFonts w:ascii="微软雅黑" w:hAnsi="微软雅黑" w:eastAsia="微软雅黑"/>
          <w:b/>
          <w:color w:val="2F5597"/>
          <w:sz w:val="20"/>
        </w:rPr>
        <w:t>问题跟进</w:t>
      </w:r>
      <w:r>
        <w:rPr>
          <w:rFonts w:ascii="微软雅黑" w:hAnsi="微软雅黑" w:eastAsia="微软雅黑"/>
          <w:b w:val="0"/>
          <w:sz w:val="20"/>
        </w:rPr>
        <w:t>：问题处理完成后可继续在当前会话反馈结果；如涉及风控、财务或人工审核，需说明已转交并保留会话记录便于跟进。</w:t>
      </w:r>
    </w:p>
    <w:p w14:paraId="353F86C3">
      <w:pPr>
        <w:pStyle w:val="5"/>
        <w:keepNext/>
        <w:spacing w:before="180" w:after="100" w:line="259" w:lineRule="auto"/>
      </w:pPr>
      <w:r>
        <w:rPr>
          <w:rFonts w:ascii="微软雅黑" w:hAnsi="微软雅黑" w:eastAsia="微软雅黑"/>
          <w:b/>
          <w:color w:val="2F5597"/>
          <w:sz w:val="25"/>
        </w:rPr>
        <w:t>任务中心</w:t>
      </w:r>
    </w:p>
    <w:p w14:paraId="06F377C7">
      <w:pPr>
        <w:spacing w:after="60" w:line="276" w:lineRule="auto"/>
      </w:pPr>
      <w:r>
        <w:rPr>
          <w:rFonts w:ascii="微软雅黑" w:hAnsi="微软雅黑" w:eastAsia="微软雅黑"/>
          <w:b w:val="0"/>
          <w:sz w:val="20"/>
        </w:rPr>
        <w:t>任务中心用于集中维护新人福利、每日任务、每周任务和活跃度宝箱。运营人员可在不同页签下配置任务门槛、奖励金额、奖励活跃度、任务说明、领取方式和启停状态，并通过规则设置统一维护打码倍数等公共参数。</w:t>
      </w:r>
    </w:p>
    <w:p w14:paraId="1E89DDFF">
      <w:pPr>
        <w:spacing w:after="40"/>
        <w:jc w:val="center"/>
      </w:pPr>
      <w:r>
        <w:drawing>
          <wp:inline distT="0" distB="0" distL="114300" distR="114300">
            <wp:extent cx="5897880" cy="2541905"/>
            <wp:effectExtent l="0" t="0" r="7620" b="1079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44"/>
                    <a:stretch>
                      <a:fillRect/>
                    </a:stretch>
                  </pic:blipFill>
                  <pic:spPr>
                    <a:xfrm>
                      <a:off x="0" y="0"/>
                      <a:ext cx="5897880" cy="2542445"/>
                    </a:xfrm>
                    <a:prstGeom prst="rect">
                      <a:avLst/>
                    </a:prstGeom>
                  </pic:spPr>
                </pic:pic>
              </a:graphicData>
            </a:graphic>
          </wp:inline>
        </w:drawing>
      </w:r>
    </w:p>
    <w:p w14:paraId="4EBA86E8">
      <w:pPr>
        <w:pStyle w:val="15"/>
        <w:spacing w:after="120"/>
        <w:jc w:val="center"/>
      </w:pPr>
      <w:r>
        <w:rPr>
          <w:rFonts w:ascii="微软雅黑" w:hAnsi="微软雅黑" w:eastAsia="微软雅黑"/>
          <w:b w:val="0"/>
          <w:color w:val="707E92"/>
          <w:sz w:val="18"/>
        </w:rPr>
        <w:t>图：任务中心页面的新人福利页签，用于维护新手任务奖励、领取方式和启停状态。</w:t>
      </w:r>
    </w:p>
    <w:p w14:paraId="28A64E2F">
      <w:pPr>
        <w:pStyle w:val="6"/>
        <w:spacing w:after="100"/>
      </w:pPr>
      <w:r>
        <w:rPr>
          <w:rFonts w:ascii="微软雅黑" w:hAnsi="微软雅黑" w:eastAsia="微软雅黑"/>
          <w:b/>
          <w:color w:val="2F5597"/>
          <w:sz w:val="21"/>
        </w:rPr>
        <w:t>新人福利</w:t>
      </w:r>
    </w:p>
    <w:p w14:paraId="37FE7708">
      <w:pPr>
        <w:pStyle w:val="16"/>
        <w:spacing w:after="60" w:line="276" w:lineRule="auto"/>
      </w:pPr>
      <w:r>
        <w:rPr>
          <w:rFonts w:ascii="微软雅黑" w:hAnsi="微软雅黑" w:eastAsia="微软雅黑"/>
          <w:b/>
          <w:color w:val="2F5597"/>
          <w:sz w:val="20"/>
        </w:rPr>
        <w:t>页签用途</w:t>
      </w:r>
      <w:r>
        <w:rPr>
          <w:rFonts w:ascii="微软雅黑" w:hAnsi="微软雅黑" w:eastAsia="微软雅黑"/>
          <w:b w:val="0"/>
          <w:sz w:val="20"/>
        </w:rPr>
        <w:t>：新人福利页签按任务条件展示新手阶段可领取的任务，如注册账号、首笔充值、绑定邮箱、绑定手机号和绑定社交账号等，适合统一维护新玩家成长奖励。</w:t>
      </w:r>
    </w:p>
    <w:p w14:paraId="089C899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：列表通常包含任务条件、图标、奖励金额、奖励活跃度、任务介绍、领取方式、是否开启、提示气泡和操作。领取方式用于区分自动派发和手动领取；启用和提示气泡开关用于控制前台是否展示及是否提示。</w:t>
      </w:r>
    </w:p>
    <w:p w14:paraId="29BA8A30">
      <w:pPr>
        <w:pStyle w:val="16"/>
        <w:spacing w:after="60" w:line="276" w:lineRule="auto"/>
      </w:pPr>
      <w:r>
        <w:rPr>
          <w:rFonts w:ascii="微软雅黑" w:hAnsi="微软雅黑" w:eastAsia="微软雅黑"/>
          <w:b/>
          <w:color w:val="2F5597"/>
          <w:sz w:val="20"/>
        </w:rPr>
        <w:t>修改任务</w:t>
      </w:r>
      <w:r>
        <w:rPr>
          <w:rFonts w:ascii="微软雅黑" w:hAnsi="微软雅黑" w:eastAsia="微软雅黑"/>
          <w:b w:val="0"/>
          <w:sz w:val="20"/>
        </w:rPr>
        <w:t>：在目标任务行点击“修改”后，更新宣传图、奖励金额、奖励活跃度、打码倍数和任务介绍，并按需要调整是否开启和提示气泡。保存前应确认图片规格、奖励数值和介绍文案已与当前活动口径一致。</w:t>
      </w:r>
    </w:p>
    <w:p w14:paraId="0FDF1EC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：奖励金额与奖励活跃度属于直接发放内容，修改后要同步核对预算、站内展示和奖励发放规则；对暂未上线的任务，应先关闭开关，避免玩家提前看到入口。</w:t>
      </w:r>
    </w:p>
    <w:p w14:paraId="4A77A06A">
      <w:pPr>
        <w:pStyle w:val="6"/>
        <w:spacing w:after="100"/>
      </w:pPr>
      <w:r>
        <w:rPr>
          <w:rFonts w:ascii="微软雅黑" w:hAnsi="微软雅黑" w:eastAsia="微软雅黑"/>
          <w:b/>
          <w:color w:val="2F5597"/>
          <w:sz w:val="21"/>
        </w:rPr>
        <w:t>每日任务</w:t>
      </w:r>
    </w:p>
    <w:p w14:paraId="4DAD24B9">
      <w:pPr>
        <w:spacing w:after="40"/>
        <w:jc w:val="center"/>
      </w:pPr>
      <w:r>
        <w:drawing>
          <wp:inline distT="0" distB="0" distL="114300" distR="114300">
            <wp:extent cx="5897880" cy="2620645"/>
            <wp:effectExtent l="0" t="0" r="762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45"/>
                    <a:stretch>
                      <a:fillRect/>
                    </a:stretch>
                  </pic:blipFill>
                  <pic:spPr>
                    <a:xfrm>
                      <a:off x="0" y="0"/>
                      <a:ext cx="5897880" cy="2620870"/>
                    </a:xfrm>
                    <a:prstGeom prst="rect">
                      <a:avLst/>
                    </a:prstGeom>
                  </pic:spPr>
                </pic:pic>
              </a:graphicData>
            </a:graphic>
          </wp:inline>
        </w:drawing>
      </w:r>
    </w:p>
    <w:p w14:paraId="5A47BFFD">
      <w:pPr>
        <w:pStyle w:val="15"/>
        <w:spacing w:after="120"/>
        <w:jc w:val="center"/>
      </w:pPr>
      <w:r>
        <w:rPr>
          <w:rFonts w:ascii="微软雅黑" w:hAnsi="微软雅黑" w:eastAsia="微软雅黑"/>
          <w:b w:val="0"/>
          <w:color w:val="707E92"/>
          <w:sz w:val="18"/>
        </w:rPr>
        <w:t>图：每日任务页签，支持按累计充值、累计打码和单局打码维护阶梯奖励。</w:t>
      </w:r>
    </w:p>
    <w:p w14:paraId="1891A265">
      <w:pPr>
        <w:pStyle w:val="16"/>
        <w:spacing w:after="60" w:line="276" w:lineRule="auto"/>
      </w:pPr>
      <w:r>
        <w:rPr>
          <w:rFonts w:ascii="微软雅黑" w:hAnsi="微软雅黑" w:eastAsia="微软雅黑"/>
          <w:b/>
          <w:color w:val="2F5597"/>
          <w:sz w:val="20"/>
        </w:rPr>
        <w:t>奖励维度</w:t>
      </w:r>
      <w:r>
        <w:rPr>
          <w:rFonts w:ascii="微软雅黑" w:hAnsi="微软雅黑" w:eastAsia="微软雅黑"/>
          <w:b w:val="0"/>
          <w:sz w:val="20"/>
        </w:rPr>
        <w:t>：每日任务支持在累计充值、累计打码和单局打码之间切换，分别维护不同的任务口径和阶梯配置。切换维度后，应分别检查每一档门槛和奖励是否完整。</w:t>
      </w:r>
    </w:p>
    <w:p w14:paraId="15BBABF9">
      <w:pPr>
        <w:pStyle w:val="16"/>
        <w:spacing w:after="60" w:line="276" w:lineRule="auto"/>
      </w:pPr>
      <w:r>
        <w:rPr>
          <w:rFonts w:ascii="微软雅黑" w:hAnsi="微软雅黑" w:eastAsia="微软雅黑"/>
          <w:b/>
          <w:color w:val="2F5597"/>
          <w:sz w:val="20"/>
        </w:rPr>
        <w:t>编辑方式</w:t>
      </w:r>
      <w:r>
        <w:rPr>
          <w:rFonts w:ascii="微软雅黑" w:hAnsi="微软雅黑" w:eastAsia="微软雅黑"/>
          <w:b w:val="0"/>
          <w:sz w:val="20"/>
        </w:rPr>
        <w:t>：点击页面底部“修改”进入编辑态后，可逐行维护累计金额、奖励金额、奖励活跃度和任务介绍。任务介绍建议直接写明达成条件，便于前台玩家理解领取要求。</w:t>
      </w:r>
    </w:p>
    <w:p w14:paraId="4F879CE7">
      <w:pPr>
        <w:pStyle w:val="16"/>
        <w:spacing w:after="60" w:line="276" w:lineRule="auto"/>
      </w:pPr>
      <w:r>
        <w:rPr>
          <w:rFonts w:ascii="微软雅黑" w:hAnsi="微软雅黑" w:eastAsia="微软雅黑"/>
          <w:b/>
          <w:color w:val="2F5597"/>
          <w:sz w:val="20"/>
        </w:rPr>
        <w:t>保存规则</w:t>
      </w:r>
      <w:r>
        <w:rPr>
          <w:rFonts w:ascii="微软雅黑" w:hAnsi="微软雅黑" w:eastAsia="微软雅黑"/>
          <w:b w:val="0"/>
          <w:sz w:val="20"/>
        </w:rPr>
        <w:t>：每一行至少要配置奖励金额或奖励活跃度中的一种；两项都为空的数据在保存时会被过滤。保存前要检查阶梯是否按从低到高递增，避免门槛交叉或奖励倒挂。</w:t>
      </w:r>
    </w:p>
    <w:p w14:paraId="6A99F071">
      <w:pPr>
        <w:pStyle w:val="6"/>
        <w:spacing w:after="100"/>
      </w:pPr>
      <w:r>
        <w:rPr>
          <w:rFonts w:ascii="微软雅黑" w:hAnsi="微软雅黑" w:eastAsia="微软雅黑"/>
          <w:b/>
          <w:color w:val="2F5597"/>
          <w:sz w:val="21"/>
        </w:rPr>
        <w:t>每周任务</w:t>
      </w:r>
    </w:p>
    <w:p w14:paraId="1E442F0B">
      <w:pPr>
        <w:spacing w:after="40"/>
        <w:jc w:val="center"/>
      </w:pPr>
      <w:r>
        <w:drawing>
          <wp:inline distT="0" distB="0" distL="114300" distR="114300">
            <wp:extent cx="5897880" cy="2658745"/>
            <wp:effectExtent l="0" t="0" r="762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46"/>
                    <a:stretch>
                      <a:fillRect/>
                    </a:stretch>
                  </pic:blipFill>
                  <pic:spPr>
                    <a:xfrm>
                      <a:off x="0" y="0"/>
                      <a:ext cx="5897880" cy="2659328"/>
                    </a:xfrm>
                    <a:prstGeom prst="rect">
                      <a:avLst/>
                    </a:prstGeom>
                  </pic:spPr>
                </pic:pic>
              </a:graphicData>
            </a:graphic>
          </wp:inline>
        </w:drawing>
      </w:r>
    </w:p>
    <w:p w14:paraId="3A43920F">
      <w:pPr>
        <w:pStyle w:val="15"/>
        <w:spacing w:after="120"/>
        <w:jc w:val="center"/>
      </w:pPr>
      <w:r>
        <w:rPr>
          <w:rFonts w:ascii="微软雅黑" w:hAnsi="微软雅黑" w:eastAsia="微软雅黑"/>
          <w:b w:val="0"/>
          <w:color w:val="707E92"/>
          <w:sz w:val="18"/>
        </w:rPr>
        <w:t>图：每周任务页签，按周配置奖励门槛、奖励金额、奖励活跃度和任务说明。</w:t>
      </w:r>
    </w:p>
    <w:p w14:paraId="1FF059C4">
      <w:pPr>
        <w:pStyle w:val="16"/>
        <w:spacing w:after="60" w:line="276" w:lineRule="auto"/>
      </w:pPr>
      <w:r>
        <w:rPr>
          <w:rFonts w:ascii="微软雅黑" w:hAnsi="微软雅黑" w:eastAsia="微软雅黑"/>
          <w:b/>
          <w:color w:val="2F5597"/>
          <w:sz w:val="20"/>
        </w:rPr>
        <w:t>配置逻辑</w:t>
      </w:r>
      <w:r>
        <w:rPr>
          <w:rFonts w:ascii="微软雅黑" w:hAnsi="微软雅黑" w:eastAsia="微软雅黑"/>
          <w:b w:val="0"/>
          <w:sz w:val="20"/>
        </w:rPr>
        <w:t>：每周任务的维护方式与每日任务一致，同样支持累计充值、累计打码和单局打码三类任务口径，但奖励门槛通常按周目标设置，数值会高于每日任务。</w:t>
      </w:r>
    </w:p>
    <w:p w14:paraId="799E798A">
      <w:pPr>
        <w:pStyle w:val="16"/>
        <w:spacing w:after="60" w:line="276" w:lineRule="auto"/>
      </w:pPr>
      <w:r>
        <w:rPr>
          <w:rFonts w:ascii="微软雅黑" w:hAnsi="微软雅黑" w:eastAsia="微软雅黑"/>
          <w:b/>
          <w:color w:val="2F5597"/>
          <w:sz w:val="20"/>
        </w:rPr>
        <w:t>核对重点</w:t>
      </w:r>
      <w:r>
        <w:rPr>
          <w:rFonts w:ascii="微软雅黑" w:hAnsi="微软雅黑" w:eastAsia="微软雅黑"/>
          <w:b w:val="0"/>
          <w:sz w:val="20"/>
        </w:rPr>
        <w:t>：调整每周阶梯时，应同时核对奖励金额、奖励活跃度和说明文案，确保周任务目标与站点活动周期一致；如果周任务与每日任务同时存在，需避免同一行为重复激励过高。</w:t>
      </w:r>
    </w:p>
    <w:p w14:paraId="4A7FAB80">
      <w:pPr>
        <w:pStyle w:val="6"/>
        <w:spacing w:after="100"/>
      </w:pPr>
      <w:r>
        <w:rPr>
          <w:rFonts w:ascii="微软雅黑" w:hAnsi="微软雅黑" w:eastAsia="微软雅黑"/>
          <w:b/>
          <w:color w:val="2F5597"/>
          <w:sz w:val="21"/>
        </w:rPr>
        <w:t>规则设置</w:t>
      </w:r>
    </w:p>
    <w:p w14:paraId="43FDFF22">
      <w:pPr>
        <w:spacing w:after="40"/>
        <w:jc w:val="center"/>
      </w:pPr>
      <w:r>
        <w:drawing>
          <wp:inline distT="0" distB="0" distL="114300" distR="114300">
            <wp:extent cx="3291840" cy="1888490"/>
            <wp:effectExtent l="0" t="0" r="3810" b="165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47"/>
                    <a:stretch>
                      <a:fillRect/>
                    </a:stretch>
                  </pic:blipFill>
                  <pic:spPr>
                    <a:xfrm>
                      <a:off x="0" y="0"/>
                      <a:ext cx="3291840" cy="1888516"/>
                    </a:xfrm>
                    <a:prstGeom prst="rect">
                      <a:avLst/>
                    </a:prstGeom>
                  </pic:spPr>
                </pic:pic>
              </a:graphicData>
            </a:graphic>
          </wp:inline>
        </w:drawing>
      </w:r>
    </w:p>
    <w:p w14:paraId="29501B2B">
      <w:pPr>
        <w:pStyle w:val="15"/>
        <w:spacing w:after="120"/>
        <w:jc w:val="center"/>
      </w:pPr>
      <w:r>
        <w:rPr>
          <w:rFonts w:ascii="微软雅黑" w:hAnsi="微软雅黑" w:eastAsia="微软雅黑"/>
          <w:b w:val="0"/>
          <w:color w:val="707E92"/>
          <w:sz w:val="18"/>
        </w:rPr>
        <w:t>图：规则设置弹窗，用于配置打码倍数和任务启用状态。</w:t>
      </w:r>
    </w:p>
    <w:p w14:paraId="552E69D2">
      <w:pPr>
        <w:pStyle w:val="16"/>
        <w:spacing w:after="60" w:line="276" w:lineRule="auto"/>
      </w:pPr>
      <w:r>
        <w:rPr>
          <w:rFonts w:ascii="微软雅黑" w:hAnsi="微软雅黑" w:eastAsia="微软雅黑"/>
          <w:b/>
          <w:color w:val="2F5597"/>
          <w:sz w:val="20"/>
        </w:rPr>
        <w:t>打码倍数</w:t>
      </w:r>
      <w:r>
        <w:rPr>
          <w:rFonts w:ascii="微软雅黑" w:hAnsi="微软雅黑" w:eastAsia="微软雅黑"/>
          <w:b w:val="0"/>
          <w:sz w:val="20"/>
        </w:rPr>
        <w:t>：规则设置弹窗用于维护任务对应的打码倍数。修改前应确认平台当前流水要求，避免奖励到账后无法满足提款或活动结算条件。</w:t>
      </w:r>
    </w:p>
    <w:p w14:paraId="036E78DD">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：是否启用用于控制当前任务规则是否生效。停用前要确认前台是否仍有展示入口，以及是否存在未完成但仍需结算的历史任务。</w:t>
      </w:r>
    </w:p>
    <w:p w14:paraId="7621D87C">
      <w:pPr>
        <w:pStyle w:val="6"/>
        <w:spacing w:after="100"/>
      </w:pPr>
      <w:r>
        <w:rPr>
          <w:rFonts w:ascii="微软雅黑" w:hAnsi="微软雅黑" w:eastAsia="微软雅黑"/>
          <w:b/>
          <w:color w:val="2F5597"/>
          <w:sz w:val="21"/>
        </w:rPr>
        <w:t>活跃度宝箱</w:t>
      </w:r>
    </w:p>
    <w:p w14:paraId="5F7EC600">
      <w:pPr>
        <w:spacing w:after="40"/>
        <w:jc w:val="center"/>
      </w:pPr>
      <w:r>
        <w:drawing>
          <wp:inline distT="0" distB="0" distL="114300" distR="114300">
            <wp:extent cx="5897880" cy="1427480"/>
            <wp:effectExtent l="0" t="0" r="762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48"/>
                    <a:stretch>
                      <a:fillRect/>
                    </a:stretch>
                  </pic:blipFill>
                  <pic:spPr>
                    <a:xfrm>
                      <a:off x="0" y="0"/>
                      <a:ext cx="5897880" cy="1427559"/>
                    </a:xfrm>
                    <a:prstGeom prst="rect">
                      <a:avLst/>
                    </a:prstGeom>
                  </pic:spPr>
                </pic:pic>
              </a:graphicData>
            </a:graphic>
          </wp:inline>
        </w:drawing>
      </w:r>
    </w:p>
    <w:p w14:paraId="394CBDD4">
      <w:pPr>
        <w:pStyle w:val="15"/>
        <w:spacing w:after="120"/>
        <w:jc w:val="center"/>
      </w:pPr>
      <w:r>
        <w:rPr>
          <w:rFonts w:ascii="微软雅黑" w:hAnsi="微软雅黑" w:eastAsia="微软雅黑"/>
          <w:b w:val="0"/>
          <w:color w:val="707E92"/>
          <w:sz w:val="18"/>
        </w:rPr>
        <w:t>图：活跃度宝箱页签，用于查看宝箱门槛、奖励类型和金额范围。</w:t>
      </w:r>
    </w:p>
    <w:p w14:paraId="2B3EC5BB">
      <w:pPr>
        <w:pStyle w:val="16"/>
        <w:spacing w:after="60" w:line="276" w:lineRule="auto"/>
      </w:pPr>
      <w:r>
        <w:rPr>
          <w:rFonts w:ascii="微软雅黑" w:hAnsi="微软雅黑" w:eastAsia="微软雅黑"/>
          <w:b/>
          <w:color w:val="2F5597"/>
          <w:sz w:val="20"/>
        </w:rPr>
        <w:t>列表管理</w:t>
      </w:r>
      <w:r>
        <w:rPr>
          <w:rFonts w:ascii="微软雅黑" w:hAnsi="微软雅黑" w:eastAsia="微软雅黑"/>
          <w:b w:val="0"/>
          <w:sz w:val="20"/>
        </w:rPr>
        <w:t>：活跃度宝箱页签用于维护按活跃度领取的奖励宝箱，列表展示宝箱名称、所需活跃度、奖励类型、奖励金额和操作。可通过“新增宝箱”补充新档位，也可对现有档位执行修改或删除。</w:t>
      </w:r>
    </w:p>
    <w:p w14:paraId="0FFBBFB5">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：奖励类型分为随机和固定。随机奖励通常需要维护起止金额区间；固定奖励则直接配置一个确定金额。配置前应确认是否与活动预算、前台文案和派奖逻辑一致。</w:t>
      </w:r>
    </w:p>
    <w:p w14:paraId="7662E673">
      <w:pPr>
        <w:spacing w:after="40"/>
        <w:jc w:val="center"/>
      </w:pPr>
      <w:r>
        <w:drawing>
          <wp:inline distT="0" distB="0" distL="114300" distR="114300">
            <wp:extent cx="3840480" cy="2513330"/>
            <wp:effectExtent l="0" t="0" r="762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49"/>
                    <a:stretch>
                      <a:fillRect/>
                    </a:stretch>
                  </pic:blipFill>
                  <pic:spPr>
                    <a:xfrm>
                      <a:off x="0" y="0"/>
                      <a:ext cx="3840480" cy="2513403"/>
                    </a:xfrm>
                    <a:prstGeom prst="rect">
                      <a:avLst/>
                    </a:prstGeom>
                  </pic:spPr>
                </pic:pic>
              </a:graphicData>
            </a:graphic>
          </wp:inline>
        </w:drawing>
      </w:r>
    </w:p>
    <w:p w14:paraId="20F8217A">
      <w:pPr>
        <w:pStyle w:val="15"/>
        <w:spacing w:after="120"/>
        <w:jc w:val="center"/>
      </w:pPr>
      <w:r>
        <w:rPr>
          <w:rFonts w:ascii="微软雅黑" w:hAnsi="微软雅黑" w:eastAsia="微软雅黑"/>
          <w:b w:val="0"/>
          <w:color w:val="707E92"/>
          <w:sz w:val="18"/>
        </w:rPr>
        <w:t>图：宝箱编辑弹窗，用于维护宝箱名称、所需活跃度和奖励金额。</w:t>
      </w:r>
    </w:p>
    <w:p w14:paraId="56F67729">
      <w:pPr>
        <w:pStyle w:val="16"/>
        <w:spacing w:after="60" w:line="276" w:lineRule="auto"/>
      </w:pPr>
      <w:r>
        <w:rPr>
          <w:rFonts w:ascii="微软雅黑" w:hAnsi="微软雅黑" w:eastAsia="微软雅黑"/>
          <w:b/>
          <w:color w:val="2F5597"/>
          <w:sz w:val="20"/>
        </w:rPr>
        <w:t>弹窗字段</w:t>
      </w:r>
      <w:r>
        <w:rPr>
          <w:rFonts w:ascii="微软雅黑" w:hAnsi="微软雅黑" w:eastAsia="微软雅黑"/>
          <w:b w:val="0"/>
          <w:sz w:val="20"/>
        </w:rPr>
        <w:t>：宝箱编辑弹窗通常需要填写宝箱名称、所需活跃度、奖励类型和奖励金额。宝箱名称建议使用便于识别的档位名称，所需活跃度需与前台活跃度产出规则保持一致。</w:t>
      </w:r>
    </w:p>
    <w:p w14:paraId="334B017D">
      <w:pPr>
        <w:pStyle w:val="16"/>
        <w:spacing w:after="60" w:line="276" w:lineRule="auto"/>
      </w:pPr>
      <w:r>
        <w:rPr>
          <w:rFonts w:ascii="微软雅黑" w:hAnsi="微软雅黑" w:eastAsia="微软雅黑"/>
          <w:b/>
          <w:color w:val="2F5597"/>
          <w:sz w:val="20"/>
        </w:rPr>
        <w:t>提交流程</w:t>
      </w:r>
      <w:r>
        <w:rPr>
          <w:rFonts w:ascii="微软雅黑" w:hAnsi="微软雅黑" w:eastAsia="微软雅黑"/>
          <w:b w:val="0"/>
          <w:sz w:val="20"/>
        </w:rPr>
        <w:t>：新增或修改后点击“提交”保存；如果本次只是查看配置，可点击“取消”关闭。保存前要检查名称长度、活跃度门槛和奖励区间上下限，避免出现空值、倒置或重复档位。</w:t>
      </w:r>
    </w:p>
    <w:p w14:paraId="4B8FF493">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：任务中心同时影响前台任务展示和奖励发放，调整任何门槛、奖励或启停状态前，都应先确认活动预算、任务周期、前台文案和结算规则，必要时与运营、风控和财务口径同步后再保存。</w:t>
      </w:r>
    </w:p>
    <w:p w14:paraId="45A28C8D">
      <w:pPr>
        <w:pStyle w:val="5"/>
        <w:keepNext/>
        <w:spacing w:before="180" w:after="100" w:line="259" w:lineRule="auto"/>
      </w:pPr>
      <w:r>
        <w:rPr>
          <w:rFonts w:ascii="微软雅黑" w:hAnsi="微软雅黑" w:eastAsia="微软雅黑"/>
          <w:b/>
          <w:color w:val="2F5597"/>
          <w:sz w:val="21"/>
        </w:rPr>
        <w:t>落地页管理</w:t>
      </w:r>
    </w:p>
    <w:p w14:paraId="27ED8768">
      <w:pPr>
        <w:spacing w:after="60" w:line="276" w:lineRule="auto"/>
      </w:pPr>
      <w:r>
        <w:rPr>
          <w:rFonts w:ascii="微软雅黑" w:hAnsi="微软雅黑" w:eastAsia="微软雅黑"/>
          <w:b w:val="0"/>
          <w:sz w:val="20"/>
        </w:rPr>
        <w:t>落地页管理用于维护推广落地页的模板样式、应用名称、下载地址、评分、截图和详情介绍，是运营维护投放页素材和跳转链路的统一入口。新增、编辑或删除落地页后，会直接影响渠道投放页展示内容，提交前应同步复核模板名称、应用图标、下载地址和截图素材是否与当前投放计划一致。</w:t>
      </w:r>
    </w:p>
    <w:p w14:paraId="5D0F121B">
      <w:pPr>
        <w:spacing w:after="40"/>
        <w:jc w:val="center"/>
      </w:pPr>
      <w:r>
        <w:drawing>
          <wp:inline distT="0" distB="0" distL="114300" distR="114300">
            <wp:extent cx="5897880" cy="1908810"/>
            <wp:effectExtent l="0" t="0" r="7620" b="152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50"/>
                    <a:stretch>
                      <a:fillRect/>
                    </a:stretch>
                  </pic:blipFill>
                  <pic:spPr>
                    <a:xfrm>
                      <a:off x="0" y="0"/>
                      <a:ext cx="5897880" cy="1909226"/>
                    </a:xfrm>
                    <a:prstGeom prst="rect">
                      <a:avLst/>
                    </a:prstGeom>
                  </pic:spPr>
                </pic:pic>
              </a:graphicData>
            </a:graphic>
          </wp:inline>
        </w:drawing>
      </w:r>
    </w:p>
    <w:p w14:paraId="4B09099F">
      <w:pPr>
        <w:pStyle w:val="15"/>
        <w:spacing w:after="120"/>
        <w:jc w:val="center"/>
      </w:pPr>
      <w:r>
        <w:rPr>
          <w:rFonts w:ascii="微软雅黑" w:hAnsi="微软雅黑" w:eastAsia="微软雅黑"/>
          <w:b w:val="0"/>
          <w:color w:val="707E92"/>
          <w:sz w:val="18"/>
        </w:rPr>
        <w:t>图：落地页管理列表页面，用于查看模板信息、下载地址、评分、截图和行内操作。</w:t>
      </w:r>
    </w:p>
    <w:p w14:paraId="3EDE64C8">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：页面顶部支持按名称输入关键字后执行“搜索”，也可通过“重置”快速清空条件并恢复全部数据，适合在模板数量较多时先定位目标落地页。</w:t>
      </w:r>
    </w:p>
    <w:p w14:paraId="3B39C68A">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：点击“新增”可打开新增落地页弹窗，录入模板样式、模板名称、应用图标、下载地址、评分、截图和应用详细介绍。新增完成后，新记录会出现在列表中，便于继续核对素材和链接。</w:t>
      </w:r>
    </w:p>
    <w:p w14:paraId="7AF5B2D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ID、模板名称、样式、图标、APP 名字、安卓下载地址、评分和截图缩略图，便于运营快速确认当前投放页使用的模板和素材版本。</w:t>
      </w:r>
    </w:p>
    <w:p w14:paraId="69EA3001">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：安卓下载地址字段用于展示当前落地页跳转链接。维护时应填写完整可访问地址，并在保存前检查渠道参数、页面路径和打开结果是否正确。</w:t>
      </w:r>
    </w:p>
    <w:p w14:paraId="30091649">
      <w:pPr>
        <w:pStyle w:val="16"/>
        <w:spacing w:after="60" w:line="276" w:lineRule="auto"/>
      </w:pPr>
      <w:r>
        <w:rPr>
          <w:rFonts w:ascii="微软雅黑" w:hAnsi="微软雅黑" w:eastAsia="微软雅黑"/>
          <w:b/>
          <w:color w:val="2F5597"/>
          <w:sz w:val="20"/>
        </w:rPr>
        <w:t>截图预览</w:t>
      </w:r>
      <w:r>
        <w:rPr>
          <w:rFonts w:ascii="微软雅黑" w:hAnsi="微软雅黑" w:eastAsia="微软雅黑"/>
          <w:b w:val="0"/>
          <w:sz w:val="20"/>
        </w:rPr>
        <w:t>：截图列用于展示当前落地页的页面预览图，适合快速核对展示风格、页面主题和素材是否与投放内容一致。上传或替换截图后，应确认缩略图顺序与实际展示顺序一致。</w:t>
      </w:r>
    </w:p>
    <w:p w14:paraId="36F0BBD2">
      <w:pPr>
        <w:pStyle w:val="16"/>
        <w:spacing w:after="60" w:line="276" w:lineRule="auto"/>
      </w:pPr>
      <w:r>
        <w:rPr>
          <w:rFonts w:ascii="微软雅黑" w:hAnsi="微软雅黑" w:eastAsia="微软雅黑"/>
          <w:b/>
          <w:color w:val="2F5597"/>
          <w:sz w:val="20"/>
        </w:rPr>
        <w:t>编辑与删除</w:t>
      </w:r>
      <w:r>
        <w:rPr>
          <w:rFonts w:ascii="微软雅黑" w:hAnsi="微软雅黑" w:eastAsia="微软雅黑"/>
          <w:b w:val="0"/>
          <w:sz w:val="20"/>
        </w:rPr>
        <w:t>：点击“编辑”可修改当前落地页的模板信息和素材；点击“删除”会移除当前记录。删除前应确认该模板已停用或有替代页面，避免影响正在使用的推广链接。</w:t>
      </w:r>
    </w:p>
    <w:p w14:paraId="79E52E38">
      <w:pPr>
        <w:spacing w:after="40"/>
        <w:jc w:val="center"/>
      </w:pPr>
      <w:r>
        <w:drawing>
          <wp:inline distT="0" distB="0" distL="114300" distR="114300">
            <wp:extent cx="4480560" cy="5638165"/>
            <wp:effectExtent l="0" t="0" r="1524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51"/>
                    <a:stretch>
                      <a:fillRect/>
                    </a:stretch>
                  </pic:blipFill>
                  <pic:spPr>
                    <a:xfrm>
                      <a:off x="0" y="0"/>
                      <a:ext cx="4480560" cy="5638247"/>
                    </a:xfrm>
                    <a:prstGeom prst="rect">
                      <a:avLst/>
                    </a:prstGeom>
                  </pic:spPr>
                </pic:pic>
              </a:graphicData>
            </a:graphic>
          </wp:inline>
        </w:drawing>
      </w:r>
    </w:p>
    <w:p w14:paraId="05C485BD">
      <w:pPr>
        <w:pStyle w:val="15"/>
        <w:spacing w:after="120"/>
        <w:jc w:val="center"/>
      </w:pPr>
      <w:r>
        <w:rPr>
          <w:rFonts w:ascii="微软雅黑" w:hAnsi="微软雅黑" w:eastAsia="微软雅黑"/>
          <w:b w:val="0"/>
          <w:color w:val="707E92"/>
          <w:sz w:val="18"/>
        </w:rPr>
        <w:t>图：新增落地页弹窗，用于维护模板样式、图标、下载地址、评分、截图和应用介绍。</w:t>
      </w:r>
    </w:p>
    <w:p w14:paraId="14F756CD">
      <w:pPr>
        <w:pStyle w:val="16"/>
        <w:spacing w:after="60" w:line="276" w:lineRule="auto"/>
      </w:pPr>
      <w:r>
        <w:rPr>
          <w:rFonts w:ascii="微软雅黑" w:hAnsi="微软雅黑" w:eastAsia="微软雅黑"/>
          <w:b/>
          <w:color w:val="2F5597"/>
          <w:sz w:val="20"/>
        </w:rPr>
        <w:t>模板样式</w:t>
      </w:r>
      <w:r>
        <w:rPr>
          <w:rFonts w:ascii="微软雅黑" w:hAnsi="微软雅黑" w:eastAsia="微软雅黑"/>
          <w:b w:val="0"/>
          <w:sz w:val="20"/>
        </w:rPr>
        <w:t>：模板样式用于区分当前落地页使用的展示风格，应先选择对应模板，再继续填写名称和素材，避免后续页面风格与投放渠道不匹配。</w:t>
      </w:r>
    </w:p>
    <w:p w14:paraId="4CCECB00">
      <w:pPr>
        <w:pStyle w:val="16"/>
        <w:spacing w:after="60" w:line="276" w:lineRule="auto"/>
      </w:pPr>
      <w:r>
        <w:rPr>
          <w:rFonts w:ascii="微软雅黑" w:hAnsi="微软雅黑" w:eastAsia="微软雅黑"/>
          <w:b/>
          <w:color w:val="2F5597"/>
          <w:sz w:val="20"/>
        </w:rPr>
        <w:t>模板名称</w:t>
      </w:r>
      <w:r>
        <w:rPr>
          <w:rFonts w:ascii="微软雅黑" w:hAnsi="微软雅黑" w:eastAsia="微软雅黑"/>
          <w:b w:val="0"/>
          <w:sz w:val="20"/>
        </w:rPr>
        <w:t>：模板名称建议填写便于识别的投放页名称或活动名称，方便后续通过名称筛选快速找到目标模板。</w:t>
      </w:r>
    </w:p>
    <w:p w14:paraId="4AD4DC01">
      <w:pPr>
        <w:pStyle w:val="16"/>
        <w:spacing w:after="60" w:line="276" w:lineRule="auto"/>
      </w:pPr>
      <w:r>
        <w:rPr>
          <w:rFonts w:ascii="微软雅黑" w:hAnsi="微软雅黑" w:eastAsia="微软雅黑"/>
          <w:b/>
          <w:color w:val="2F5597"/>
          <w:sz w:val="20"/>
        </w:rPr>
        <w:t>APP 图标</w:t>
      </w:r>
      <w:r>
        <w:rPr>
          <w:rFonts w:ascii="微软雅黑" w:hAnsi="微软雅黑" w:eastAsia="微软雅黑"/>
          <w:b w:val="0"/>
          <w:sz w:val="20"/>
        </w:rPr>
        <w:t>：APP 图标要求尺寸为 64×64，支持等比例缩放。上传前应确认图标清晰、品牌版本正确，避免出现旧图标或模糊素材。</w:t>
      </w:r>
    </w:p>
    <w:p w14:paraId="7DFF1D4B">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：安卓下载地址为必填项，iOS 下载地址可按投放需要补充。保存前应分别检查链接是否可访问、是否带齐渠道参数，以及是否跳转到正确的下载页面。</w:t>
      </w:r>
    </w:p>
    <w:p w14:paraId="502E0454">
      <w:pPr>
        <w:pStyle w:val="16"/>
        <w:spacing w:after="60" w:line="276" w:lineRule="auto"/>
      </w:pPr>
      <w:r>
        <w:rPr>
          <w:rFonts w:ascii="微软雅黑" w:hAnsi="微软雅黑" w:eastAsia="微软雅黑"/>
          <w:b/>
          <w:color w:val="2F5597"/>
          <w:sz w:val="20"/>
        </w:rPr>
        <w:t>APP 评分</w:t>
      </w:r>
      <w:r>
        <w:rPr>
          <w:rFonts w:ascii="微软雅黑" w:hAnsi="微软雅黑" w:eastAsia="微软雅黑"/>
          <w:b w:val="0"/>
          <w:sz w:val="20"/>
        </w:rPr>
        <w:t>：APP 评分用于展示落地页应用评分，录入时应控制在 0 到 5 分范围内，并与当前投放素材口径保持一致。</w:t>
      </w:r>
    </w:p>
    <w:p w14:paraId="6DB26234">
      <w:pPr>
        <w:pStyle w:val="16"/>
        <w:spacing w:after="60" w:line="276" w:lineRule="auto"/>
      </w:pPr>
      <w:r>
        <w:rPr>
          <w:rFonts w:ascii="微软雅黑" w:hAnsi="微软雅黑" w:eastAsia="微软雅黑"/>
          <w:b/>
          <w:color w:val="2F5597"/>
          <w:sz w:val="20"/>
        </w:rPr>
        <w:t>截图上传</w:t>
      </w:r>
      <w:r>
        <w:rPr>
          <w:rFonts w:ascii="微软雅黑" w:hAnsi="微软雅黑" w:eastAsia="微软雅黑"/>
          <w:b w:val="0"/>
          <w:sz w:val="20"/>
        </w:rPr>
        <w:t>：截图建议尺寸为 330×587，最多可上传 5 张。截图应覆盖落地页核心展示内容，顺序建议与页面实际浏览顺序一致，方便前台按预期展示。</w:t>
      </w:r>
    </w:p>
    <w:p w14:paraId="55B2BA21">
      <w:pPr>
        <w:pStyle w:val="16"/>
        <w:spacing w:after="60" w:line="276" w:lineRule="auto"/>
      </w:pPr>
      <w:r>
        <w:rPr>
          <w:rFonts w:ascii="微软雅黑" w:hAnsi="微软雅黑" w:eastAsia="微软雅黑"/>
          <w:b/>
          <w:color w:val="2F5597"/>
          <w:sz w:val="20"/>
        </w:rPr>
        <w:t>详细介绍</w:t>
      </w:r>
      <w:r>
        <w:rPr>
          <w:rFonts w:ascii="微软雅黑" w:hAnsi="微软雅黑" w:eastAsia="微软雅黑"/>
          <w:b w:val="0"/>
          <w:sz w:val="20"/>
        </w:rPr>
        <w:t>：APP 详细介绍用于补充应用卖点或功能说明，建议直接描述核心内容，避免文案过长或与页面素材不一致。</w:t>
      </w:r>
    </w:p>
    <w:p w14:paraId="3CDBBF7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：点击“确定”后保存新增内容；点击“取消”或关闭弹窗会放弃本次未保存修改。提交前应重点复核模板样式、图标、下载地址、评分、截图数量和详细介绍，确保投放页素材完整可用。</w:t>
      </w:r>
    </w:p>
    <w:p w14:paraId="6D87C06F">
      <w:pPr>
        <w:pStyle w:val="5"/>
        <w:keepNext/>
        <w:spacing w:before="180" w:after="100" w:line="259" w:lineRule="auto"/>
      </w:pPr>
      <w:r>
        <w:rPr>
          <w:rFonts w:ascii="微软雅黑" w:hAnsi="微软雅黑" w:eastAsia="微软雅黑"/>
          <w:b/>
          <w:color w:val="2F5597"/>
          <w:sz w:val="25"/>
        </w:rPr>
        <w:t>活动排行统计</w:t>
      </w:r>
    </w:p>
    <w:p w14:paraId="06EE24A6">
      <w:pPr>
        <w:pStyle w:val="16"/>
        <w:spacing w:after="60" w:line="276" w:lineRule="auto"/>
      </w:pPr>
      <w:r>
        <w:rPr>
          <w:rFonts w:ascii="微软雅黑" w:hAnsi="微软雅黑" w:eastAsia="微软雅黑"/>
          <w:b/>
          <w:color w:val="2F5597"/>
          <w:sz w:val="20"/>
        </w:rPr>
        <w:t>活动排行统计</w:t>
      </w:r>
      <w:r>
        <w:rPr>
          <w:rFonts w:ascii="微软雅黑" w:hAnsi="微软雅黑" w:eastAsia="微软雅黑"/>
          <w:b w:val="0"/>
          <w:sz w:val="20"/>
        </w:rPr>
        <w:t>：用于查看活动参与、排名和奖励相关统计。</w:t>
      </w:r>
    </w:p>
    <w:p w14:paraId="1AB7CF9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：按活动、时间或玩家筛选数据，查看排行、参与人数和奖励发放情况。</w:t>
      </w:r>
    </w:p>
    <w:p w14:paraId="1F286563">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：统计结果用于活动复盘，需结合活动规则和奖励记录一起核对。</w:t>
      </w:r>
    </w:p>
    <w:p w14:paraId="0F49B09C">
      <w:pPr>
        <w:pStyle w:val="3"/>
        <w:keepNext/>
        <w:spacing w:before="360" w:after="240" w:line="276" w:lineRule="auto"/>
      </w:pPr>
      <w:r>
        <w:rPr>
          <w:rFonts w:ascii="微软雅黑" w:hAnsi="微软雅黑" w:eastAsia="微软雅黑"/>
          <w:b/>
          <w:color w:val="17365D"/>
          <w:sz w:val="40"/>
        </w:rPr>
        <w:t>六、优惠活动</w:t>
      </w:r>
    </w:p>
    <w:p w14:paraId="672254AC">
      <w:pPr>
        <w:pStyle w:val="4"/>
        <w:keepNext/>
        <w:spacing w:before="240" w:after="140" w:line="269" w:lineRule="auto"/>
      </w:pPr>
      <w:r>
        <w:rPr>
          <w:rFonts w:ascii="微软雅黑" w:hAnsi="微软雅黑" w:eastAsia="微软雅黑"/>
          <w:b/>
          <w:color w:val="1F4E79"/>
          <w:sz w:val="30"/>
        </w:rPr>
        <w:t>模块定位</w:t>
      </w:r>
    </w:p>
    <w:p w14:paraId="27D010F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23A8F73">
      <w:pPr>
        <w:pStyle w:val="4"/>
        <w:keepNext/>
        <w:spacing w:before="240" w:after="140" w:line="269" w:lineRule="auto"/>
      </w:pPr>
      <w:r>
        <w:rPr>
          <w:rFonts w:ascii="微软雅黑" w:hAnsi="微软雅黑" w:eastAsia="微软雅黑"/>
          <w:b/>
          <w:color w:val="1F4E79"/>
          <w:sz w:val="30"/>
        </w:rPr>
        <w:t>页面说明</w:t>
      </w:r>
    </w:p>
    <w:p w14:paraId="489C7955">
      <w:pPr>
        <w:pStyle w:val="5"/>
        <w:keepNext/>
        <w:spacing w:before="180" w:after="100" w:line="259" w:lineRule="auto"/>
      </w:pPr>
      <w:r>
        <w:rPr>
          <w:rFonts w:ascii="微软雅黑" w:hAnsi="微软雅黑" w:eastAsia="微软雅黑"/>
          <w:b/>
          <w:color w:val="2F5597"/>
          <w:sz w:val="25"/>
        </w:rPr>
        <w:t>优惠活动列表</w:t>
      </w:r>
    </w:p>
    <w:p w14:paraId="31430E23">
      <w:pPr>
        <w:spacing w:after="60" w:line="276" w:lineRule="auto"/>
      </w:pPr>
      <w:r>
        <w:rPr>
          <w:rFonts w:ascii="微软雅黑" w:hAnsi="微软雅黑" w:eastAsia="微软雅黑"/>
          <w:b w:val="0"/>
          <w:sz w:val="20"/>
        </w:rPr>
        <w:t>优惠活动列表用于统一查看站点已配置的优惠活动，并完成筛选查询、状态维护和新增入口跳转，适合运营人员按活动类型、时间和展示状态跟进活动上线情况。</w:t>
      </w:r>
    </w:p>
    <w:p w14:paraId="361F0872">
      <w:pPr>
        <w:spacing w:after="40"/>
        <w:jc w:val="center"/>
      </w:pPr>
      <w:r>
        <w:drawing>
          <wp:inline distT="0" distB="0" distL="114300" distR="114300">
            <wp:extent cx="5897880" cy="1971675"/>
            <wp:effectExtent l="0" t="0" r="762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52"/>
                    <a:stretch>
                      <a:fillRect/>
                    </a:stretch>
                  </pic:blipFill>
                  <pic:spPr>
                    <a:xfrm>
                      <a:off x="0" y="0"/>
                      <a:ext cx="5897880" cy="1972081"/>
                    </a:xfrm>
                    <a:prstGeom prst="rect">
                      <a:avLst/>
                    </a:prstGeom>
                  </pic:spPr>
                </pic:pic>
              </a:graphicData>
            </a:graphic>
          </wp:inline>
        </w:drawing>
      </w:r>
    </w:p>
    <w:p w14:paraId="301CC78D">
      <w:pPr>
        <w:pStyle w:val="15"/>
        <w:spacing w:after="120"/>
        <w:jc w:val="center"/>
      </w:pPr>
      <w:r>
        <w:rPr>
          <w:rFonts w:ascii="微软雅黑" w:hAnsi="微软雅黑" w:eastAsia="微软雅黑"/>
          <w:b w:val="0"/>
          <w:color w:val="707E92"/>
          <w:sz w:val="18"/>
        </w:rPr>
        <w:t>图：优惠活动列表页面，用于筛选活动记录、维护启用状态并进入新增或编辑操作。</w:t>
      </w:r>
    </w:p>
    <w:p w14:paraId="6DF8BE7F">
      <w:pPr>
        <w:pStyle w:val="16"/>
        <w:spacing w:after="60" w:line="276" w:lineRule="auto"/>
      </w:pPr>
      <w:r>
        <w:rPr>
          <w:rFonts w:ascii="微软雅黑" w:hAnsi="微软雅黑" w:eastAsia="微软雅黑"/>
          <w:b/>
          <w:color w:val="2F5597"/>
          <w:sz w:val="20"/>
        </w:rPr>
        <w:t>活动类型筛选</w:t>
      </w:r>
      <w:r>
        <w:rPr>
          <w:rFonts w:ascii="微软雅黑" w:hAnsi="微软雅黑" w:eastAsia="微软雅黑"/>
          <w:b w:val="0"/>
          <w:sz w:val="20"/>
        </w:rPr>
        <w:t>：页面左上方提供活动类型下拉框，可按拼多多、打码返水、充值送金、游戏排行榜、签到奖励等模板快速缩小查询范围。</w:t>
      </w:r>
    </w:p>
    <w:p w14:paraId="4FCA4C33">
      <w:pPr>
        <w:pStyle w:val="16"/>
        <w:spacing w:after="60" w:line="276" w:lineRule="auto"/>
      </w:pPr>
      <w:r>
        <w:rPr>
          <w:rFonts w:ascii="微软雅黑" w:hAnsi="微软雅黑" w:eastAsia="微软雅黑"/>
          <w:b/>
          <w:color w:val="2F5597"/>
          <w:sz w:val="20"/>
        </w:rPr>
        <w:t>搜索与重置</w:t>
      </w:r>
      <w:r>
        <w:rPr>
          <w:rFonts w:ascii="微软雅黑" w:hAnsi="微软雅黑" w:eastAsia="微软雅黑"/>
          <w:b w:val="0"/>
          <w:sz w:val="20"/>
        </w:rPr>
        <w:t>：选择筛选条件后点击“搜索”刷新列表；点击“重置”可清空当前条件并恢复查看全部活动。</w:t>
      </w:r>
    </w:p>
    <w:p w14:paraId="593EA64C">
      <w:pPr>
        <w:pStyle w:val="16"/>
        <w:spacing w:after="60" w:line="276" w:lineRule="auto"/>
      </w:pPr>
      <w:r>
        <w:rPr>
          <w:rFonts w:ascii="微软雅黑" w:hAnsi="微软雅黑" w:eastAsia="微软雅黑"/>
          <w:b/>
          <w:color w:val="2F5597"/>
          <w:sz w:val="20"/>
        </w:rPr>
        <w:t>新增活动</w:t>
      </w:r>
      <w:r>
        <w:rPr>
          <w:rFonts w:ascii="微软雅黑" w:hAnsi="微软雅黑" w:eastAsia="微软雅黑"/>
          <w:b w:val="0"/>
          <w:sz w:val="20"/>
        </w:rPr>
        <w:t>：点击“新增活动”进入活动创建页面，继续填写活动模板、活动时间、奖励规则和展示内容。</w:t>
      </w:r>
    </w:p>
    <w:p w14:paraId="38E04FA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：列表集中展示活动名称、游戏类型、活动标题、活动类型、开始时间、结束时间、打码倍数、是否可见、启用状态、排序、操作人和操作，便于一次性核对活动基础信息与当前状态。</w:t>
      </w:r>
    </w:p>
    <w:p w14:paraId="09DE04D5">
      <w:pPr>
        <w:pStyle w:val="16"/>
        <w:spacing w:after="60" w:line="276" w:lineRule="auto"/>
      </w:pPr>
      <w:r>
        <w:rPr>
          <w:rFonts w:ascii="微软雅黑" w:hAnsi="微软雅黑" w:eastAsia="微软雅黑"/>
          <w:b/>
          <w:color w:val="2F5597"/>
          <w:sz w:val="20"/>
        </w:rPr>
        <w:t>是否可见</w:t>
      </w:r>
      <w:r>
        <w:rPr>
          <w:rFonts w:ascii="微软雅黑" w:hAnsi="微软雅黑" w:eastAsia="微软雅黑"/>
          <w:b w:val="0"/>
          <w:sz w:val="20"/>
        </w:rPr>
        <w:t>：“是否可见”开关用于控制活动是否在前台展示；下线展示入口前，建议先确认活动奖励是否已发放完成，避免玩家仍可参与但找不到入口。</w:t>
      </w:r>
    </w:p>
    <w:p w14:paraId="5C3BA99B">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：“启用状态”开关用于控制活动是否生效。停用前应先核对活动周期、已参与玩家和关联奖励，避免活动中途关闭造成客诉。</w:t>
      </w:r>
    </w:p>
    <w:p w14:paraId="308DE89B">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：排序值用于调整活动展示顺序，通常数值越小越靠前。修改排序后建议同步检查前台活动位和专题页展示顺序。</w:t>
      </w:r>
    </w:p>
    <w:p w14:paraId="74ADF31A">
      <w:pPr>
        <w:pStyle w:val="16"/>
        <w:spacing w:after="60" w:line="276" w:lineRule="auto"/>
      </w:pPr>
      <w:r>
        <w:rPr>
          <w:rFonts w:ascii="微软雅黑" w:hAnsi="微软雅黑" w:eastAsia="微软雅黑"/>
          <w:b/>
          <w:color w:val="2F5597"/>
          <w:sz w:val="20"/>
        </w:rPr>
        <w:t>查看 / 编辑 / 删除</w:t>
      </w:r>
      <w:r>
        <w:rPr>
          <w:rFonts w:ascii="微软雅黑" w:hAnsi="微软雅黑" w:eastAsia="微软雅黑"/>
          <w:b w:val="0"/>
          <w:sz w:val="20"/>
        </w:rPr>
        <w:t>：每条记录右侧提供查看、编辑和删除操作。查看用于核对活动详情，编辑用于调整活动信息，删除前需确认该活动不再使用且不会影响历史记录查询。</w:t>
      </w:r>
    </w:p>
    <w:p w14:paraId="1ACD0A3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：日常维护时建议重点核对活动时间、活动类型、游戏适用范围、打码倍数以及开关状态，确保后台配置与前台宣传和结算规则一致。</w:t>
      </w:r>
    </w:p>
    <w:p w14:paraId="65861C18">
      <w:pPr>
        <w:spacing w:after="40"/>
        <w:jc w:val="center"/>
      </w:pPr>
      <w:r>
        <w:drawing>
          <wp:inline distT="0" distB="0" distL="114300" distR="114300">
            <wp:extent cx="5212080" cy="4849495"/>
            <wp:effectExtent l="0" t="0" r="7620" b="825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53"/>
                    <a:stretch>
                      <a:fillRect/>
                    </a:stretch>
                  </pic:blipFill>
                  <pic:spPr>
                    <a:xfrm>
                      <a:off x="0" y="0"/>
                      <a:ext cx="5212080" cy="4849830"/>
                    </a:xfrm>
                    <a:prstGeom prst="rect">
                      <a:avLst/>
                    </a:prstGeom>
                  </pic:spPr>
                </pic:pic>
              </a:graphicData>
            </a:graphic>
          </wp:inline>
        </w:drawing>
      </w:r>
    </w:p>
    <w:p w14:paraId="76025C6B">
      <w:pPr>
        <w:pStyle w:val="15"/>
        <w:spacing w:after="120"/>
        <w:jc w:val="center"/>
      </w:pPr>
      <w:r>
        <w:rPr>
          <w:rFonts w:ascii="微软雅黑" w:hAnsi="微软雅黑" w:eastAsia="微软雅黑"/>
          <w:b w:val="0"/>
          <w:color w:val="707E92"/>
          <w:sz w:val="18"/>
        </w:rPr>
        <w:t>图：点击“新增活动”后打开的新增活动弹窗，用于填写活动基础信息、奖励档位、Banner 和活动描述。</w:t>
      </w:r>
    </w:p>
    <w:p w14:paraId="28913968">
      <w:pPr>
        <w:pStyle w:val="16"/>
        <w:spacing w:after="60" w:line="276" w:lineRule="auto"/>
      </w:pPr>
      <w:r>
        <w:rPr>
          <w:rFonts w:ascii="微软雅黑" w:hAnsi="微软雅黑" w:eastAsia="微软雅黑"/>
          <w:b/>
          <w:color w:val="2F5597"/>
          <w:sz w:val="20"/>
        </w:rPr>
        <w:t>新增活动弹窗</w:t>
      </w:r>
      <w:r>
        <w:rPr>
          <w:rFonts w:ascii="微软雅黑" w:hAnsi="微软雅黑" w:eastAsia="微软雅黑"/>
          <w:b w:val="0"/>
          <w:sz w:val="20"/>
        </w:rPr>
        <w:t>：在优惠活动列表点击“新增活动”后打开新增活动弹窗，用于录入活动模板、标题、时间、奖励规则和展示内容。</w:t>
      </w:r>
    </w:p>
    <w:p w14:paraId="0D18685E">
      <w:pPr>
        <w:pStyle w:val="16"/>
        <w:spacing w:after="60" w:line="276" w:lineRule="auto"/>
      </w:pPr>
      <w:r>
        <w:rPr>
          <w:rFonts w:ascii="微软雅黑" w:hAnsi="微软雅黑" w:eastAsia="微软雅黑"/>
          <w:b/>
          <w:color w:val="2F5597"/>
          <w:sz w:val="20"/>
        </w:rPr>
        <w:t>活动模板</w:t>
      </w:r>
      <w:r>
        <w:rPr>
          <w:rFonts w:ascii="微软雅黑" w:hAnsi="微软雅黑" w:eastAsia="微软雅黑"/>
          <w:b w:val="0"/>
          <w:sz w:val="20"/>
        </w:rPr>
        <w:t>：先选择活动模板，再继续填写对应规则。当前弹窗示例为“首充奖励”，不同模板会带出各自适用的规则区和字段。</w:t>
      </w:r>
    </w:p>
    <w:p w14:paraId="1F3D6DCD">
      <w:pPr>
        <w:pStyle w:val="16"/>
        <w:spacing w:after="60" w:line="276" w:lineRule="auto"/>
      </w:pPr>
      <w:r>
        <w:rPr>
          <w:rFonts w:ascii="微软雅黑" w:hAnsi="微软雅黑" w:eastAsia="微软雅黑"/>
          <w:b/>
          <w:color w:val="2F5597"/>
          <w:sz w:val="20"/>
        </w:rPr>
        <w:t>活动名称与活动标题</w:t>
      </w:r>
      <w:r>
        <w:rPr>
          <w:rFonts w:ascii="微软雅黑" w:hAnsi="微软雅黑" w:eastAsia="微软雅黑"/>
          <w:b w:val="0"/>
          <w:sz w:val="20"/>
        </w:rPr>
        <w:t>：活动名称用于后台识别和列表检索，活动标题用于前台展示或活动页标题，录入时应保持命名清晰并与宣传文案一致。</w:t>
      </w:r>
    </w:p>
    <w:p w14:paraId="34C57722">
      <w:pPr>
        <w:pStyle w:val="16"/>
        <w:spacing w:after="60" w:line="276" w:lineRule="auto"/>
      </w:pPr>
      <w:r>
        <w:rPr>
          <w:rFonts w:ascii="微软雅黑" w:hAnsi="微软雅黑" w:eastAsia="微软雅黑"/>
          <w:b/>
          <w:color w:val="2F5597"/>
          <w:sz w:val="20"/>
        </w:rPr>
        <w:t>活动时间</w:t>
      </w:r>
      <w:r>
        <w:rPr>
          <w:rFonts w:ascii="微软雅黑" w:hAnsi="微软雅黑" w:eastAsia="微软雅黑"/>
          <w:b w:val="0"/>
          <w:sz w:val="20"/>
        </w:rPr>
        <w:t>：活动时间需同时设置开始时间和结束时间，用于控制活动生效周期。提交前应确认时间覆盖宣传排期、报名期和奖励领取期。</w:t>
      </w:r>
    </w:p>
    <w:p w14:paraId="17E6AE74">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：奖励类型支持固定金额和百分比金额。选择固定金额时按档位配置具体奖励；选择百分比金额时应同步核对计算基数和上限规则。</w:t>
      </w:r>
    </w:p>
    <w:p w14:paraId="611473CC">
      <w:pPr>
        <w:pStyle w:val="16"/>
        <w:spacing w:after="60" w:line="276" w:lineRule="auto"/>
      </w:pPr>
      <w:r>
        <w:rPr>
          <w:rFonts w:ascii="微软雅黑" w:hAnsi="微软雅黑" w:eastAsia="微软雅黑"/>
          <w:b/>
          <w:color w:val="2F5597"/>
          <w:sz w:val="20"/>
        </w:rPr>
        <w:t>派发方式</w:t>
      </w:r>
      <w:r>
        <w:rPr>
          <w:rFonts w:ascii="微软雅黑" w:hAnsi="微软雅黑" w:eastAsia="微软雅黑"/>
          <w:b w:val="0"/>
          <w:sz w:val="20"/>
        </w:rPr>
        <w:t>：派发方式支持立即派发和玩家自领。立即派发适合自动到账场景；玩家自领适合需要玩家主动领取奖励的活动。</w:t>
      </w:r>
    </w:p>
    <w:p w14:paraId="456C2E84">
      <w:pPr>
        <w:pStyle w:val="16"/>
        <w:numPr>
          <w:ilvl w:val="2"/>
          <w:numId w:val="3"/>
        </w:numPr>
        <w:tabs>
          <w:tab w:val="clear" w:pos="1260"/>
        </w:tabs>
        <w:spacing w:after="60" w:line="276" w:lineRule="auto"/>
        <w:ind w:left="1260" w:leftChars="0" w:hanging="420" w:firstLineChars="0"/>
      </w:pPr>
      <w:r>
        <w:rPr>
          <w:rFonts w:hint="eastAsia"/>
          <w:lang w:val="en-US" w:eastAsia="zh-CN"/>
        </w:rPr>
        <w:t>如果是独立打码规则下，首充和充值赠送活动的奖励需要配置自动派发。如果是手动领取，玩家在领取时会受到余额大于X不能领取免费奖励的影响。导致无法领取奖励</w:t>
      </w:r>
    </w:p>
    <w:p w14:paraId="491BE7E5">
      <w:pPr>
        <w:pStyle w:val="16"/>
        <w:spacing w:after="60" w:line="276" w:lineRule="auto"/>
      </w:pPr>
      <w:r>
        <w:rPr>
          <w:rFonts w:ascii="微软雅黑" w:hAnsi="微软雅黑" w:eastAsia="微软雅黑"/>
          <w:b/>
          <w:color w:val="2F5597"/>
          <w:sz w:val="20"/>
        </w:rPr>
        <w:t>档位规则</w:t>
      </w:r>
      <w:r>
        <w:rPr>
          <w:rFonts w:ascii="微软雅黑" w:hAnsi="微软雅黑" w:eastAsia="微软雅黑"/>
          <w:b w:val="0"/>
          <w:sz w:val="20"/>
        </w:rPr>
        <w:t>：档位区域用于维护充值金额门槛与奖励金额，支持逐档新增。配置多档奖励时，应保证门槛和奖励递进关系清晰，避免档位重叠或金额倒挂。</w:t>
      </w:r>
    </w:p>
    <w:p w14:paraId="5FAF5C1D">
      <w:pPr>
        <w:pStyle w:val="16"/>
        <w:spacing w:after="60" w:line="276" w:lineRule="auto"/>
      </w:pPr>
      <w:r>
        <w:rPr>
          <w:rFonts w:ascii="微软雅黑" w:hAnsi="微软雅黑" w:eastAsia="微软雅黑"/>
          <w:b/>
          <w:color w:val="2F5597"/>
          <w:sz w:val="20"/>
        </w:rPr>
        <w:t>活动Banner</w:t>
      </w:r>
      <w:r>
        <w:rPr>
          <w:rFonts w:ascii="微软雅黑" w:hAnsi="微软雅黑" w:eastAsia="微软雅黑"/>
          <w:b w:val="0"/>
          <w:sz w:val="20"/>
        </w:rPr>
        <w:t>：活动 Banner 用于前台展示活动入口，上传前应核对尺寸、比例和活动主题文案，避免图片变形或展示内容与活动规则不一致。</w:t>
      </w:r>
    </w:p>
    <w:p w14:paraId="0F3C5EA8">
      <w:pPr>
        <w:pStyle w:val="16"/>
        <w:spacing w:after="60" w:line="276" w:lineRule="auto"/>
      </w:pPr>
      <w:r>
        <w:rPr>
          <w:rFonts w:ascii="微软雅黑" w:hAnsi="微软雅黑" w:eastAsia="微软雅黑"/>
          <w:b/>
          <w:color w:val="2F5597"/>
          <w:sz w:val="20"/>
        </w:rPr>
        <w:t>打码倍数与排序</w:t>
      </w:r>
      <w:r>
        <w:rPr>
          <w:rFonts w:ascii="微软雅黑" w:hAnsi="微软雅黑" w:eastAsia="微软雅黑"/>
          <w:b w:val="0"/>
          <w:sz w:val="20"/>
        </w:rPr>
        <w:t>：打码倍数用于约束奖励相关流水要求，排序用于控制活动展示顺序。两个字段都会直接影响活动参与体验，提交前需与活动规则表一致。</w:t>
      </w:r>
    </w:p>
    <w:p w14:paraId="625DE172">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：外部链接为选填项，可配置活动跳转地址。填写时应使用完整可访问链接，并确认跳转页面与活动内容一致。</w:t>
      </w:r>
    </w:p>
    <w:p w14:paraId="36EFA2C9">
      <w:pPr>
        <w:pStyle w:val="16"/>
        <w:spacing w:after="60" w:line="276" w:lineRule="auto"/>
      </w:pPr>
      <w:r>
        <w:rPr>
          <w:rFonts w:ascii="微软雅黑" w:hAnsi="微软雅黑" w:eastAsia="微软雅黑"/>
          <w:b/>
          <w:color w:val="2F5597"/>
          <w:sz w:val="20"/>
        </w:rPr>
        <w:t>活动描述</w:t>
      </w:r>
      <w:r>
        <w:rPr>
          <w:rFonts w:ascii="微软雅黑" w:hAnsi="微软雅黑" w:eastAsia="微软雅黑"/>
          <w:b w:val="0"/>
          <w:sz w:val="20"/>
        </w:rPr>
        <w:t>：弹窗底部富文本编辑区用于补充活动规则、参与条件、奖励说明和注意事项。文案应写清领取条件、流水要求、有效期和失效规则，便于前台直接展示。</w:t>
      </w:r>
    </w:p>
    <w:p w14:paraId="719F610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：填写完成后点击“确定”提交新活动；点击“取消”或关闭窗口会放弃当前未保存内容。正式提交前建议逐项复核必填字段、奖励档位和展示素材。</w:t>
      </w:r>
    </w:p>
    <w:p w14:paraId="4E0C8557">
      <w:pPr>
        <w:pStyle w:val="5"/>
        <w:keepNext/>
        <w:spacing w:before="180" w:after="100" w:line="259" w:lineRule="auto"/>
      </w:pPr>
      <w:r>
        <w:rPr>
          <w:rFonts w:ascii="微软雅黑" w:hAnsi="微软雅黑" w:eastAsia="微软雅黑"/>
          <w:b/>
          <w:color w:val="2F5597"/>
          <w:sz w:val="21"/>
        </w:rPr>
        <w:t>幸运转盘配置</w:t>
      </w:r>
    </w:p>
    <w:p w14:paraId="4F9B1288">
      <w:pPr>
        <w:spacing w:after="60" w:line="276" w:lineRule="auto"/>
      </w:pPr>
      <w:r>
        <w:rPr>
          <w:rFonts w:ascii="微软雅黑" w:hAnsi="微软雅黑" w:eastAsia="微软雅黑"/>
          <w:b w:val="0"/>
          <w:sz w:val="20"/>
        </w:rPr>
        <w:t>幸运转盘配置用于维护转盘活动的基础信息、奖项结构和页面启停状态。配置完成后会直接影响前台抽奖展示和奖励发放，因此在保存前应同时复核奖项数量、奖项类型、中奖概率和图片素材。</w:t>
      </w:r>
    </w:p>
    <w:p w14:paraId="1BE10AA6">
      <w:pPr>
        <w:spacing w:after="20"/>
        <w:jc w:val="center"/>
      </w:pPr>
      <w:r>
        <w:drawing>
          <wp:inline distT="0" distB="0" distL="114300" distR="114300">
            <wp:extent cx="5806440" cy="1377950"/>
            <wp:effectExtent l="0" t="0" r="3810" b="1270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54"/>
                    <a:stretch>
                      <a:fillRect/>
                    </a:stretch>
                  </pic:blipFill>
                  <pic:spPr>
                    <a:xfrm>
                      <a:off x="0" y="0"/>
                      <a:ext cx="5806440" cy="1378331"/>
                    </a:xfrm>
                    <a:prstGeom prst="rect">
                      <a:avLst/>
                    </a:prstGeom>
                  </pic:spPr>
                </pic:pic>
              </a:graphicData>
            </a:graphic>
          </wp:inline>
        </w:drawing>
      </w:r>
    </w:p>
    <w:p w14:paraId="021F6D97">
      <w:pPr>
        <w:pStyle w:val="15"/>
        <w:spacing w:after="120"/>
        <w:jc w:val="center"/>
      </w:pPr>
      <w:r>
        <w:rPr>
          <w:rFonts w:ascii="微软雅黑" w:hAnsi="微软雅黑" w:eastAsia="微软雅黑"/>
          <w:b w:val="0"/>
          <w:color w:val="707E92"/>
          <w:sz w:val="18"/>
        </w:rPr>
        <w:t>图：幸运转盘配置列表页，用于筛选、查看转盘配置状态并发起新增或维护操作。</w:t>
      </w:r>
    </w:p>
    <w:p w14:paraId="2AB8031E">
      <w:pPr>
        <w:pStyle w:val="16"/>
        <w:spacing w:after="60" w:line="276" w:lineRule="auto"/>
      </w:pPr>
      <w:r>
        <w:rPr>
          <w:rFonts w:ascii="微软雅黑" w:hAnsi="微软雅黑" w:eastAsia="微软雅黑"/>
          <w:b/>
          <w:color w:val="2F5597"/>
          <w:sz w:val="20"/>
        </w:rPr>
        <w:t>页面查询</w:t>
      </w:r>
      <w:r>
        <w:rPr>
          <w:rFonts w:ascii="微软雅黑" w:hAnsi="微软雅黑" w:eastAsia="微软雅黑"/>
          <w:b w:val="0"/>
          <w:sz w:val="20"/>
        </w:rPr>
        <w:t>：页面顶部支持按转盘名称和是否启用筛选，点击“搜索”可快速定位目标配置，点击“重置”可恢复全部数据列表。</w:t>
      </w:r>
    </w:p>
    <w:p w14:paraId="6EA6BD1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ID、转盘名称、是否启用、奖项数量、描述和创建时间，方便确认活动标识、启用状态和配置完整度。</w:t>
      </w:r>
    </w:p>
    <w:p w14:paraId="2685D9C1">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：“是否启用”用于控制该转盘配置是否可被前台活动引用。正式启用前应确认奖项、概率和图片均已配置完成。</w:t>
      </w:r>
    </w:p>
    <w:p w14:paraId="5CFDD363">
      <w:pPr>
        <w:pStyle w:val="16"/>
        <w:spacing w:after="60" w:line="276" w:lineRule="auto"/>
      </w:pPr>
      <w:r>
        <w:rPr>
          <w:rFonts w:ascii="微软雅黑" w:hAnsi="微软雅黑" w:eastAsia="微软雅黑"/>
          <w:b/>
          <w:color w:val="2F5597"/>
          <w:sz w:val="20"/>
        </w:rPr>
        <w:t>行内操作</w:t>
      </w:r>
      <w:r>
        <w:rPr>
          <w:rFonts w:ascii="微软雅黑" w:hAnsi="微软雅黑" w:eastAsia="微软雅黑"/>
          <w:b w:val="0"/>
          <w:sz w:val="20"/>
        </w:rPr>
        <w:t>：列表支持“详情、编辑、删除”等操作。编辑时可调整奖项信息和描述，删除前需确认该配置未被线上活动继续使用。</w:t>
      </w:r>
    </w:p>
    <w:p w14:paraId="79364FFC">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：点击“新增”打开新增幸运转盘配置弹窗，用于录入转盘名称、启用状态和具体奖项内容。</w:t>
      </w:r>
    </w:p>
    <w:p w14:paraId="767CF1F1">
      <w:pPr>
        <w:spacing w:after="20"/>
        <w:jc w:val="center"/>
      </w:pPr>
      <w:r>
        <w:drawing>
          <wp:inline distT="0" distB="0" distL="114300" distR="114300">
            <wp:extent cx="5669280" cy="4751705"/>
            <wp:effectExtent l="0" t="0" r="7620" b="1079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55"/>
                    <a:stretch>
                      <a:fillRect/>
                    </a:stretch>
                  </pic:blipFill>
                  <pic:spPr>
                    <a:xfrm>
                      <a:off x="0" y="0"/>
                      <a:ext cx="5669280" cy="4752275"/>
                    </a:xfrm>
                    <a:prstGeom prst="rect">
                      <a:avLst/>
                    </a:prstGeom>
                  </pic:spPr>
                </pic:pic>
              </a:graphicData>
            </a:graphic>
          </wp:inline>
        </w:drawing>
      </w:r>
    </w:p>
    <w:p w14:paraId="36C04B86">
      <w:pPr>
        <w:pStyle w:val="15"/>
        <w:spacing w:after="120"/>
        <w:jc w:val="center"/>
      </w:pPr>
      <w:r>
        <w:rPr>
          <w:rFonts w:ascii="微软雅黑" w:hAnsi="微软雅黑" w:eastAsia="微软雅黑"/>
          <w:b w:val="0"/>
          <w:color w:val="707E92"/>
          <w:sz w:val="18"/>
        </w:rPr>
        <w:t>图：新增幸运转盘配置弹窗，用于维护转盘基础信息、奖项配置和奖项图片。</w:t>
      </w:r>
    </w:p>
    <w:p w14:paraId="74654EFC">
      <w:pPr>
        <w:pStyle w:val="16"/>
        <w:spacing w:after="60" w:line="276" w:lineRule="auto"/>
      </w:pPr>
      <w:r>
        <w:rPr>
          <w:rFonts w:ascii="微软雅黑" w:hAnsi="微软雅黑" w:eastAsia="微软雅黑"/>
          <w:b/>
          <w:color w:val="2F5597"/>
          <w:sz w:val="20"/>
        </w:rPr>
        <w:t>转盘名称</w:t>
      </w:r>
      <w:r>
        <w:rPr>
          <w:rFonts w:ascii="微软雅黑" w:hAnsi="微软雅黑" w:eastAsia="微软雅黑"/>
          <w:b w:val="0"/>
          <w:sz w:val="20"/>
        </w:rPr>
        <w:t>：转盘名称用于区分不同抽奖活动，建议直接使用活动主题或奖池名称，便于后续筛选和关联活动。</w:t>
      </w:r>
    </w:p>
    <w:p w14:paraId="5DF47F18">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：弹窗中的启用开关用于设置该配置保存后是否立即生效。若奖项尚未全部配置完成，建议先关闭启用状态再保存。</w:t>
      </w:r>
    </w:p>
    <w:p w14:paraId="110D31CC">
      <w:pPr>
        <w:pStyle w:val="16"/>
        <w:spacing w:after="60" w:line="276" w:lineRule="auto"/>
      </w:pPr>
      <w:r>
        <w:rPr>
          <w:rFonts w:ascii="微软雅黑" w:hAnsi="微软雅黑" w:eastAsia="微软雅黑"/>
          <w:b/>
          <w:color w:val="2F5597"/>
          <w:sz w:val="20"/>
        </w:rPr>
        <w:t>奖项配置</w:t>
      </w:r>
      <w:r>
        <w:rPr>
          <w:rFonts w:ascii="微软雅黑" w:hAnsi="微软雅黑" w:eastAsia="微软雅黑"/>
          <w:b w:val="0"/>
          <w:sz w:val="20"/>
        </w:rPr>
        <w:t>：奖项区域按行维护每个奖项，支持填写奖项名称、奖项标识、奖项类型、奖项数值和中奖概率。每一行都代表转盘上的一个独立奖项。</w:t>
      </w:r>
    </w:p>
    <w:p w14:paraId="12B03776">
      <w:pPr>
        <w:pStyle w:val="16"/>
        <w:spacing w:after="60" w:line="276" w:lineRule="auto"/>
      </w:pPr>
      <w:r>
        <w:rPr>
          <w:rFonts w:ascii="微软雅黑" w:hAnsi="微软雅黑" w:eastAsia="微软雅黑"/>
          <w:b/>
          <w:color w:val="2F5597"/>
          <w:sz w:val="20"/>
        </w:rPr>
        <w:t>奖项标识</w:t>
      </w:r>
      <w:r>
        <w:rPr>
          <w:rFonts w:ascii="微软雅黑" w:hAnsi="微软雅黑" w:eastAsia="微软雅黑"/>
          <w:b w:val="0"/>
          <w:sz w:val="20"/>
        </w:rPr>
        <w:t>：奖项标识用于系统识别具体奖项，建议保持唯一且与活动配置口径一致，避免后续派奖或统计时出现混淆。</w:t>
      </w:r>
    </w:p>
    <w:p w14:paraId="2760307A">
      <w:pPr>
        <w:pStyle w:val="16"/>
        <w:spacing w:after="60" w:line="276" w:lineRule="auto"/>
      </w:pPr>
      <w:r>
        <w:rPr>
          <w:rFonts w:ascii="微软雅黑" w:hAnsi="微软雅黑" w:eastAsia="微软雅黑"/>
          <w:b/>
          <w:color w:val="2F5597"/>
          <w:sz w:val="20"/>
        </w:rPr>
        <w:t>奖项类型与数值</w:t>
      </w:r>
      <w:r>
        <w:rPr>
          <w:rFonts w:ascii="微软雅黑" w:hAnsi="微软雅黑" w:eastAsia="微软雅黑"/>
          <w:b w:val="0"/>
          <w:sz w:val="20"/>
        </w:rPr>
        <w:t>：奖项类型决定奖励发放方式，奖项数值用于填写对应的奖励额度、数量或关联值。录入时应与实际奖励规则保持一致。</w:t>
      </w:r>
    </w:p>
    <w:p w14:paraId="77B8F566">
      <w:pPr>
        <w:pStyle w:val="16"/>
        <w:spacing w:after="60" w:line="276" w:lineRule="auto"/>
      </w:pPr>
      <w:r>
        <w:rPr>
          <w:rFonts w:ascii="微软雅黑" w:hAnsi="微软雅黑" w:eastAsia="微软雅黑"/>
          <w:b/>
          <w:color w:val="2F5597"/>
          <w:sz w:val="20"/>
        </w:rPr>
        <w:t>中奖概率</w:t>
      </w:r>
      <w:r>
        <w:rPr>
          <w:rFonts w:ascii="微软雅黑" w:hAnsi="微软雅黑" w:eastAsia="微软雅黑"/>
          <w:b w:val="0"/>
          <w:sz w:val="20"/>
        </w:rPr>
        <w:t>：中奖概率用于控制每个奖项的抽中权重。修改概率后应整体复核各奖项分布，避免出现总概率异常或高价值奖项权重设置错误。</w:t>
      </w:r>
    </w:p>
    <w:p w14:paraId="79275DA2">
      <w:pPr>
        <w:pStyle w:val="16"/>
        <w:spacing w:after="60" w:line="276" w:lineRule="auto"/>
      </w:pPr>
      <w:r>
        <w:rPr>
          <w:rFonts w:ascii="微软雅黑" w:hAnsi="微软雅黑" w:eastAsia="微软雅黑"/>
          <w:b/>
          <w:color w:val="2F5597"/>
          <w:sz w:val="20"/>
        </w:rPr>
        <w:t>奖项图标</w:t>
      </w:r>
      <w:r>
        <w:rPr>
          <w:rFonts w:ascii="微软雅黑" w:hAnsi="微软雅黑" w:eastAsia="微软雅黑"/>
          <w:b w:val="0"/>
          <w:sz w:val="20"/>
        </w:rPr>
        <w:t>：每个奖项都可上传图标，页面提示建议使用 80×80 或接近比例的 PNG、JPG、GIF 图片。上传前应确认图片清晰、内容与奖项名称一致。</w:t>
      </w:r>
    </w:p>
    <w:p w14:paraId="49A8DB56">
      <w:pPr>
        <w:pStyle w:val="16"/>
        <w:spacing w:after="60" w:line="276" w:lineRule="auto"/>
      </w:pPr>
      <w:r>
        <w:rPr>
          <w:rFonts w:ascii="微软雅黑" w:hAnsi="微软雅黑" w:eastAsia="微软雅黑"/>
          <w:b/>
          <w:color w:val="2F5597"/>
          <w:sz w:val="20"/>
        </w:rPr>
        <w:t>添加奖项</w:t>
      </w:r>
      <w:r>
        <w:rPr>
          <w:rFonts w:ascii="微软雅黑" w:hAnsi="微软雅黑" w:eastAsia="微软雅黑"/>
          <w:b w:val="0"/>
          <w:sz w:val="20"/>
        </w:rPr>
        <w:t>：点击“添加奖项”可继续增加奖项行。新增后应同步补全名称、类型、概率和图标，避免保存后出现空奖项。</w:t>
      </w:r>
    </w:p>
    <w:p w14:paraId="74B3239C">
      <w:pPr>
        <w:pStyle w:val="16"/>
        <w:spacing w:after="60" w:line="276" w:lineRule="auto"/>
      </w:pPr>
      <w:r>
        <w:rPr>
          <w:rFonts w:ascii="微软雅黑" w:hAnsi="微软雅黑" w:eastAsia="微软雅黑"/>
          <w:b/>
          <w:color w:val="2F5597"/>
          <w:sz w:val="20"/>
        </w:rPr>
        <w:t>描述</w:t>
      </w:r>
      <w:r>
        <w:rPr>
          <w:rFonts w:ascii="微软雅黑" w:hAnsi="微软雅黑" w:eastAsia="微软雅黑"/>
          <w:b w:val="0"/>
          <w:sz w:val="20"/>
        </w:rPr>
        <w:t>：描述字段用于补充转盘活动说明、使用场景或备注信息，便于运营人员后续识别该配置用途。</w:t>
      </w:r>
    </w:p>
    <w:p w14:paraId="638D470A">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：点击“确定”前，重点检查奖项数量是否完整、概率是否合理、图标是否上传成功，以及启用状态是否符合上线计划。</w:t>
      </w:r>
    </w:p>
    <w:p w14:paraId="2ED8F3F1">
      <w:pPr>
        <w:pStyle w:val="16"/>
        <w:spacing w:after="60" w:line="276" w:lineRule="auto"/>
      </w:pPr>
      <w:r>
        <w:rPr>
          <w:rFonts w:ascii="微软雅黑" w:hAnsi="微软雅黑" w:eastAsia="微软雅黑"/>
          <w:b/>
          <w:color w:val="2F5597"/>
          <w:sz w:val="20"/>
        </w:rPr>
        <w:t>取消与关闭</w:t>
      </w:r>
      <w:r>
        <w:rPr>
          <w:rFonts w:ascii="微软雅黑" w:hAnsi="微软雅黑" w:eastAsia="微软雅黑"/>
          <w:b w:val="0"/>
          <w:sz w:val="20"/>
        </w:rPr>
        <w:t>：点击“取消”或右上角关闭按钮会放弃当前未保存内容，适用于中止新增或重新整理奖项配置。</w:t>
      </w:r>
    </w:p>
    <w:p w14:paraId="4888D1C6">
      <w:pPr>
        <w:pStyle w:val="5"/>
        <w:keepNext/>
        <w:spacing w:before="180" w:after="100" w:line="259" w:lineRule="auto"/>
      </w:pPr>
      <w:r>
        <w:rPr>
          <w:rFonts w:ascii="微软雅黑" w:hAnsi="微软雅黑" w:eastAsia="微软雅黑"/>
          <w:b/>
          <w:color w:val="2F5597"/>
          <w:sz w:val="25"/>
        </w:rPr>
        <w:t>优惠数据报表</w:t>
      </w:r>
    </w:p>
    <w:p w14:paraId="1ADD44D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5EF8423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4ABF032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14F5B3AE">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票券中心</w:t>
      </w:r>
    </w:p>
    <w:p w14:paraId="3AC1D99A">
      <w:pPr>
        <w:spacing w:after="60" w:line="276" w:lineRule="auto"/>
      </w:pPr>
      <w:r>
        <w:rPr>
          <w:rFonts w:ascii="微软雅黑" w:hAnsi="微软雅黑" w:eastAsia="微软雅黑"/>
          <w:b w:val="0"/>
          <w:sz w:val="20"/>
        </w:rPr>
        <w:t>票券中心用于维护票券配置、发放状态和基础使用规则，适合运营人员统一管理金蛋、随机红包、优惠百分比等票券模板，并按业务需要随时新增、停发或恢复。</w:t>
      </w:r>
    </w:p>
    <w:p w14:paraId="7BBCBBBC">
      <w:pPr>
        <w:spacing w:after="40"/>
        <w:jc w:val="center"/>
      </w:pPr>
      <w:r>
        <w:drawing>
          <wp:inline distT="0" distB="0" distL="114300" distR="114300">
            <wp:extent cx="5897880" cy="1039495"/>
            <wp:effectExtent l="0" t="0" r="7620" b="82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56"/>
                    <a:stretch>
                      <a:fillRect/>
                    </a:stretch>
                  </pic:blipFill>
                  <pic:spPr>
                    <a:xfrm>
                      <a:off x="0" y="0"/>
                      <a:ext cx="5897880" cy="1039973"/>
                    </a:xfrm>
                    <a:prstGeom prst="rect">
                      <a:avLst/>
                    </a:prstGeom>
                  </pic:spPr>
                </pic:pic>
              </a:graphicData>
            </a:graphic>
          </wp:inline>
        </w:drawing>
      </w:r>
    </w:p>
    <w:p w14:paraId="0D6E36DE">
      <w:pPr>
        <w:pStyle w:val="15"/>
        <w:spacing w:after="120"/>
        <w:jc w:val="center"/>
      </w:pPr>
      <w:r>
        <w:rPr>
          <w:rFonts w:ascii="微软雅黑" w:hAnsi="微软雅黑" w:eastAsia="微软雅黑"/>
          <w:b w:val="0"/>
          <w:color w:val="707E92"/>
          <w:sz w:val="18"/>
        </w:rPr>
        <w:t>图：票券中心列表页，用于查询票券配置、查看派发与使用情况，并执行停发、恢复正常、修改等操作。</w:t>
      </w:r>
    </w:p>
    <w:p w14:paraId="5DA886D2">
      <w:pPr>
        <w:pStyle w:val="16"/>
        <w:spacing w:after="60" w:line="276" w:lineRule="auto"/>
      </w:pPr>
      <w:r>
        <w:rPr>
          <w:rFonts w:ascii="微软雅黑" w:hAnsi="微软雅黑" w:eastAsia="微软雅黑"/>
          <w:b/>
          <w:color w:val="2F5597"/>
          <w:sz w:val="20"/>
        </w:rPr>
        <w:t>搜索区</w:t>
      </w:r>
      <w:r>
        <w:rPr>
          <w:rFonts w:ascii="微软雅黑" w:hAnsi="微软雅黑" w:eastAsia="微软雅黑"/>
          <w:b w:val="0"/>
          <w:sz w:val="20"/>
        </w:rPr>
        <w:t>：页面顶部支持按票券名称搜索，并提供重置与新增配置入口，适合在票券数量较多时快速定位目标配置。</w:t>
      </w:r>
    </w:p>
    <w:p w14:paraId="67C0F98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 ID、票券类型、票券名称、有效期、已派发数量、已使用数量、创建时间和状态，便于同步核对配置内容与实际使用情况。</w:t>
      </w:r>
    </w:p>
    <w:p w14:paraId="4F000416">
      <w:pPr>
        <w:pStyle w:val="16"/>
        <w:spacing w:after="60" w:line="276" w:lineRule="auto"/>
      </w:pPr>
      <w:r>
        <w:rPr>
          <w:rFonts w:ascii="微软雅黑" w:hAnsi="微软雅黑" w:eastAsia="微软雅黑"/>
          <w:b/>
          <w:color w:val="2F5597"/>
          <w:sz w:val="20"/>
        </w:rPr>
        <w:t>状态管理</w:t>
      </w:r>
      <w:r>
        <w:rPr>
          <w:rFonts w:ascii="微软雅黑" w:hAnsi="微软雅黑" w:eastAsia="微软雅黑"/>
          <w:b w:val="0"/>
          <w:sz w:val="20"/>
        </w:rPr>
        <w:t>：已启用票券可执行停发，停发后可恢复正常；操作前应确认是否还有前台活动、任务或派奖流程继续引用该票券。</w:t>
      </w:r>
    </w:p>
    <w:p w14:paraId="1BCECAE7">
      <w:pPr>
        <w:pStyle w:val="16"/>
        <w:spacing w:after="60" w:line="276" w:lineRule="auto"/>
      </w:pPr>
      <w:r>
        <w:rPr>
          <w:rFonts w:ascii="微软雅黑" w:hAnsi="微软雅黑" w:eastAsia="微软雅黑"/>
          <w:b/>
          <w:color w:val="2F5597"/>
          <w:sz w:val="20"/>
        </w:rPr>
        <w:t>派发与使用数量</w:t>
      </w:r>
      <w:r>
        <w:rPr>
          <w:rFonts w:ascii="微软雅黑" w:hAnsi="微软雅黑" w:eastAsia="微软雅黑"/>
          <w:b w:val="0"/>
          <w:sz w:val="20"/>
        </w:rPr>
        <w:t>：已派发数量用于观察当前票券投放规模，已使用数量用于判断核销消耗情况。活动复盘时可与票券使用记录联动查看。</w:t>
      </w:r>
    </w:p>
    <w:p w14:paraId="3AEE0870">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：点击修改进入编辑态，可调整票券名称、使用须知、金额流水规则、有效期和启用状态。修改前需确认不会影响正在发放中的奖励口径。</w:t>
      </w:r>
    </w:p>
    <w:p w14:paraId="677D0E03">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：只有停发状态的票券才提供删除操作。删除前应确认该票券不再被活动、任务或历史派奖流程引用，避免后续查询缺少依据。</w:t>
      </w:r>
    </w:p>
    <w:p w14:paraId="1D3B0FB2">
      <w:pPr>
        <w:spacing w:after="40"/>
        <w:jc w:val="center"/>
      </w:pPr>
      <w:r>
        <w:drawing>
          <wp:inline distT="0" distB="0" distL="114300" distR="114300">
            <wp:extent cx="5257800" cy="4653915"/>
            <wp:effectExtent l="0" t="0" r="0" b="133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57"/>
                    <a:stretch>
                      <a:fillRect/>
                    </a:stretch>
                  </pic:blipFill>
                  <pic:spPr>
                    <a:xfrm>
                      <a:off x="0" y="0"/>
                      <a:ext cx="5257800" cy="4654033"/>
                    </a:xfrm>
                    <a:prstGeom prst="rect">
                      <a:avLst/>
                    </a:prstGeom>
                  </pic:spPr>
                </pic:pic>
              </a:graphicData>
            </a:graphic>
          </wp:inline>
        </w:drawing>
      </w:r>
    </w:p>
    <w:p w14:paraId="1E73A71A">
      <w:pPr>
        <w:pStyle w:val="15"/>
        <w:spacing w:after="120"/>
        <w:jc w:val="center"/>
      </w:pPr>
      <w:r>
        <w:rPr>
          <w:rFonts w:ascii="微软雅黑" w:hAnsi="微软雅黑" w:eastAsia="微软雅黑"/>
          <w:b w:val="0"/>
          <w:color w:val="707E92"/>
          <w:sz w:val="18"/>
        </w:rPr>
        <w:t>图：新增票券配置弹窗，用于填写票券类型、票券信息、金额流水规则、有效期和启用状态。</w:t>
      </w:r>
    </w:p>
    <w:p w14:paraId="68C733FC">
      <w:pPr>
        <w:pStyle w:val="16"/>
        <w:spacing w:after="60" w:line="276" w:lineRule="auto"/>
      </w:pPr>
      <w:r>
        <w:rPr>
          <w:rFonts w:ascii="微软雅黑" w:hAnsi="微软雅黑" w:eastAsia="微软雅黑"/>
          <w:b/>
          <w:color w:val="2F5597"/>
          <w:sz w:val="20"/>
        </w:rPr>
        <w:t>票券类型</w:t>
      </w:r>
      <w:r>
        <w:rPr>
          <w:rFonts w:ascii="微软雅黑" w:hAnsi="微软雅黑" w:eastAsia="微软雅黑"/>
          <w:b w:val="0"/>
          <w:sz w:val="20"/>
        </w:rPr>
        <w:t>：支持优惠百分比、随机红包和金蛋三种类型。应先选择类型，再继续填写对应金额规则，避免后续字段口径不一致。</w:t>
      </w:r>
    </w:p>
    <w:p w14:paraId="78247AA8">
      <w:pPr>
        <w:pStyle w:val="16"/>
        <w:spacing w:after="60" w:line="276" w:lineRule="auto"/>
      </w:pPr>
      <w:r>
        <w:rPr>
          <w:rFonts w:ascii="微软雅黑" w:hAnsi="微软雅黑" w:eastAsia="微软雅黑"/>
          <w:b/>
          <w:color w:val="2F5597"/>
          <w:sz w:val="20"/>
        </w:rPr>
        <w:t>票券名称</w:t>
      </w:r>
      <w:r>
        <w:rPr>
          <w:rFonts w:ascii="微软雅黑" w:hAnsi="微软雅黑" w:eastAsia="微软雅黑"/>
          <w:b w:val="0"/>
          <w:sz w:val="20"/>
        </w:rPr>
        <w:t>：用于后台识别和前台展示，建议命名清晰并带上活动主题或适用场景，方便后续搜索与复盘。</w:t>
      </w:r>
    </w:p>
    <w:p w14:paraId="562C826C">
      <w:pPr>
        <w:pStyle w:val="16"/>
        <w:spacing w:after="60" w:line="276" w:lineRule="auto"/>
      </w:pPr>
      <w:r>
        <w:rPr>
          <w:rFonts w:ascii="微软雅黑" w:hAnsi="微软雅黑" w:eastAsia="微软雅黑"/>
          <w:b/>
          <w:color w:val="2F5597"/>
          <w:sz w:val="20"/>
        </w:rPr>
        <w:t>使用须知</w:t>
      </w:r>
      <w:r>
        <w:rPr>
          <w:rFonts w:ascii="微软雅黑" w:hAnsi="微软雅黑" w:eastAsia="微软雅黑"/>
          <w:b w:val="0"/>
          <w:sz w:val="20"/>
        </w:rPr>
        <w:t>：用于填写票券使用规则、领取条件、有效期说明和失效条件。文案应尽量覆盖玩家最关心的使用限制。</w:t>
      </w:r>
    </w:p>
    <w:p w14:paraId="08FB000C">
      <w:pPr>
        <w:pStyle w:val="16"/>
        <w:spacing w:after="60" w:line="276" w:lineRule="auto"/>
      </w:pPr>
      <w:r>
        <w:rPr>
          <w:rFonts w:ascii="微软雅黑" w:hAnsi="微软雅黑" w:eastAsia="微软雅黑"/>
          <w:b/>
          <w:color w:val="2F5597"/>
          <w:sz w:val="20"/>
        </w:rPr>
        <w:t>票券图片</w:t>
      </w:r>
      <w:r>
        <w:rPr>
          <w:rFonts w:ascii="微软雅黑" w:hAnsi="微软雅黑" w:eastAsia="微软雅黑"/>
          <w:b w:val="0"/>
          <w:sz w:val="20"/>
        </w:rPr>
        <w:t>：上传票券图标时需按页面要求控制在 64×64 或等比例，并校验格式和大小，避免前台卡片展示失真。</w:t>
      </w:r>
    </w:p>
    <w:p w14:paraId="033193D6">
      <w:pPr>
        <w:pStyle w:val="16"/>
        <w:spacing w:after="60" w:line="276" w:lineRule="auto"/>
      </w:pPr>
      <w:r>
        <w:rPr>
          <w:rFonts w:ascii="微软雅黑" w:hAnsi="微软雅黑" w:eastAsia="微软雅黑"/>
          <w:b/>
          <w:color w:val="2F5597"/>
          <w:sz w:val="20"/>
        </w:rPr>
        <w:t>设置金额及流水</w:t>
      </w:r>
      <w:r>
        <w:rPr>
          <w:rFonts w:ascii="微软雅黑" w:hAnsi="微软雅黑" w:eastAsia="微软雅黑"/>
          <w:b w:val="0"/>
          <w:sz w:val="20"/>
        </w:rPr>
        <w:t>：不同票券类型对应不同配置区域。优惠百分比需要填写优惠值和打码量倍数；随机红包和金蛋需要配置稽核倍数及概率规则。</w:t>
      </w:r>
    </w:p>
    <w:p w14:paraId="4894DB97">
      <w:pPr>
        <w:pStyle w:val="16"/>
        <w:spacing w:after="60" w:line="276" w:lineRule="auto"/>
      </w:pPr>
      <w:r>
        <w:rPr>
          <w:rFonts w:ascii="微软雅黑" w:hAnsi="微软雅黑" w:eastAsia="微软雅黑"/>
          <w:b/>
          <w:color w:val="2F5597"/>
          <w:sz w:val="20"/>
        </w:rPr>
        <w:t>概率规则</w:t>
      </w:r>
      <w:r>
        <w:rPr>
          <w:rFonts w:ascii="微软雅黑" w:hAnsi="微软雅黑" w:eastAsia="微软雅黑"/>
          <w:b w:val="0"/>
          <w:sz w:val="20"/>
        </w:rPr>
        <w:t>：随机红包和金蛋配置中需维护金额区间或奖励金额与中奖概率。提交前应检查单项概率与总概率口径，避免派奖异常。</w:t>
      </w:r>
    </w:p>
    <w:p w14:paraId="302BCA97">
      <w:pPr>
        <w:pStyle w:val="16"/>
        <w:spacing w:after="60" w:line="276" w:lineRule="auto"/>
      </w:pPr>
      <w:r>
        <w:rPr>
          <w:rFonts w:ascii="微软雅黑" w:hAnsi="微软雅黑" w:eastAsia="微软雅黑"/>
          <w:b/>
          <w:color w:val="2F5597"/>
          <w:sz w:val="20"/>
        </w:rPr>
        <w:t>有效期</w:t>
      </w:r>
      <w:r>
        <w:rPr>
          <w:rFonts w:ascii="微软雅黑" w:hAnsi="微软雅黑" w:eastAsia="微软雅黑"/>
          <w:b w:val="0"/>
          <w:sz w:val="20"/>
        </w:rPr>
        <w:t>：支持长期有效和领取票券后生效两类方式。选择领取票券后时，应同步明确生效时点和失效时长。</w:t>
      </w:r>
    </w:p>
    <w:p w14:paraId="3A2FA0DD">
      <w:pPr>
        <w:pStyle w:val="16"/>
        <w:spacing w:after="60" w:line="276" w:lineRule="auto"/>
      </w:pPr>
      <w:r>
        <w:rPr>
          <w:rFonts w:ascii="微软雅黑" w:hAnsi="微软雅黑" w:eastAsia="微软雅黑"/>
          <w:b/>
          <w:color w:val="2F5597"/>
          <w:sz w:val="20"/>
        </w:rPr>
        <w:t>充值限制</w:t>
      </w:r>
      <w:r>
        <w:rPr>
          <w:rFonts w:ascii="微软雅黑" w:hAnsi="微软雅黑" w:eastAsia="微软雅黑"/>
          <w:b w:val="0"/>
          <w:sz w:val="20"/>
        </w:rPr>
        <w:t>：可限制领取或使用票券时的充值金额门槛，适合用于充值类优惠券或高门槛奖励。</w:t>
      </w:r>
    </w:p>
    <w:p w14:paraId="24D66675">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：新增时可直接设置启用状态。若配置尚未核对完成，建议先关闭，待活动排期确认后再启用。</w:t>
      </w:r>
    </w:p>
    <w:p w14:paraId="3EE55E8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：点击确定保存当前票券配置；点击取消或关闭弹窗会放弃未保存内容。正式提交前建议复核名称、规则、概率和限制条件。</w:t>
      </w:r>
    </w:p>
    <w:p w14:paraId="06B5E40D">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票券使用记录</w:t>
      </w:r>
    </w:p>
    <w:p w14:paraId="0EB4266D">
      <w:pPr>
        <w:spacing w:after="60" w:line="276" w:lineRule="auto"/>
      </w:pPr>
      <w:r>
        <w:rPr>
          <w:rFonts w:ascii="微软雅黑" w:hAnsi="微软雅黑" w:eastAsia="微软雅黑"/>
          <w:b w:val="0"/>
          <w:sz w:val="20"/>
        </w:rPr>
        <w:t>票券使用记录用于查询玩家票券从派发到核销的完整使用明细，适合运营、客服和风控人员按用户、票券类型和状态追踪奖励去向。</w:t>
      </w:r>
    </w:p>
    <w:p w14:paraId="1E56B215">
      <w:pPr>
        <w:spacing w:after="40"/>
        <w:jc w:val="center"/>
      </w:pPr>
      <w:r>
        <w:drawing>
          <wp:inline distT="0" distB="0" distL="114300" distR="114300">
            <wp:extent cx="5897880" cy="2654300"/>
            <wp:effectExtent l="0" t="0" r="7620" b="1270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58"/>
                    <a:stretch>
                      <a:fillRect/>
                    </a:stretch>
                  </pic:blipFill>
                  <pic:spPr>
                    <a:xfrm>
                      <a:off x="0" y="0"/>
                      <a:ext cx="5897880" cy="2654755"/>
                    </a:xfrm>
                    <a:prstGeom prst="rect">
                      <a:avLst/>
                    </a:prstGeom>
                  </pic:spPr>
                </pic:pic>
              </a:graphicData>
            </a:graphic>
          </wp:inline>
        </w:drawing>
      </w:r>
    </w:p>
    <w:p w14:paraId="7DD4ACF5">
      <w:pPr>
        <w:pStyle w:val="15"/>
        <w:spacing w:after="120"/>
        <w:jc w:val="center"/>
      </w:pPr>
      <w:r>
        <w:rPr>
          <w:rFonts w:ascii="微软雅黑" w:hAnsi="微软雅黑" w:eastAsia="微软雅黑"/>
          <w:b w:val="0"/>
          <w:color w:val="707E92"/>
          <w:sz w:val="18"/>
        </w:rPr>
        <w:t>图：票券使用记录页面，用于筛选票券明细并核对派发时间、使用时间、票券类型和当前状态。</w:t>
      </w:r>
    </w:p>
    <w:p w14:paraId="003652B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：页面顶部支持按用户 ID、票券 ID、票券类型和状态组合筛选，适合快速定位某一张票券或某一位用户的奖励记录。</w:t>
      </w:r>
    </w:p>
    <w:p w14:paraId="73758F6E">
      <w:pPr>
        <w:pStyle w:val="16"/>
        <w:spacing w:after="60" w:line="276" w:lineRule="auto"/>
      </w:pPr>
      <w:r>
        <w:rPr>
          <w:rFonts w:ascii="微软雅黑" w:hAnsi="微软雅黑" w:eastAsia="微软雅黑"/>
          <w:b/>
          <w:color w:val="2F5597"/>
          <w:sz w:val="20"/>
        </w:rPr>
        <w:t>时间字段</w:t>
      </w:r>
      <w:r>
        <w:rPr>
          <w:rFonts w:ascii="微软雅黑" w:hAnsi="微软雅黑" w:eastAsia="微软雅黑"/>
          <w:b w:val="0"/>
          <w:sz w:val="20"/>
        </w:rPr>
        <w:t>：派发时间用于确认票券发放时间点，使用时间用于确认实际核销或使用时间。处理客诉时建议两个时间一起核对。</w:t>
      </w:r>
    </w:p>
    <w:p w14:paraId="315F2D3D">
      <w:pPr>
        <w:pStyle w:val="16"/>
        <w:spacing w:after="60" w:line="276" w:lineRule="auto"/>
      </w:pPr>
      <w:r>
        <w:rPr>
          <w:rFonts w:ascii="微软雅黑" w:hAnsi="微软雅黑" w:eastAsia="微软雅黑"/>
          <w:b/>
          <w:color w:val="2F5597"/>
          <w:sz w:val="20"/>
        </w:rPr>
        <w:t>用户信息</w:t>
      </w:r>
      <w:r>
        <w:rPr>
          <w:rFonts w:ascii="微软雅黑" w:hAnsi="微软雅黑" w:eastAsia="微软雅黑"/>
          <w:b w:val="0"/>
          <w:sz w:val="20"/>
        </w:rPr>
        <w:t>：用户 ID 与用户名用于定位具体玩家，便于继续联查会员资料、账变记录、活动记录或客服处理记录。</w:t>
      </w:r>
    </w:p>
    <w:p w14:paraId="5C07A857">
      <w:pPr>
        <w:pStyle w:val="16"/>
        <w:spacing w:after="60" w:line="276" w:lineRule="auto"/>
      </w:pPr>
      <w:r>
        <w:rPr>
          <w:rFonts w:ascii="微软雅黑" w:hAnsi="微软雅黑" w:eastAsia="微软雅黑"/>
          <w:b/>
          <w:color w:val="2F5597"/>
          <w:sz w:val="20"/>
        </w:rPr>
        <w:t>票券名称与类型</w:t>
      </w:r>
      <w:r>
        <w:rPr>
          <w:rFonts w:ascii="微软雅黑" w:hAnsi="微软雅黑" w:eastAsia="微软雅黑"/>
          <w:b w:val="0"/>
          <w:sz w:val="20"/>
        </w:rPr>
        <w:t>：票券名称用于识别具体活动或奖励来源，票券类型用于区分金蛋、随机红包、充值优惠券等配置类别。</w:t>
      </w:r>
    </w:p>
    <w:p w14:paraId="743F954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：当前页面主要展示待核销与已核销状态。待核销表示票券已发放但尚未完成使用，已核销表示票券已被消耗或完成兑换。</w:t>
      </w:r>
    </w:p>
    <w:p w14:paraId="24FF84A3">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：底部支持页码跳转和每页条数切换，记录较多时可分批查看，避免遗漏早期派发数据。</w:t>
      </w:r>
    </w:p>
    <w:p w14:paraId="2B5AAB0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：排查奖励未到账、重复领取或票券失效问题时，建议结合票券中心配置、活动规则和账变记录交叉核对。</w:t>
      </w:r>
    </w:p>
    <w:p w14:paraId="211BE088">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全局配置</w:t>
      </w:r>
    </w:p>
    <w:p w14:paraId="5A15B9BB">
      <w:pPr>
        <w:spacing w:after="60" w:line="276" w:lineRule="auto"/>
      </w:pPr>
      <w:r>
        <w:rPr>
          <w:rFonts w:ascii="微软雅黑" w:hAnsi="微软雅黑" w:eastAsia="微软雅黑"/>
          <w:b w:val="0"/>
          <w:sz w:val="20"/>
        </w:rPr>
        <w:t>全局配置用于维护优惠活动的统一限制规则。当前页面只有“免费奖励领取限制”卡片，适合在活动派奖前统一控制免费奖励的领取门槛。</w:t>
      </w:r>
    </w:p>
    <w:p w14:paraId="30E7BF1F">
      <w:pPr>
        <w:spacing w:after="40"/>
        <w:jc w:val="center"/>
      </w:pPr>
      <w:r>
        <w:drawing>
          <wp:inline distT="0" distB="0" distL="114300" distR="114300">
            <wp:extent cx="5669280" cy="2581275"/>
            <wp:effectExtent l="0" t="0" r="762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59"/>
                    <a:stretch>
                      <a:fillRect/>
                    </a:stretch>
                  </pic:blipFill>
                  <pic:spPr>
                    <a:xfrm>
                      <a:off x="0" y="0"/>
                      <a:ext cx="5669280" cy="2581401"/>
                    </a:xfrm>
                    <a:prstGeom prst="rect">
                      <a:avLst/>
                    </a:prstGeom>
                  </pic:spPr>
                </pic:pic>
              </a:graphicData>
            </a:graphic>
          </wp:inline>
        </w:drawing>
      </w:r>
    </w:p>
    <w:p w14:paraId="5E728840">
      <w:pPr>
        <w:pStyle w:val="15"/>
        <w:spacing w:after="120"/>
        <w:jc w:val="center"/>
      </w:pPr>
      <w:r>
        <w:rPr>
          <w:rFonts w:ascii="微软雅黑" w:hAnsi="微软雅黑" w:eastAsia="微软雅黑"/>
          <w:b w:val="0"/>
          <w:color w:val="707E92"/>
          <w:sz w:val="18"/>
        </w:rPr>
        <w:t>图：全局配置页面，当前仅包含“免费奖励领取限制”卡片，用于设置用户余额门槛和启用状态。</w:t>
      </w:r>
    </w:p>
    <w:p w14:paraId="33699B23">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：通过开关控制免费奖励领取限制是否生效。启用后，系统会按当前限制条件统一拦截符合条件的奖励领取。</w:t>
      </w:r>
    </w:p>
    <w:p w14:paraId="2BBED6D4">
      <w:pPr>
        <w:pStyle w:val="16"/>
        <w:spacing w:after="60" w:line="276" w:lineRule="auto"/>
      </w:pPr>
      <w:r>
        <w:rPr>
          <w:rFonts w:ascii="微软雅黑" w:hAnsi="微软雅黑" w:eastAsia="微软雅黑"/>
          <w:b/>
          <w:color w:val="2F5597"/>
          <w:sz w:val="20"/>
        </w:rPr>
        <w:t>领取限制</w:t>
      </w:r>
      <w:r>
        <w:rPr>
          <w:rFonts w:ascii="微软雅黑" w:hAnsi="微软雅黑" w:eastAsia="微软雅黑"/>
          <w:b w:val="0"/>
          <w:sz w:val="20"/>
        </w:rPr>
        <w:t>：页面支持设置用户余额阈值。当用户余额高于设定值时，不允许领取免费奖励。调整该数值前应先确认活动策略和用户分层方案。</w:t>
      </w:r>
    </w:p>
    <w:p w14:paraId="05DC6868">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：该限制会影响除充值直送活动以外的系统赠送类活动、任务奖励和代理佣金领取，因此保存前需同步评估运营侧与代理侧影响。</w:t>
      </w:r>
    </w:p>
    <w:p w14:paraId="30FFE9E9">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：修改开关或限制值后点击保存生效。上线前建议先确认公告口径、活动说明和客服话术，避免玩家因规则变化产生疑问。</w:t>
      </w:r>
    </w:p>
    <w:p w14:paraId="7E1C573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：当站点需要限制高余额用户继续领取免费福利时，可优先使用该卡片统一控制；调整后应关注相关活动领取数据是否出现明显波动。</w:t>
      </w:r>
    </w:p>
    <w:p w14:paraId="033F0063">
      <w:pPr>
        <w:pStyle w:val="3"/>
        <w:keepNext/>
        <w:spacing w:before="360" w:after="240" w:line="276" w:lineRule="auto"/>
      </w:pPr>
      <w:r>
        <w:rPr>
          <w:rFonts w:ascii="微软雅黑" w:hAnsi="微软雅黑" w:eastAsia="微软雅黑"/>
          <w:b/>
          <w:color w:val="17365D"/>
          <w:sz w:val="40"/>
        </w:rPr>
        <w:t>七、财务中心</w:t>
      </w:r>
    </w:p>
    <w:p w14:paraId="3CB29151">
      <w:pPr>
        <w:pStyle w:val="4"/>
        <w:keepNext/>
        <w:spacing w:before="240" w:after="140" w:line="269" w:lineRule="auto"/>
      </w:pPr>
      <w:r>
        <w:rPr>
          <w:rFonts w:ascii="微软雅黑" w:hAnsi="微软雅黑" w:eastAsia="微软雅黑"/>
          <w:b/>
          <w:color w:val="1F4E79"/>
          <w:sz w:val="30"/>
        </w:rPr>
        <w:t>模块定位</w:t>
      </w:r>
    </w:p>
    <w:p w14:paraId="747616E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1ECDFC1">
      <w:pPr>
        <w:pStyle w:val="4"/>
        <w:keepNext/>
        <w:spacing w:before="240" w:after="140" w:line="269" w:lineRule="auto"/>
      </w:pPr>
      <w:r>
        <w:rPr>
          <w:rFonts w:ascii="微软雅黑" w:hAnsi="微软雅黑" w:eastAsia="微软雅黑"/>
          <w:b/>
          <w:color w:val="1F4E79"/>
          <w:sz w:val="30"/>
        </w:rPr>
        <w:t>页面说明</w:t>
      </w:r>
    </w:p>
    <w:p w14:paraId="3EECD788">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会员提现设置</w:t>
      </w:r>
    </w:p>
    <w:p w14:paraId="049A0089">
      <w:pPr>
        <w:spacing w:after="60" w:line="276" w:lineRule="auto"/>
      </w:pPr>
      <w:r>
        <w:rPr>
          <w:rFonts w:ascii="微软雅黑" w:hAnsi="微软雅黑" w:eastAsia="微软雅黑"/>
          <w:b w:val="0"/>
          <w:sz w:val="20"/>
        </w:rPr>
        <w:t>会员提现设置用于统一维护在线提现通道、自动出款条件、提现审核参数和 VIP 分层限制。日常维护时可先查看主表，再按业务需要进入修改、免审自动出款、提现参数设置和 VIP 提现限制设置等弹窗分别调整。</w:t>
      </w:r>
    </w:p>
    <w:p w14:paraId="5097EDCE">
      <w:pPr>
        <w:pStyle w:val="6"/>
        <w:spacing w:after="60" w:line="276" w:lineRule="auto"/>
      </w:pPr>
      <w:r>
        <w:rPr>
          <w:rFonts w:ascii="微软雅黑" w:hAnsi="微软雅黑" w:eastAsia="微软雅黑"/>
          <w:b/>
          <w:i/>
          <w:color w:val="2F5597"/>
          <w:sz w:val="21"/>
        </w:rPr>
        <w:t>在线提现设置</w:t>
      </w:r>
    </w:p>
    <w:p w14:paraId="14D64496">
      <w:pPr>
        <w:spacing w:after="60" w:line="276" w:lineRule="auto"/>
      </w:pPr>
      <w:r>
        <w:rPr>
          <w:rFonts w:ascii="微软雅黑" w:hAnsi="微软雅黑" w:eastAsia="微软雅黑"/>
          <w:b w:val="0"/>
          <w:sz w:val="20"/>
        </w:rPr>
        <w:t>在线提现设置页面用于集中管理各提现方式的启停状态、手续费口径和限额范围，是日常核对提现通道配置的主要入口。</w:t>
      </w:r>
    </w:p>
    <w:p w14:paraId="088278BA">
      <w:pPr>
        <w:spacing w:after="40"/>
        <w:jc w:val="center"/>
      </w:pPr>
      <w:r>
        <w:drawing>
          <wp:inline distT="0" distB="0" distL="114300" distR="114300">
            <wp:extent cx="5852160" cy="1852930"/>
            <wp:effectExtent l="0" t="0" r="15240" b="1397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a:picLocks noChangeAspect="1"/>
                    </pic:cNvPicPr>
                  </pic:nvPicPr>
                  <pic:blipFill>
                    <a:blip r:embed="rId60"/>
                    <a:stretch>
                      <a:fillRect/>
                    </a:stretch>
                  </pic:blipFill>
                  <pic:spPr>
                    <a:xfrm>
                      <a:off x="0" y="0"/>
                      <a:ext cx="5852160" cy="1853419"/>
                    </a:xfrm>
                    <a:prstGeom prst="rect">
                      <a:avLst/>
                    </a:prstGeom>
                  </pic:spPr>
                </pic:pic>
              </a:graphicData>
            </a:graphic>
          </wp:inline>
        </w:drawing>
      </w:r>
    </w:p>
    <w:p w14:paraId="5248A0CA">
      <w:pPr>
        <w:pStyle w:val="15"/>
        <w:spacing w:after="120"/>
        <w:jc w:val="center"/>
      </w:pPr>
      <w:r>
        <w:rPr>
          <w:rFonts w:ascii="微软雅黑" w:hAnsi="微软雅黑" w:eastAsia="微软雅黑"/>
          <w:b w:val="0"/>
          <w:color w:val="707E92"/>
          <w:sz w:val="18"/>
        </w:rPr>
        <w:t>图：在线提现设置主表，用于查看各支付方式的提现规则、手续费和通道启用状态。</w:t>
      </w:r>
    </w:p>
    <w:p w14:paraId="4AA1B93A">
      <w:pPr>
        <w:pStyle w:val="16"/>
        <w:spacing w:after="60" w:line="276" w:lineRule="auto"/>
      </w:pPr>
      <w:r>
        <w:rPr>
          <w:rFonts w:ascii="微软雅黑" w:hAnsi="微软雅黑" w:eastAsia="微软雅黑"/>
          <w:b/>
          <w:color w:val="2F5597"/>
          <w:sz w:val="20"/>
        </w:rPr>
        <w:t>通道状态</w:t>
      </w:r>
      <w:r>
        <w:rPr>
          <w:rFonts w:ascii="微软雅黑" w:hAnsi="微软雅黑" w:eastAsia="微软雅黑"/>
          <w:b w:val="0"/>
          <w:sz w:val="20"/>
        </w:rPr>
        <w:t>：页面主表可直接查看各提现方式是否开通通道。关闭通道后，对应支付方式将不再用于前台在线提现；调整前应先确认该通道是否仍有存量订单或特殊业务场景在使用。</w:t>
      </w:r>
    </w:p>
    <w:p w14:paraId="19939446">
      <w:pPr>
        <w:pStyle w:val="16"/>
        <w:spacing w:after="60" w:line="276" w:lineRule="auto"/>
      </w:pPr>
      <w:r>
        <w:rPr>
          <w:rFonts w:ascii="微软雅黑" w:hAnsi="微软雅黑" w:eastAsia="微软雅黑"/>
          <w:b/>
          <w:color w:val="2F5597"/>
          <w:sz w:val="20"/>
        </w:rPr>
        <w:t>手续费规则</w:t>
      </w:r>
      <w:r>
        <w:rPr>
          <w:rFonts w:ascii="微软雅黑" w:hAnsi="微软雅黑" w:eastAsia="微软雅黑"/>
          <w:b w:val="0"/>
          <w:sz w:val="20"/>
        </w:rPr>
        <w:t>：页面支持查看百分比手续费、固定手续费和最小手续费金额。修改手续费前应先确认当前提现成本、活动补贴方案和前台展示口径，避免出现到账金额与预期不一致的情况。</w:t>
      </w:r>
    </w:p>
    <w:p w14:paraId="73DE58A4">
      <w:pPr>
        <w:pStyle w:val="16"/>
        <w:spacing w:after="60" w:line="276" w:lineRule="auto"/>
      </w:pPr>
      <w:r>
        <w:rPr>
          <w:rFonts w:ascii="微软雅黑" w:hAnsi="微软雅黑" w:eastAsia="微软雅黑"/>
          <w:b/>
          <w:color w:val="2F5597"/>
          <w:sz w:val="20"/>
        </w:rPr>
        <w:t>提现限额</w:t>
      </w:r>
      <w:r>
        <w:rPr>
          <w:rFonts w:ascii="微软雅黑" w:hAnsi="微软雅黑" w:eastAsia="微软雅黑"/>
          <w:b w:val="0"/>
          <w:sz w:val="20"/>
        </w:rPr>
        <w:t>：页面可查看单笔提现限额配置。调整限额时应同步核对风控审核口径和财务出款能力，避免前台可申请但后台无法正常处理。</w:t>
      </w:r>
    </w:p>
    <w:p w14:paraId="4D0631B1">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：页面顶部可进入“免审自动出款”“提现参数设置”“VIP提现限制设置”等功能区域；如需调整单个提现方式，则在对应行点击“修改”进入明细维护。</w:t>
      </w:r>
    </w:p>
    <w:p w14:paraId="1D154CE5">
      <w:pPr>
        <w:pStyle w:val="6"/>
        <w:spacing w:after="60" w:line="276" w:lineRule="auto"/>
      </w:pPr>
      <w:r>
        <w:rPr>
          <w:rFonts w:ascii="微软雅黑" w:hAnsi="微软雅黑" w:eastAsia="微软雅黑"/>
          <w:b/>
          <w:i/>
          <w:color w:val="2F5597"/>
          <w:sz w:val="21"/>
        </w:rPr>
        <w:t>修改</w:t>
      </w:r>
    </w:p>
    <w:p w14:paraId="4AB4C604">
      <w:pPr>
        <w:spacing w:after="60" w:line="276" w:lineRule="auto"/>
      </w:pPr>
      <w:r>
        <w:rPr>
          <w:rFonts w:ascii="微软雅黑" w:hAnsi="微软雅黑" w:eastAsia="微软雅黑"/>
          <w:b w:val="0"/>
          <w:sz w:val="20"/>
        </w:rPr>
        <w:t>修改弹窗用于单独调整当前提现方式的基础配置，适合在不影响其他通道的前提下维护手续费、限额和展示信息。</w:t>
      </w:r>
    </w:p>
    <w:p w14:paraId="7B8FE9F1">
      <w:pPr>
        <w:spacing w:after="40"/>
        <w:jc w:val="center"/>
      </w:pPr>
      <w:r>
        <w:drawing>
          <wp:inline distT="0" distB="0" distL="114300" distR="114300">
            <wp:extent cx="4199255" cy="6165215"/>
            <wp:effectExtent l="0" t="0" r="10795" b="698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a:picLocks noChangeAspect="1"/>
                    </pic:cNvPicPr>
                  </pic:nvPicPr>
                  <pic:blipFill>
                    <a:blip r:embed="rId61"/>
                    <a:stretch>
                      <a:fillRect/>
                    </a:stretch>
                  </pic:blipFill>
                  <pic:spPr>
                    <a:xfrm>
                      <a:off x="0" y="0"/>
                      <a:ext cx="4199255" cy="6165215"/>
                    </a:xfrm>
                    <a:prstGeom prst="rect">
                      <a:avLst/>
                    </a:prstGeom>
                  </pic:spPr>
                </pic:pic>
              </a:graphicData>
            </a:graphic>
          </wp:inline>
        </w:drawing>
      </w:r>
    </w:p>
    <w:p w14:paraId="1D905FD6">
      <w:pPr>
        <w:pStyle w:val="15"/>
        <w:spacing w:after="120"/>
        <w:jc w:val="center"/>
      </w:pPr>
      <w:r>
        <w:rPr>
          <w:rFonts w:ascii="微软雅黑" w:hAnsi="微软雅黑" w:eastAsia="微软雅黑"/>
          <w:b w:val="0"/>
          <w:color w:val="707E92"/>
          <w:sz w:val="18"/>
        </w:rPr>
        <w:t>图：在线提现设置“修改”弹窗，用于维护单个支付方式的手续费、限额、图标和排序。</w:t>
      </w:r>
    </w:p>
    <w:p w14:paraId="3F255659">
      <w:pPr>
        <w:pStyle w:val="16"/>
        <w:spacing w:after="60" w:line="276" w:lineRule="auto"/>
      </w:pPr>
      <w:r>
        <w:rPr>
          <w:rFonts w:ascii="微软雅黑" w:hAnsi="微软雅黑" w:eastAsia="微软雅黑"/>
          <w:b/>
          <w:color w:val="2F5597"/>
          <w:sz w:val="20"/>
        </w:rPr>
        <w:t>手续费配置</w:t>
      </w:r>
      <w:r>
        <w:rPr>
          <w:rFonts w:ascii="微软雅黑" w:hAnsi="微软雅黑" w:eastAsia="微软雅黑"/>
          <w:b w:val="0"/>
          <w:sz w:val="20"/>
        </w:rPr>
        <w:t>：页面支持设置百分比手续费、固定手续费和最小手续费金额。三项配置会共同影响会员实际到账金额，调整前应先确认当前计费规则和财务结算方案。</w:t>
      </w:r>
    </w:p>
    <w:p w14:paraId="46958C37">
      <w:pPr>
        <w:pStyle w:val="16"/>
        <w:spacing w:after="60" w:line="276" w:lineRule="auto"/>
      </w:pPr>
      <w:r>
        <w:rPr>
          <w:rFonts w:ascii="微软雅黑" w:hAnsi="微软雅黑" w:eastAsia="微软雅黑"/>
          <w:b/>
          <w:color w:val="2F5597"/>
          <w:sz w:val="20"/>
        </w:rPr>
        <w:t>通道开关</w:t>
      </w:r>
      <w:r>
        <w:rPr>
          <w:rFonts w:ascii="微软雅黑" w:hAnsi="微软雅黑" w:eastAsia="微软雅黑"/>
          <w:b w:val="0"/>
          <w:sz w:val="20"/>
        </w:rPr>
        <w:t>：通过“是否开启通道”控制当前支付方式是否参与在线提现。关闭后前台将不再展示该提现方式，因此操作前应先确认是否需要保留过渡期。</w:t>
      </w:r>
    </w:p>
    <w:p w14:paraId="59609C8F">
      <w:pPr>
        <w:pStyle w:val="16"/>
        <w:spacing w:after="60" w:line="276" w:lineRule="auto"/>
      </w:pPr>
      <w:r>
        <w:rPr>
          <w:rFonts w:ascii="微软雅黑" w:hAnsi="微软雅黑" w:eastAsia="微软雅黑"/>
          <w:b/>
          <w:color w:val="2F5597"/>
          <w:sz w:val="20"/>
        </w:rPr>
        <w:t>限额与展示</w:t>
      </w:r>
      <w:r>
        <w:rPr>
          <w:rFonts w:ascii="微软雅黑" w:hAnsi="微软雅黑" w:eastAsia="微软雅黑"/>
          <w:b w:val="0"/>
          <w:sz w:val="20"/>
        </w:rPr>
        <w:t>：页面支持设置单笔限制、图标、排序值和备注。排序会影响前台展示顺序，图标和备注则会影响页面识别和运营维护效率。</w:t>
      </w:r>
    </w:p>
    <w:p w14:paraId="3019084E">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：修改完成后点击确定保存。保存前应同时核对手续费公式和提现上下限，调整后建议再检查财务和风控侧的实际处理口径是否一致。</w:t>
      </w:r>
    </w:p>
    <w:p w14:paraId="74B84F49">
      <w:pPr>
        <w:pStyle w:val="6"/>
        <w:spacing w:after="60" w:line="276" w:lineRule="auto"/>
      </w:pPr>
      <w:r>
        <w:rPr>
          <w:rFonts w:ascii="微软雅黑" w:hAnsi="微软雅黑" w:eastAsia="微软雅黑"/>
          <w:b/>
          <w:i/>
          <w:color w:val="2F5597"/>
          <w:sz w:val="21"/>
        </w:rPr>
        <w:t>免审自动出款</w:t>
      </w:r>
    </w:p>
    <w:p w14:paraId="4837FCA1">
      <w:pPr>
        <w:spacing w:after="60" w:line="276" w:lineRule="auto"/>
      </w:pPr>
      <w:r>
        <w:rPr>
          <w:rFonts w:ascii="微软雅黑" w:hAnsi="微软雅黑" w:eastAsia="微软雅黑"/>
          <w:b w:val="0"/>
          <w:sz w:val="20"/>
        </w:rPr>
        <w:t>免审自动出款弹窗用于配置满足条件后可直接进入自动出款流程的订单规则，适合用于低风险、标准化的提现场景。</w:t>
      </w:r>
    </w:p>
    <w:p w14:paraId="07B93BD7">
      <w:pPr>
        <w:spacing w:after="40"/>
        <w:jc w:val="center"/>
      </w:pPr>
      <w:r>
        <w:drawing>
          <wp:inline distT="0" distB="0" distL="114300" distR="114300">
            <wp:extent cx="5669280" cy="3315970"/>
            <wp:effectExtent l="0" t="0" r="7620" b="1778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a:picLocks noChangeAspect="1"/>
                    </pic:cNvPicPr>
                  </pic:nvPicPr>
                  <pic:blipFill>
                    <a:blip r:embed="rId62"/>
                    <a:stretch>
                      <a:fillRect/>
                    </a:stretch>
                  </pic:blipFill>
                  <pic:spPr>
                    <a:xfrm>
                      <a:off x="0" y="0"/>
                      <a:ext cx="5669280" cy="3315970"/>
                    </a:xfrm>
                    <a:prstGeom prst="rect">
                      <a:avLst/>
                    </a:prstGeom>
                  </pic:spPr>
                </pic:pic>
              </a:graphicData>
            </a:graphic>
          </wp:inline>
        </w:drawing>
      </w:r>
    </w:p>
    <w:p w14:paraId="6DF95262">
      <w:pPr>
        <w:pStyle w:val="15"/>
        <w:spacing w:after="120"/>
        <w:jc w:val="center"/>
      </w:pPr>
      <w:r>
        <w:rPr>
          <w:rFonts w:ascii="微软雅黑" w:hAnsi="微软雅黑" w:eastAsia="微软雅黑"/>
          <w:b w:val="0"/>
          <w:color w:val="707E92"/>
          <w:sz w:val="18"/>
        </w:rPr>
        <w:t>图：免审自动出款弹窗，用于设置满足条件时可自动出款的门槛。</w:t>
      </w:r>
    </w:p>
    <w:p w14:paraId="0FB691A2">
      <w:pPr>
        <w:pStyle w:val="16"/>
        <w:spacing w:after="60" w:line="276" w:lineRule="auto"/>
      </w:pPr>
      <w:r>
        <w:rPr>
          <w:rFonts w:ascii="微软雅黑" w:hAnsi="微软雅黑" w:eastAsia="微软雅黑"/>
          <w:b/>
          <w:color w:val="2F5597"/>
          <w:sz w:val="20"/>
        </w:rPr>
        <w:t>出款条件</w:t>
      </w:r>
      <w:r>
        <w:rPr>
          <w:rFonts w:ascii="微软雅黑" w:hAnsi="微软雅黑" w:eastAsia="微软雅黑"/>
          <w:b w:val="0"/>
          <w:sz w:val="20"/>
        </w:rPr>
        <w:t>：页面支持设置免费提现金额上限、充值次数、提现次数和适用 VIP 等级，用于限定哪些会员和订单可以命中免审自动出款条件。</w:t>
      </w:r>
    </w:p>
    <w:p w14:paraId="5499330B">
      <w:pPr>
        <w:pStyle w:val="16"/>
        <w:spacing w:after="60" w:line="276" w:lineRule="auto"/>
      </w:pPr>
      <w:r>
        <w:rPr>
          <w:rFonts w:ascii="微软雅黑" w:hAnsi="微软雅黑" w:eastAsia="微软雅黑"/>
          <w:b/>
          <w:color w:val="2F5597"/>
          <w:sz w:val="20"/>
        </w:rPr>
        <w:t>支付通道</w:t>
      </w:r>
      <w:r>
        <w:rPr>
          <w:rFonts w:ascii="微软雅黑" w:hAnsi="微软雅黑" w:eastAsia="微软雅黑"/>
          <w:b w:val="0"/>
          <w:sz w:val="20"/>
        </w:rPr>
        <w:t>：页面可指定自动出款支付通道。启用前应先确认该通道稳定可用，并检查是否支持当前站点的自动出款流程。</w:t>
      </w:r>
    </w:p>
    <w:p w14:paraId="43144E46">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：命中配置条件的提现订单可直接进入自动出款流程，不再走常规人工审核路径。因此保存前需同步评估风控策略和异常订单兜底流程。</w:t>
      </w:r>
    </w:p>
    <w:p w14:paraId="40C90228">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：如条件设置过宽，可能导致本应人工审核的提现单直接进入自动出款。建议优先用于低风险支付方式，并定期检查自动出款订单表现。</w:t>
      </w:r>
    </w:p>
    <w:p w14:paraId="5DDC58E0">
      <w:pPr>
        <w:pStyle w:val="6"/>
        <w:spacing w:after="60" w:line="276" w:lineRule="auto"/>
      </w:pPr>
      <w:r>
        <w:rPr>
          <w:rFonts w:ascii="微软雅黑" w:hAnsi="微软雅黑" w:eastAsia="微软雅黑"/>
          <w:b/>
          <w:i/>
          <w:color w:val="2F5597"/>
          <w:sz w:val="21"/>
        </w:rPr>
        <w:t>提现参数设置</w:t>
      </w:r>
    </w:p>
    <w:p w14:paraId="291055DD">
      <w:pPr>
        <w:spacing w:after="60" w:line="276" w:lineRule="auto"/>
      </w:pPr>
      <w:r>
        <w:rPr>
          <w:rFonts w:ascii="微软雅黑" w:hAnsi="微软雅黑" w:eastAsia="微软雅黑"/>
          <w:b w:val="0"/>
          <w:sz w:val="20"/>
        </w:rPr>
        <w:t>提现参数设置弹窗用于维护站点级提现审核和免费提现规则，是控制提现流程门槛和审核路径的核心配置区域。</w:t>
      </w:r>
    </w:p>
    <w:p w14:paraId="65196DB4">
      <w:pPr>
        <w:spacing w:after="40"/>
        <w:jc w:val="center"/>
      </w:pPr>
      <w:r>
        <w:drawing>
          <wp:inline distT="0" distB="0" distL="114300" distR="114300">
            <wp:extent cx="5852160" cy="5016500"/>
            <wp:effectExtent l="0" t="0" r="15240" b="1270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pic:cNvPicPr>
                      <a:picLocks noChangeAspect="1"/>
                    </pic:cNvPicPr>
                  </pic:nvPicPr>
                  <pic:blipFill>
                    <a:blip r:embed="rId63"/>
                    <a:stretch>
                      <a:fillRect/>
                    </a:stretch>
                  </pic:blipFill>
                  <pic:spPr>
                    <a:xfrm>
                      <a:off x="0" y="0"/>
                      <a:ext cx="5852160" cy="5017099"/>
                    </a:xfrm>
                    <a:prstGeom prst="rect">
                      <a:avLst/>
                    </a:prstGeom>
                  </pic:spPr>
                </pic:pic>
              </a:graphicData>
            </a:graphic>
          </wp:inline>
        </w:drawing>
      </w:r>
    </w:p>
    <w:p w14:paraId="6E429ED6">
      <w:pPr>
        <w:pStyle w:val="15"/>
        <w:spacing w:after="120"/>
        <w:jc w:val="center"/>
      </w:pPr>
      <w:r>
        <w:rPr>
          <w:rFonts w:ascii="微软雅黑" w:hAnsi="微软雅黑" w:eastAsia="微软雅黑"/>
          <w:b w:val="0"/>
          <w:color w:val="707E92"/>
          <w:sz w:val="18"/>
        </w:rPr>
        <w:t>图：提现参数设置弹窗，用于设置提现密码、风控审核、免费提现规则和独立提现规则。</w:t>
      </w:r>
    </w:p>
    <w:p w14:paraId="6EE6004E">
      <w:pPr>
        <w:pStyle w:val="16"/>
        <w:spacing w:after="60" w:line="276" w:lineRule="auto"/>
      </w:pPr>
      <w:r>
        <w:rPr>
          <w:rFonts w:ascii="微软雅黑" w:hAnsi="微软雅黑" w:eastAsia="微软雅黑"/>
          <w:b/>
          <w:color w:val="2F5597"/>
          <w:sz w:val="20"/>
        </w:rPr>
        <w:t>审核控制</w:t>
      </w:r>
      <w:r>
        <w:rPr>
          <w:rFonts w:ascii="微软雅黑" w:hAnsi="微软雅黑" w:eastAsia="微软雅黑"/>
          <w:b w:val="0"/>
          <w:sz w:val="20"/>
        </w:rPr>
        <w:t>：页面支持设置提现密码开关、会员可同时进行的提现笔数、是否需要风控审核和免风控层级。这些参数会共同决定提现申请进入审核流转的方式。</w:t>
      </w:r>
    </w:p>
    <w:p w14:paraId="3E344311">
      <w:pPr>
        <w:pStyle w:val="16"/>
        <w:spacing w:after="60" w:line="276" w:lineRule="auto"/>
      </w:pPr>
      <w:r>
        <w:rPr>
          <w:rFonts w:ascii="微软雅黑" w:hAnsi="微软雅黑" w:eastAsia="微软雅黑"/>
          <w:b/>
          <w:color w:val="2F5597"/>
          <w:sz w:val="20"/>
        </w:rPr>
        <w:t>免费提现规则</w:t>
      </w:r>
      <w:r>
        <w:rPr>
          <w:rFonts w:ascii="微软雅黑" w:hAnsi="微软雅黑" w:eastAsia="微软雅黑"/>
          <w:b w:val="0"/>
          <w:sz w:val="20"/>
        </w:rPr>
        <w:t>：页面可维护免费提现相关规则，用于控制会员在特定条件下是否减免手续费。调整前应先确认当前活动策略和财务结算方案。</w:t>
      </w:r>
    </w:p>
    <w:p w14:paraId="19B09CFC">
      <w:pPr>
        <w:pStyle w:val="16"/>
        <w:spacing w:after="60" w:line="276" w:lineRule="auto"/>
      </w:pPr>
      <w:r>
        <w:rPr>
          <w:rFonts w:ascii="微软雅黑" w:hAnsi="微软雅黑" w:eastAsia="微软雅黑"/>
          <w:b/>
          <w:color w:val="2F5597"/>
          <w:sz w:val="20"/>
        </w:rPr>
        <w:t>独立规则</w:t>
      </w:r>
      <w:r>
        <w:rPr>
          <w:rFonts w:ascii="微软雅黑" w:hAnsi="微软雅黑" w:eastAsia="微软雅黑"/>
          <w:b w:val="0"/>
          <w:sz w:val="20"/>
        </w:rPr>
        <w:t>：若开启独立提现规则，常规单笔上下限和 VIP 单笔上下限限制</w:t>
      </w:r>
      <w:r>
        <w:rPr>
          <w:rFonts w:hint="eastAsia"/>
          <w:b w:val="0"/>
          <w:sz w:val="20"/>
          <w:lang w:val="en-US" w:eastAsia="zh-CN"/>
        </w:rPr>
        <w:t>不生效</w:t>
      </w:r>
      <w:r>
        <w:rPr>
          <w:rFonts w:ascii="微软雅黑" w:hAnsi="微软雅黑" w:eastAsia="微软雅黑"/>
          <w:b w:val="0"/>
          <w:sz w:val="20"/>
        </w:rPr>
        <w:t>，避免不同规则并行时出现口径冲突。</w:t>
      </w:r>
    </w:p>
    <w:p w14:paraId="3B5D1D07">
      <w:pPr>
        <w:pStyle w:val="16"/>
        <w:spacing w:after="60" w:line="276" w:lineRule="auto"/>
      </w:pPr>
      <w:r>
        <w:rPr>
          <w:rFonts w:ascii="微软雅黑" w:hAnsi="微软雅黑" w:eastAsia="微软雅黑"/>
          <w:b/>
          <w:color w:val="2F5597"/>
          <w:sz w:val="20"/>
        </w:rPr>
        <w:t>审核流转</w:t>
      </w:r>
      <w:r>
        <w:rPr>
          <w:rFonts w:ascii="微软雅黑" w:hAnsi="微软雅黑" w:eastAsia="微软雅黑"/>
          <w:b w:val="0"/>
          <w:sz w:val="20"/>
        </w:rPr>
        <w:t>：如开启风控审核，相关订单需先经过风控审核再流转至财务出款；关闭前应先确认当前站点的提现风险级别和后续处理流程。</w:t>
      </w:r>
    </w:p>
    <w:p w14:paraId="5B9AB046">
      <w:pPr>
        <w:pStyle w:val="6"/>
        <w:spacing w:after="60" w:line="276" w:lineRule="auto"/>
      </w:pPr>
      <w:r>
        <w:rPr>
          <w:rFonts w:ascii="微软雅黑" w:hAnsi="微软雅黑" w:eastAsia="微软雅黑"/>
          <w:b/>
          <w:i/>
          <w:color w:val="2F5597"/>
          <w:sz w:val="21"/>
        </w:rPr>
        <w:t>VIP提现限制设置</w:t>
      </w:r>
    </w:p>
    <w:p w14:paraId="0671A8D2">
      <w:pPr>
        <w:spacing w:after="60" w:line="276" w:lineRule="auto"/>
      </w:pPr>
      <w:r>
        <w:rPr>
          <w:rFonts w:ascii="微软雅黑" w:hAnsi="微软雅黑" w:eastAsia="微软雅黑"/>
          <w:b w:val="0"/>
          <w:sz w:val="20"/>
        </w:rPr>
        <w:t>VIP 提现限制设置弹窗用于按会员等级维护不同的提现次数、额度和手续费优惠规则，适合做分层运营和差异化限制。</w:t>
      </w:r>
    </w:p>
    <w:p w14:paraId="7FE8BB69">
      <w:pPr>
        <w:spacing w:after="40"/>
        <w:jc w:val="center"/>
      </w:pPr>
      <w:r>
        <w:drawing>
          <wp:inline distT="0" distB="0" distL="114300" distR="114300">
            <wp:extent cx="5370195" cy="3994150"/>
            <wp:effectExtent l="0" t="0" r="1905" b="635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pic:cNvPicPr>
                      <a:picLocks noChangeAspect="1"/>
                    </pic:cNvPicPr>
                  </pic:nvPicPr>
                  <pic:blipFill>
                    <a:blip r:embed="rId64"/>
                    <a:stretch>
                      <a:fillRect/>
                    </a:stretch>
                  </pic:blipFill>
                  <pic:spPr>
                    <a:xfrm>
                      <a:off x="0" y="0"/>
                      <a:ext cx="5370195" cy="3994150"/>
                    </a:xfrm>
                    <a:prstGeom prst="rect">
                      <a:avLst/>
                    </a:prstGeom>
                  </pic:spPr>
                </pic:pic>
              </a:graphicData>
            </a:graphic>
          </wp:inline>
        </w:drawing>
      </w:r>
    </w:p>
    <w:p w14:paraId="38013F56">
      <w:pPr>
        <w:pStyle w:val="15"/>
        <w:spacing w:after="120"/>
        <w:jc w:val="center"/>
      </w:pPr>
      <w:r>
        <w:rPr>
          <w:rFonts w:ascii="微软雅黑" w:hAnsi="微软雅黑" w:eastAsia="微软雅黑"/>
          <w:b w:val="0"/>
          <w:color w:val="707E92"/>
          <w:sz w:val="18"/>
        </w:rPr>
        <w:t>图：VIP 提现限制设置弹窗，用于按 VIP 等级维护每日次数、额度和前端提示语。</w:t>
      </w:r>
    </w:p>
    <w:p w14:paraId="2655635F">
      <w:pPr>
        <w:pStyle w:val="16"/>
        <w:spacing w:after="60" w:line="276" w:lineRule="auto"/>
      </w:pPr>
      <w:r>
        <w:rPr>
          <w:rFonts w:ascii="微软雅黑" w:hAnsi="微软雅黑" w:eastAsia="微软雅黑"/>
          <w:b/>
          <w:color w:val="2F5597"/>
          <w:sz w:val="20"/>
        </w:rPr>
        <w:t>等级限制</w:t>
      </w:r>
      <w:r>
        <w:rPr>
          <w:rFonts w:ascii="微软雅黑" w:hAnsi="微软雅黑" w:eastAsia="微软雅黑"/>
          <w:b w:val="0"/>
          <w:sz w:val="20"/>
        </w:rPr>
        <w:t>：页面通常按 VIP 等级维护每日提款次数限制、每日提款总额限制、提款总次数限制、提款总额限制、每日免手续费交易笔数以及单次最小/最大提现额度等规则。</w:t>
      </w:r>
    </w:p>
    <w:p w14:paraId="43EDF3B1">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：不同 VIP 等级会按当前配置执行差异化提现限制，因此调整前应先确认会员分层方案和当前运营政策，避免影响高等级会员体验。</w:t>
      </w:r>
    </w:p>
    <w:p w14:paraId="523E052A">
      <w:pPr>
        <w:pStyle w:val="16"/>
        <w:spacing w:after="60" w:line="276" w:lineRule="auto"/>
      </w:pPr>
      <w:r>
        <w:rPr>
          <w:rFonts w:ascii="微软雅黑" w:hAnsi="微软雅黑" w:eastAsia="微软雅黑"/>
          <w:b/>
          <w:color w:val="2F5597"/>
          <w:sz w:val="20"/>
        </w:rPr>
        <w:t>前端提示语</w:t>
      </w:r>
      <w:r>
        <w:rPr>
          <w:rFonts w:ascii="微软雅黑" w:hAnsi="微软雅黑" w:eastAsia="微软雅黑"/>
          <w:b w:val="0"/>
          <w:sz w:val="20"/>
        </w:rPr>
        <w:t>：页面下方可同步维护 VIP 前端提示语，用于向会员说明提款规则、打码要求和注意事项；修改后应一并检查前台文案是否与当前限制口径一致。</w:t>
      </w:r>
    </w:p>
    <w:p w14:paraId="4A33788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：当站点需要对不同层级会员执行差异化提现策略时，可优先通过该页面统一配置；调整后建议重点关注高频提款会员的实际申请情况。</w:t>
      </w:r>
    </w:p>
    <w:p w14:paraId="233CA22C">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会员充值配置</w:t>
      </w:r>
    </w:p>
    <w:p w14:paraId="2E25E75B">
      <w:pPr>
        <w:spacing w:after="60" w:line="276" w:lineRule="auto"/>
      </w:pPr>
      <w:r>
        <w:rPr>
          <w:rFonts w:ascii="微软雅黑" w:hAnsi="微软雅黑" w:eastAsia="微软雅黑"/>
          <w:b w:val="0"/>
          <w:sz w:val="20"/>
        </w:rPr>
        <w:t>会员充值配置用于统一维护在线充值方式、支付方式分组展示和充值提示语。日常配置时可先从在线充值配置主表核对分组与通道状态，再进入支付方式分组或充值配置弹窗补充对应参数。</w:t>
      </w:r>
    </w:p>
    <w:p w14:paraId="1D98367A">
      <w:pPr>
        <w:pStyle w:val="6"/>
        <w:spacing w:after="60" w:line="276" w:lineRule="auto"/>
      </w:pPr>
      <w:r>
        <w:rPr>
          <w:rFonts w:ascii="微软雅黑" w:hAnsi="微软雅黑" w:eastAsia="微软雅黑"/>
          <w:b/>
          <w:i/>
          <w:color w:val="2F5597"/>
          <w:sz w:val="21"/>
        </w:rPr>
        <w:t>在线充值配置</w:t>
      </w:r>
    </w:p>
    <w:p w14:paraId="37908CB6">
      <w:pPr>
        <w:spacing w:after="60" w:line="276" w:lineRule="auto"/>
      </w:pPr>
      <w:r>
        <w:rPr>
          <w:rFonts w:ascii="微软雅黑" w:hAnsi="微软雅黑" w:eastAsia="微软雅黑"/>
          <w:b w:val="0"/>
          <w:sz w:val="20"/>
        </w:rPr>
        <w:t>在线充值配置页面用于集中查看和维护各充值分组下的支付通道配置，是日常核对通道启停、限额和前台展示信息的主要入口。</w:t>
      </w:r>
    </w:p>
    <w:p w14:paraId="32650FB3">
      <w:pPr>
        <w:spacing w:after="40"/>
        <w:jc w:val="center"/>
      </w:pPr>
      <w:r>
        <w:drawing>
          <wp:inline distT="0" distB="0" distL="114300" distR="114300">
            <wp:extent cx="5852160" cy="2346325"/>
            <wp:effectExtent l="0" t="0" r="15240" b="1587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a:picLocks noChangeAspect="1"/>
                    </pic:cNvPicPr>
                  </pic:nvPicPr>
                  <pic:blipFill>
                    <a:blip r:embed="rId65"/>
                    <a:stretch>
                      <a:fillRect/>
                    </a:stretch>
                  </pic:blipFill>
                  <pic:spPr>
                    <a:xfrm>
                      <a:off x="0" y="0"/>
                      <a:ext cx="5852160" cy="2346501"/>
                    </a:xfrm>
                    <a:prstGeom prst="rect">
                      <a:avLst/>
                    </a:prstGeom>
                  </pic:spPr>
                </pic:pic>
              </a:graphicData>
            </a:graphic>
          </wp:inline>
        </w:drawing>
      </w:r>
    </w:p>
    <w:p w14:paraId="556C0045">
      <w:pPr>
        <w:pStyle w:val="15"/>
        <w:spacing w:after="120"/>
        <w:jc w:val="center"/>
      </w:pPr>
      <w:r>
        <w:rPr>
          <w:rFonts w:ascii="微软雅黑" w:hAnsi="微软雅黑" w:eastAsia="微软雅黑"/>
          <w:b w:val="0"/>
          <w:color w:val="707E92"/>
          <w:sz w:val="18"/>
        </w:rPr>
        <w:t>图：在线充值配置主表，用于查看各支付方式分组、通道推荐金额、限额和启用状态。</w:t>
      </w:r>
    </w:p>
    <w:p w14:paraId="0F35208A">
      <w:pPr>
        <w:pStyle w:val="16"/>
        <w:spacing w:after="60" w:line="276" w:lineRule="auto"/>
      </w:pPr>
      <w:r>
        <w:rPr>
          <w:rFonts w:ascii="微软雅黑" w:hAnsi="微软雅黑" w:eastAsia="微软雅黑"/>
          <w:b/>
          <w:color w:val="2F5597"/>
          <w:sz w:val="20"/>
        </w:rPr>
        <w:t>通道展示</w:t>
      </w:r>
      <w:r>
        <w:rPr>
          <w:rFonts w:ascii="微软雅黑" w:hAnsi="微软雅黑" w:eastAsia="微软雅黑"/>
          <w:b w:val="0"/>
          <w:sz w:val="20"/>
        </w:rPr>
        <w:t>：页面主表通常支持按支付通道和状态筛选，列表中可查看支付方式、排序、图标、前台通道名称、通道名称、是否启用等内容，用于统一核对当前充值方式是否正常展示。</w:t>
      </w:r>
    </w:p>
    <w:p w14:paraId="00FF3EED">
      <w:pPr>
        <w:pStyle w:val="16"/>
        <w:spacing w:after="60" w:line="276" w:lineRule="auto"/>
      </w:pPr>
      <w:r>
        <w:rPr>
          <w:rFonts w:ascii="微软雅黑" w:hAnsi="微软雅黑" w:eastAsia="微软雅黑"/>
          <w:b/>
          <w:color w:val="2F5597"/>
          <w:sz w:val="20"/>
        </w:rPr>
        <w:t>充值限额</w:t>
      </w:r>
      <w:r>
        <w:rPr>
          <w:rFonts w:ascii="微软雅黑" w:hAnsi="微软雅黑" w:eastAsia="微软雅黑"/>
          <w:b w:val="0"/>
          <w:sz w:val="20"/>
        </w:rPr>
        <w:t>：页面可查看推荐充值金额、最小/最大限额和前台提示。调整限额前应先确认当前支付通道的收款能力、活动门槛和前台文案口径。</w:t>
      </w:r>
    </w:p>
    <w:p w14:paraId="74B5D2B2">
      <w:pPr>
        <w:pStyle w:val="16"/>
        <w:spacing w:after="60" w:line="276" w:lineRule="auto"/>
      </w:pPr>
      <w:r>
        <w:rPr>
          <w:rFonts w:ascii="微软雅黑" w:hAnsi="微软雅黑" w:eastAsia="微软雅黑"/>
          <w:b/>
          <w:color w:val="2F5597"/>
          <w:sz w:val="20"/>
        </w:rPr>
        <w:t>分组查看</w:t>
      </w:r>
      <w:r>
        <w:rPr>
          <w:rFonts w:ascii="微软雅黑" w:hAnsi="微软雅黑" w:eastAsia="微软雅黑"/>
          <w:b w:val="0"/>
          <w:sz w:val="20"/>
        </w:rPr>
        <w:t>：列表按支付方式分组展示，展开后可查看组内通道配置；调整前应先确认当前支付方式所在分组，再进入对应行执行修改或查看。</w:t>
      </w:r>
    </w:p>
    <w:p w14:paraId="08880D9F">
      <w:pPr>
        <w:pStyle w:val="6"/>
        <w:spacing w:after="60" w:line="276" w:lineRule="auto"/>
      </w:pPr>
      <w:r>
        <w:rPr>
          <w:rFonts w:ascii="微软雅黑" w:hAnsi="微软雅黑" w:eastAsia="微软雅黑"/>
          <w:b/>
          <w:i/>
          <w:color w:val="2F5597"/>
          <w:sz w:val="21"/>
        </w:rPr>
        <w:t>编辑支付方式分组</w:t>
      </w:r>
    </w:p>
    <w:p w14:paraId="40ABC2D2">
      <w:pPr>
        <w:spacing w:after="60" w:line="276" w:lineRule="auto"/>
      </w:pPr>
      <w:r>
        <w:rPr>
          <w:rFonts w:ascii="微软雅黑" w:hAnsi="微软雅黑" w:eastAsia="微软雅黑"/>
          <w:b w:val="0"/>
          <w:sz w:val="20"/>
        </w:rPr>
        <w:t>编辑支付方式分组弹窗用于维护充值页分组的前台展示信息，适合统一调整同类支付方式的展示名称和排序。</w:t>
      </w:r>
    </w:p>
    <w:p w14:paraId="32EE1981">
      <w:pPr>
        <w:spacing w:after="40"/>
        <w:jc w:val="center"/>
      </w:pPr>
      <w:r>
        <w:drawing>
          <wp:inline distT="0" distB="0" distL="114300" distR="114300">
            <wp:extent cx="4762500" cy="3430270"/>
            <wp:effectExtent l="0" t="0" r="0" b="1778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pic:cNvPicPr>
                      <a:picLocks noChangeAspect="1"/>
                    </pic:cNvPicPr>
                  </pic:nvPicPr>
                  <pic:blipFill>
                    <a:blip r:embed="rId66"/>
                    <a:stretch>
                      <a:fillRect/>
                    </a:stretch>
                  </pic:blipFill>
                  <pic:spPr>
                    <a:xfrm>
                      <a:off x="0" y="0"/>
                      <a:ext cx="4762500" cy="3430270"/>
                    </a:xfrm>
                    <a:prstGeom prst="rect">
                      <a:avLst/>
                    </a:prstGeom>
                  </pic:spPr>
                </pic:pic>
              </a:graphicData>
            </a:graphic>
          </wp:inline>
        </w:drawing>
      </w:r>
    </w:p>
    <w:p w14:paraId="53F02E34">
      <w:pPr>
        <w:pStyle w:val="15"/>
        <w:spacing w:after="120"/>
        <w:jc w:val="center"/>
      </w:pPr>
      <w:r>
        <w:rPr>
          <w:rFonts w:ascii="微软雅黑" w:hAnsi="微软雅黑" w:eastAsia="微软雅黑"/>
          <w:b w:val="0"/>
          <w:color w:val="707E92"/>
          <w:sz w:val="18"/>
        </w:rPr>
        <w:t>图：编辑支付方式分组弹窗，用于维护前台展示名称、图标和排序。</w:t>
      </w:r>
    </w:p>
    <w:p w14:paraId="087233B3">
      <w:pPr>
        <w:pStyle w:val="16"/>
        <w:spacing w:after="60" w:line="276" w:lineRule="auto"/>
      </w:pPr>
      <w:r>
        <w:rPr>
          <w:rFonts w:ascii="微软雅黑" w:hAnsi="微软雅黑" w:eastAsia="微软雅黑"/>
          <w:b/>
          <w:color w:val="2F5597"/>
          <w:sz w:val="20"/>
        </w:rPr>
        <w:t>分组名称</w:t>
      </w:r>
      <w:r>
        <w:rPr>
          <w:rFonts w:ascii="微软雅黑" w:hAnsi="微软雅黑" w:eastAsia="微软雅黑"/>
          <w:b w:val="0"/>
          <w:sz w:val="20"/>
        </w:rPr>
        <w:t>：页面支持维护前台支付方式名字。该名称会直接影响前台充值页分组展示，因此修改前应确认当前支付通道的实际用途和面向用户的展示口径。</w:t>
      </w:r>
    </w:p>
    <w:p w14:paraId="49220E24">
      <w:pPr>
        <w:pStyle w:val="16"/>
        <w:spacing w:after="60" w:line="276" w:lineRule="auto"/>
      </w:pPr>
      <w:r>
        <w:rPr>
          <w:rFonts w:ascii="微软雅黑" w:hAnsi="微软雅黑" w:eastAsia="微软雅黑"/>
          <w:b/>
          <w:color w:val="2F5597"/>
          <w:sz w:val="20"/>
        </w:rPr>
        <w:t>图标与排序</w:t>
      </w:r>
      <w:r>
        <w:rPr>
          <w:rFonts w:ascii="微软雅黑" w:hAnsi="微软雅黑" w:eastAsia="微软雅黑"/>
          <w:b w:val="0"/>
          <w:sz w:val="20"/>
        </w:rPr>
        <w:t>：页面支持维护图标和排序值。图标建议保持统一尺寸和格式，排序值用于控制分组在前台的展示先后，调整后应同步检查前台实际显示效果。</w:t>
      </w:r>
    </w:p>
    <w:p w14:paraId="50BEEE81">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：修改完成后点击确定保存。保存前应确认分组名称、图标和排序与当前支付通道配置保持一致，避免前台展示混乱。</w:t>
      </w:r>
    </w:p>
    <w:p w14:paraId="238015D8">
      <w:pPr>
        <w:pStyle w:val="6"/>
        <w:spacing w:after="60" w:line="276" w:lineRule="auto"/>
      </w:pPr>
      <w:r>
        <w:rPr>
          <w:rFonts w:ascii="微软雅黑" w:hAnsi="微软雅黑" w:eastAsia="微软雅黑"/>
          <w:b/>
          <w:i/>
          <w:color w:val="2F5597"/>
          <w:sz w:val="21"/>
        </w:rPr>
        <w:t>充值配置</w:t>
      </w:r>
    </w:p>
    <w:p w14:paraId="081ACB11">
      <w:pPr>
        <w:spacing w:after="60" w:line="276" w:lineRule="auto"/>
      </w:pPr>
      <w:r>
        <w:rPr>
          <w:rFonts w:ascii="微软雅黑" w:hAnsi="微软雅黑" w:eastAsia="微软雅黑"/>
          <w:b w:val="0"/>
          <w:sz w:val="20"/>
        </w:rPr>
        <w:t>充值配置弹窗用于维护站点级充值提示信息和并发订单限制，是控制充值体验和前台引导文案的统一入口。</w:t>
      </w:r>
    </w:p>
    <w:p w14:paraId="7A02257D">
      <w:pPr>
        <w:spacing w:after="40"/>
        <w:jc w:val="center"/>
      </w:pPr>
      <w:r>
        <w:drawing>
          <wp:inline distT="0" distB="0" distL="114300" distR="114300">
            <wp:extent cx="5370195" cy="4066540"/>
            <wp:effectExtent l="0" t="0" r="1905" b="1016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pic:cNvPicPr>
                      <a:picLocks noChangeAspect="1"/>
                    </pic:cNvPicPr>
                  </pic:nvPicPr>
                  <pic:blipFill>
                    <a:blip r:embed="rId67"/>
                    <a:stretch>
                      <a:fillRect/>
                    </a:stretch>
                  </pic:blipFill>
                  <pic:spPr>
                    <a:xfrm>
                      <a:off x="0" y="0"/>
                      <a:ext cx="5370195" cy="4066540"/>
                    </a:xfrm>
                    <a:prstGeom prst="rect">
                      <a:avLst/>
                    </a:prstGeom>
                  </pic:spPr>
                </pic:pic>
              </a:graphicData>
            </a:graphic>
          </wp:inline>
        </w:drawing>
      </w:r>
    </w:p>
    <w:p w14:paraId="490C25F3">
      <w:pPr>
        <w:pStyle w:val="15"/>
        <w:spacing w:after="120"/>
        <w:jc w:val="center"/>
      </w:pPr>
      <w:r>
        <w:rPr>
          <w:rFonts w:ascii="微软雅黑" w:hAnsi="微软雅黑" w:eastAsia="微软雅黑"/>
          <w:b w:val="0"/>
          <w:color w:val="707E92"/>
          <w:sz w:val="18"/>
        </w:rPr>
        <w:t>图：充值配置弹窗，用于设置并发充值订单数和充值提示语。</w:t>
      </w:r>
    </w:p>
    <w:p w14:paraId="05540F90">
      <w:pPr>
        <w:pStyle w:val="16"/>
        <w:spacing w:after="60" w:line="276" w:lineRule="auto"/>
      </w:pPr>
      <w:r>
        <w:rPr>
          <w:rFonts w:ascii="微软雅黑" w:hAnsi="微软雅黑" w:eastAsia="微软雅黑"/>
          <w:b/>
          <w:color w:val="2F5597"/>
          <w:sz w:val="20"/>
        </w:rPr>
        <w:t>并发订单</w:t>
      </w:r>
      <w:r>
        <w:rPr>
          <w:rFonts w:ascii="微软雅黑" w:hAnsi="微软雅黑" w:eastAsia="微软雅黑"/>
          <w:b w:val="0"/>
          <w:sz w:val="20"/>
        </w:rPr>
        <w:t>：页面可维护每个用户最大可同时进行中的充值订单数，用于控制会员在同一时间内可发起的充值单数量。调整前应先确认当前支付处理能力和异常订单清理策略。</w:t>
      </w:r>
    </w:p>
    <w:p w14:paraId="58488753">
      <w:pPr>
        <w:pStyle w:val="16"/>
        <w:spacing w:after="60" w:line="276" w:lineRule="auto"/>
      </w:pPr>
      <w:r>
        <w:rPr>
          <w:rFonts w:ascii="微软雅黑" w:hAnsi="微软雅黑" w:eastAsia="微软雅黑"/>
          <w:b/>
          <w:color w:val="2F5597"/>
          <w:sz w:val="20"/>
        </w:rPr>
        <w:t>提示语内容</w:t>
      </w:r>
      <w:r>
        <w:rPr>
          <w:rFonts w:ascii="微软雅黑" w:hAnsi="微软雅黑" w:eastAsia="微软雅黑"/>
          <w:b w:val="0"/>
          <w:sz w:val="20"/>
        </w:rPr>
        <w:t>：页面支持维护充值提示语内容，并提供富文本编辑和实时预览。适合填写到账时效、汇率说明、异常处理方式和客服引导。</w:t>
      </w:r>
    </w:p>
    <w:p w14:paraId="14E216E0">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：保存前建议检查预览区显示效果，并确认提示语与当前支付方式、活动规则和人工处理流程保持一致，避免出现文案截断或口径不一致的情况。</w:t>
      </w:r>
    </w:p>
    <w:p w14:paraId="1C845537">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充值订单列表</w:t>
      </w:r>
    </w:p>
    <w:p w14:paraId="63DF00D5">
      <w:pPr>
        <w:spacing w:after="60" w:line="276" w:lineRule="auto"/>
      </w:pPr>
      <w:r>
        <w:rPr>
          <w:rFonts w:ascii="微软雅黑" w:hAnsi="微软雅黑" w:eastAsia="微软雅黑"/>
          <w:b w:val="0"/>
          <w:sz w:val="20"/>
        </w:rPr>
        <w:t>充值订单列表用于统一查询会员充值订单、跟踪支付处理进度，并配合订单详情、账变记录和通道信息完成到账核对。页面按充值类型区分为在线充值和 USDT 充值两个页签，适合财务、客服和运营在处理充值异常时快速定位订单。</w:t>
      </w:r>
    </w:p>
    <w:p w14:paraId="28B6DCF7">
      <w:pPr>
        <w:pStyle w:val="6"/>
        <w:spacing w:after="60" w:line="276" w:lineRule="auto"/>
      </w:pPr>
      <w:r>
        <w:rPr>
          <w:rFonts w:ascii="微软雅黑" w:hAnsi="微软雅黑" w:eastAsia="微软雅黑"/>
          <w:b/>
          <w:i/>
          <w:color w:val="2F5597"/>
          <w:sz w:val="21"/>
        </w:rPr>
        <w:t>在线充值</w:t>
      </w:r>
    </w:p>
    <w:p w14:paraId="007F8BBC">
      <w:pPr>
        <w:spacing w:after="60" w:line="276" w:lineRule="auto"/>
      </w:pPr>
      <w:r>
        <w:rPr>
          <w:rFonts w:ascii="微软雅黑" w:hAnsi="微软雅黑" w:eastAsia="微软雅黑"/>
          <w:b w:val="0"/>
          <w:sz w:val="20"/>
        </w:rPr>
        <w:t>在线充值页签用于查询常规支付通道的充值订单，是核对支付渠道到账情况和第三方单号的主要入口。处理充值咨询时，可先在这里按时间、会员和通道定位目标订单。</w:t>
      </w:r>
    </w:p>
    <w:p w14:paraId="2E58854E">
      <w:pPr>
        <w:spacing w:after="40"/>
        <w:jc w:val="center"/>
      </w:pPr>
      <w:r>
        <w:drawing>
          <wp:inline distT="0" distB="0" distL="114300" distR="114300">
            <wp:extent cx="5852160" cy="2088515"/>
            <wp:effectExtent l="0" t="0" r="15240" b="698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pic:cNvPicPr>
                      <a:picLocks noChangeAspect="1"/>
                    </pic:cNvPicPr>
                  </pic:nvPicPr>
                  <pic:blipFill>
                    <a:blip r:embed="rId68"/>
                    <a:stretch>
                      <a:fillRect/>
                    </a:stretch>
                  </pic:blipFill>
                  <pic:spPr>
                    <a:xfrm>
                      <a:off x="0" y="0"/>
                      <a:ext cx="5852160" cy="2088760"/>
                    </a:xfrm>
                    <a:prstGeom prst="rect">
                      <a:avLst/>
                    </a:prstGeom>
                  </pic:spPr>
                </pic:pic>
              </a:graphicData>
            </a:graphic>
          </wp:inline>
        </w:drawing>
      </w:r>
    </w:p>
    <w:p w14:paraId="7E806E6F">
      <w:pPr>
        <w:pStyle w:val="15"/>
        <w:spacing w:after="120"/>
        <w:jc w:val="center"/>
      </w:pPr>
      <w:r>
        <w:rPr>
          <w:rFonts w:ascii="微软雅黑" w:hAnsi="微软雅黑" w:eastAsia="微软雅黑"/>
          <w:b w:val="0"/>
          <w:color w:val="707E92"/>
          <w:sz w:val="18"/>
        </w:rPr>
        <w:t>图：在线充值列表，用于按会员、通道和订单状态查询在线充值订单。</w:t>
      </w:r>
    </w:p>
    <w:p w14:paraId="60C83B00">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：页面支持按创建时间、会员ID、支付渠道和订单状态筛选订单。处理玩家充值咨询或通道异常时，建议先固定时间范围和会员账号，再结合状态筛选待付款、处理中或充值成功订单。</w:t>
      </w:r>
    </w:p>
    <w:p w14:paraId="34F8B09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主表会展示订单号、会员ID、订单状态、订单金额、赠送金额、实际到账金额、创建时间、支付方式、支付渠道、汇率、充值币种、第三方单号和备注等信息。核对到账问题时，应重点关注订单状态、实际到账金额、赠送金额和备注说明。</w:t>
      </w:r>
    </w:p>
    <w:p w14:paraId="039C5CEC">
      <w:pPr>
        <w:pStyle w:val="16"/>
        <w:spacing w:after="60" w:line="276" w:lineRule="auto"/>
      </w:pPr>
      <w:r>
        <w:rPr>
          <w:rFonts w:ascii="微软雅黑" w:hAnsi="微软雅黑" w:eastAsia="微软雅黑"/>
          <w:b/>
          <w:color w:val="2F5597"/>
          <w:sz w:val="20"/>
        </w:rPr>
        <w:t>导出与对账</w:t>
      </w:r>
      <w:r>
        <w:rPr>
          <w:rFonts w:ascii="微软雅黑" w:hAnsi="微软雅黑" w:eastAsia="微软雅黑"/>
          <w:b w:val="0"/>
          <w:sz w:val="20"/>
        </w:rPr>
        <w:t>：页面支持导出表格，便于按时间段留档或交叉核对。导出前应确认当前页签、筛选条件和订单状态范围，避免把不同充值类型或无关时间段数据混在同一份结果中。</w:t>
      </w:r>
    </w:p>
    <w:p w14:paraId="6E4A36BC">
      <w:pPr>
        <w:pStyle w:val="6"/>
        <w:spacing w:after="60" w:line="276" w:lineRule="auto"/>
      </w:pPr>
      <w:r>
        <w:rPr>
          <w:rFonts w:ascii="微软雅黑" w:hAnsi="微软雅黑" w:eastAsia="微软雅黑"/>
          <w:b/>
          <w:i/>
          <w:color w:val="2F5597"/>
          <w:sz w:val="21"/>
        </w:rPr>
        <w:t>订单详情</w:t>
      </w:r>
    </w:p>
    <w:p w14:paraId="2B03C204">
      <w:pPr>
        <w:spacing w:after="60" w:line="276" w:lineRule="auto"/>
      </w:pPr>
      <w:r>
        <w:rPr>
          <w:rFonts w:ascii="微软雅黑" w:hAnsi="微软雅黑" w:eastAsia="微软雅黑"/>
          <w:b w:val="0"/>
          <w:sz w:val="20"/>
        </w:rPr>
        <w:t>点击列表“详情”后，可查看单笔在线充值订单的完整信息，适合进一步核对到账金额、第三方单号和更新时间。</w:t>
      </w:r>
    </w:p>
    <w:p w14:paraId="551A8179">
      <w:pPr>
        <w:spacing w:after="40"/>
        <w:jc w:val="center"/>
      </w:pPr>
      <w:r>
        <w:drawing>
          <wp:inline distT="0" distB="0" distL="114300" distR="114300">
            <wp:extent cx="3735705" cy="3686175"/>
            <wp:effectExtent l="0" t="0" r="17145" b="952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pic:cNvPicPr>
                      <a:picLocks noChangeAspect="1"/>
                    </pic:cNvPicPr>
                  </pic:nvPicPr>
                  <pic:blipFill>
                    <a:blip r:embed="rId69"/>
                    <a:stretch>
                      <a:fillRect/>
                    </a:stretch>
                  </pic:blipFill>
                  <pic:spPr>
                    <a:xfrm>
                      <a:off x="0" y="0"/>
                      <a:ext cx="3735705" cy="3686175"/>
                    </a:xfrm>
                    <a:prstGeom prst="rect">
                      <a:avLst/>
                    </a:prstGeom>
                  </pic:spPr>
                </pic:pic>
              </a:graphicData>
            </a:graphic>
          </wp:inline>
        </w:drawing>
      </w:r>
    </w:p>
    <w:p w14:paraId="4A83F83B">
      <w:pPr>
        <w:pStyle w:val="15"/>
        <w:spacing w:after="120"/>
        <w:jc w:val="center"/>
      </w:pPr>
      <w:r>
        <w:rPr>
          <w:rFonts w:ascii="微软雅黑" w:hAnsi="微软雅黑" w:eastAsia="微软雅黑"/>
          <w:b w:val="0"/>
          <w:color w:val="707E92"/>
          <w:sz w:val="18"/>
        </w:rPr>
        <w:t>图：在线充值订单详情弹窗，用于查看单笔充值订单的金额、渠道和时间信息。</w:t>
      </w:r>
    </w:p>
    <w:p w14:paraId="38434D8B">
      <w:pPr>
        <w:pStyle w:val="16"/>
        <w:spacing w:after="60" w:line="276" w:lineRule="auto"/>
      </w:pPr>
      <w:r>
        <w:rPr>
          <w:rFonts w:ascii="微软雅黑" w:hAnsi="微软雅黑" w:eastAsia="微软雅黑"/>
          <w:b/>
          <w:color w:val="2F5597"/>
          <w:sz w:val="20"/>
        </w:rPr>
        <w:t>详情字段</w:t>
      </w:r>
      <w:r>
        <w:rPr>
          <w:rFonts w:ascii="微软雅黑" w:hAnsi="微软雅黑" w:eastAsia="微软雅黑"/>
          <w:b w:val="0"/>
          <w:sz w:val="20"/>
        </w:rPr>
        <w:t>：详情弹窗会展示订单号、订单状态、会员ID、第三方单号、订单金额、实际到账金额、赠送金额、充值币种、汇率、手续费、支付方式、支付渠道、是否首充、备注、创建时间和更新时间。</w:t>
      </w:r>
    </w:p>
    <w:p w14:paraId="7ABF26F9">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：排查充值争议时，可优先通过详情页核对第三方单号、实际到账金额和更新时间，再决定是否继续结合支付通道数据或账变记录追查。若存在赠送金额，还应同步确认是否命中了当前充值活动规则。</w:t>
      </w:r>
    </w:p>
    <w:p w14:paraId="344F241A">
      <w:pPr>
        <w:pStyle w:val="6"/>
        <w:spacing w:after="60" w:line="276" w:lineRule="auto"/>
      </w:pPr>
      <w:r>
        <w:rPr>
          <w:rFonts w:ascii="微软雅黑" w:hAnsi="微软雅黑" w:eastAsia="微软雅黑"/>
          <w:b/>
          <w:i/>
          <w:color w:val="2F5597"/>
          <w:sz w:val="21"/>
        </w:rPr>
        <w:t>USDT充值</w:t>
      </w:r>
    </w:p>
    <w:p w14:paraId="7FF5C41C">
      <w:pPr>
        <w:spacing w:after="60" w:line="276" w:lineRule="auto"/>
      </w:pPr>
      <w:r>
        <w:rPr>
          <w:rFonts w:ascii="微软雅黑" w:hAnsi="微软雅黑" w:eastAsia="微软雅黑"/>
          <w:b w:val="0"/>
          <w:sz w:val="20"/>
        </w:rPr>
        <w:t>USDT 充值页签用于查询链路类充值订单，适合核对不同币种通道、链上支付方式和异常订单处理动作。</w:t>
      </w:r>
    </w:p>
    <w:p w14:paraId="49DCC285">
      <w:pPr>
        <w:spacing w:after="40"/>
        <w:jc w:val="center"/>
      </w:pPr>
      <w:r>
        <w:drawing>
          <wp:inline distT="0" distB="0" distL="114300" distR="114300">
            <wp:extent cx="5852160" cy="1971675"/>
            <wp:effectExtent l="0" t="0" r="15240" b="952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pic:cNvPicPr>
                      <a:picLocks noChangeAspect="1"/>
                    </pic:cNvPicPr>
                  </pic:nvPicPr>
                  <pic:blipFill>
                    <a:blip r:embed="rId70"/>
                    <a:stretch>
                      <a:fillRect/>
                    </a:stretch>
                  </pic:blipFill>
                  <pic:spPr>
                    <a:xfrm>
                      <a:off x="0" y="0"/>
                      <a:ext cx="5852160" cy="1972117"/>
                    </a:xfrm>
                    <a:prstGeom prst="rect">
                      <a:avLst/>
                    </a:prstGeom>
                  </pic:spPr>
                </pic:pic>
              </a:graphicData>
            </a:graphic>
          </wp:inline>
        </w:drawing>
      </w:r>
    </w:p>
    <w:p w14:paraId="7DC22AA8">
      <w:pPr>
        <w:pStyle w:val="15"/>
        <w:spacing w:after="120"/>
        <w:jc w:val="center"/>
      </w:pPr>
      <w:r>
        <w:rPr>
          <w:rFonts w:ascii="微软雅黑" w:hAnsi="微软雅黑" w:eastAsia="微软雅黑"/>
          <w:b w:val="0"/>
          <w:color w:val="707E92"/>
          <w:sz w:val="18"/>
        </w:rPr>
        <w:t>图：USDT 充值列表，用于查看链路充值订单状态并处理补单。</w:t>
      </w:r>
    </w:p>
    <w:p w14:paraId="013E306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：该页签支持按创建时间、会员ID 和订单状态筛选订单，列表中可查看订单金额、赠送金额、实际到账金额、支付方式、支付渠道、充值币种和第三方单号等信息。</w:t>
      </w:r>
    </w:p>
    <w:p w14:paraId="1B9BFD74">
      <w:pPr>
        <w:pStyle w:val="16"/>
        <w:spacing w:after="60" w:line="276" w:lineRule="auto"/>
      </w:pPr>
      <w:r>
        <w:rPr>
          <w:rFonts w:ascii="微软雅黑" w:hAnsi="微软雅黑" w:eastAsia="微软雅黑"/>
          <w:b/>
          <w:color w:val="2F5597"/>
          <w:sz w:val="20"/>
        </w:rPr>
        <w:t>状态识别</w:t>
      </w:r>
      <w:r>
        <w:rPr>
          <w:rFonts w:ascii="微软雅黑" w:hAnsi="微软雅黑" w:eastAsia="微软雅黑"/>
          <w:b w:val="0"/>
          <w:sz w:val="20"/>
        </w:rPr>
        <w:t>：当订单显示“待付款”时，通常表示会员尚未完成支付；“处理中”表示链路回调或系统入账仍在进行中；“充值成功”表示订单已完成到账；“已关闭”则应结合订单时间和后续处理记录判断是否超时关闭或异常终止。</w:t>
      </w:r>
    </w:p>
    <w:p w14:paraId="18567E72">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：列表操作区通常包含“详情”，部分异常订单还会提供“补单”入口，用于在已确认链上支付但系统未正常回写时补录交易信息。</w:t>
      </w:r>
    </w:p>
    <w:p w14:paraId="1DF963D5">
      <w:pPr>
        <w:pStyle w:val="6"/>
        <w:spacing w:after="60" w:line="276" w:lineRule="auto"/>
      </w:pPr>
      <w:r>
        <w:rPr>
          <w:rFonts w:ascii="微软雅黑" w:hAnsi="微软雅黑" w:eastAsia="微软雅黑"/>
          <w:b/>
          <w:i/>
          <w:color w:val="2F5597"/>
          <w:sz w:val="21"/>
        </w:rPr>
        <w:t>补单</w:t>
      </w:r>
    </w:p>
    <w:p w14:paraId="1623DAFB">
      <w:pPr>
        <w:spacing w:after="60" w:line="276" w:lineRule="auto"/>
      </w:pPr>
      <w:r>
        <w:rPr>
          <w:rFonts w:ascii="微软雅黑" w:hAnsi="微软雅黑" w:eastAsia="微软雅黑"/>
          <w:b w:val="0"/>
          <w:sz w:val="20"/>
        </w:rPr>
        <w:t>补单弹窗用于手动补录链路订单的交易编号，适合处理会员已完成支付、但系统未自动关联到账结果的异常场景。</w:t>
      </w:r>
    </w:p>
    <w:p w14:paraId="3E868C89">
      <w:pPr>
        <w:spacing w:after="40"/>
        <w:jc w:val="center"/>
      </w:pPr>
      <w:r>
        <w:drawing>
          <wp:inline distT="0" distB="0" distL="114300" distR="114300">
            <wp:extent cx="3534410" cy="1720215"/>
            <wp:effectExtent l="0" t="0" r="8890" b="1333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pic:cNvPicPr>
                      <a:picLocks noChangeAspect="1"/>
                    </pic:cNvPicPr>
                  </pic:nvPicPr>
                  <pic:blipFill>
                    <a:blip r:embed="rId71"/>
                    <a:stretch>
                      <a:fillRect/>
                    </a:stretch>
                  </pic:blipFill>
                  <pic:spPr>
                    <a:xfrm>
                      <a:off x="0" y="0"/>
                      <a:ext cx="3534410" cy="1720215"/>
                    </a:xfrm>
                    <a:prstGeom prst="rect">
                      <a:avLst/>
                    </a:prstGeom>
                  </pic:spPr>
                </pic:pic>
              </a:graphicData>
            </a:graphic>
          </wp:inline>
        </w:drawing>
      </w:r>
    </w:p>
    <w:p w14:paraId="28F37863">
      <w:pPr>
        <w:pStyle w:val="15"/>
        <w:spacing w:after="120"/>
        <w:jc w:val="center"/>
      </w:pPr>
      <w:r>
        <w:rPr>
          <w:rFonts w:ascii="微软雅黑" w:hAnsi="微软雅黑" w:eastAsia="微软雅黑"/>
          <w:b w:val="0"/>
          <w:color w:val="707E92"/>
          <w:sz w:val="18"/>
        </w:rPr>
        <w:t>图：USDT 充值补单弹窗，用于录入 txId 并确认补单操作。</w:t>
      </w:r>
    </w:p>
    <w:p w14:paraId="39012CBF">
      <w:pPr>
        <w:pStyle w:val="16"/>
        <w:spacing w:after="60" w:line="276" w:lineRule="auto"/>
      </w:pPr>
      <w:r>
        <w:rPr>
          <w:rFonts w:ascii="微软雅黑" w:hAnsi="微软雅黑" w:eastAsia="微软雅黑"/>
          <w:b/>
          <w:color w:val="2F5597"/>
          <w:sz w:val="20"/>
        </w:rPr>
        <w:t>txId录入</w:t>
      </w:r>
      <w:r>
        <w:rPr>
          <w:rFonts w:ascii="微软雅黑" w:hAnsi="微软雅黑" w:eastAsia="微软雅黑"/>
          <w:b w:val="0"/>
          <w:sz w:val="20"/>
        </w:rPr>
        <w:t>：补单时需填写正确的 txId。录入前应先核对链上交易编号、订单金额、会员账号和订单时间，避免把错误交易回填到其他订单。</w:t>
      </w:r>
    </w:p>
    <w:p w14:paraId="4D6EB8B3">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：仅当确认会员已实际完成支付、且自动回调或系统关联未成功时，才建议使用补单。对于仍处于待付款或未确认到账的订单，不应直接执行补单。</w:t>
      </w:r>
    </w:p>
    <w:p w14:paraId="3B6E4E86">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：补单完成后，应重新核对订单状态、实际到账金额和相关账变记录，确认资金已正确入账；如仍未更新，应继续排查链路回调、通道数据或人工处理日志。</w:t>
      </w:r>
    </w:p>
    <w:p w14:paraId="55C231D4">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提现订单列表</w:t>
      </w:r>
    </w:p>
    <w:p w14:paraId="6191AFFD">
      <w:r>
        <w:drawing>
          <wp:inline distT="0" distB="0" distL="114300" distR="114300">
            <wp:extent cx="6388100" cy="2303145"/>
            <wp:effectExtent l="0" t="0" r="12700" b="190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72"/>
                    <a:stretch>
                      <a:fillRect/>
                    </a:stretch>
                  </pic:blipFill>
                  <pic:spPr>
                    <a:xfrm>
                      <a:off x="0" y="0"/>
                      <a:ext cx="6388100" cy="2303145"/>
                    </a:xfrm>
                    <a:prstGeom prst="rect">
                      <a:avLst/>
                    </a:prstGeom>
                    <a:noFill/>
                    <a:ln>
                      <a:noFill/>
                    </a:ln>
                  </pic:spPr>
                </pic:pic>
              </a:graphicData>
            </a:graphic>
          </wp:inline>
        </w:drawing>
      </w:r>
    </w:p>
    <w:p w14:paraId="323ACAB1">
      <w:r>
        <w:drawing>
          <wp:inline distT="0" distB="0" distL="114300" distR="114300">
            <wp:extent cx="4594225" cy="2664460"/>
            <wp:effectExtent l="0" t="0" r="15875" b="254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73"/>
                    <a:stretch>
                      <a:fillRect/>
                    </a:stretch>
                  </pic:blipFill>
                  <pic:spPr>
                    <a:xfrm>
                      <a:off x="0" y="0"/>
                      <a:ext cx="4594225" cy="2664460"/>
                    </a:xfrm>
                    <a:prstGeom prst="rect">
                      <a:avLst/>
                    </a:prstGeom>
                    <a:noFill/>
                    <a:ln>
                      <a:noFill/>
                    </a:ln>
                  </pic:spPr>
                </pic:pic>
              </a:graphicData>
            </a:graphic>
          </wp:inline>
        </w:drawing>
      </w:r>
    </w:p>
    <w:p w14:paraId="666E2980">
      <w:r>
        <w:drawing>
          <wp:inline distT="0" distB="0" distL="114300" distR="114300">
            <wp:extent cx="4162425" cy="3724275"/>
            <wp:effectExtent l="0" t="0" r="9525" b="952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74"/>
                    <a:stretch>
                      <a:fillRect/>
                    </a:stretch>
                  </pic:blipFill>
                  <pic:spPr>
                    <a:xfrm>
                      <a:off x="0" y="0"/>
                      <a:ext cx="4162425" cy="3724275"/>
                    </a:xfrm>
                    <a:prstGeom prst="rect">
                      <a:avLst/>
                    </a:prstGeom>
                    <a:noFill/>
                    <a:ln>
                      <a:noFill/>
                    </a:ln>
                  </pic:spPr>
                </pic:pic>
              </a:graphicData>
            </a:graphic>
          </wp:inline>
        </w:drawing>
      </w:r>
    </w:p>
    <w:p w14:paraId="6A9BF935">
      <w:bookmarkStart w:id="0" w:name="_GoBack"/>
      <w:r>
        <w:drawing>
          <wp:inline distT="0" distB="0" distL="114300" distR="114300">
            <wp:extent cx="3482340" cy="4810760"/>
            <wp:effectExtent l="0" t="0" r="3810" b="8890"/>
            <wp:docPr id="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
                    <pic:cNvPicPr>
                      <a:picLocks noChangeAspect="1"/>
                    </pic:cNvPicPr>
                  </pic:nvPicPr>
                  <pic:blipFill>
                    <a:blip r:embed="rId75"/>
                    <a:stretch>
                      <a:fillRect/>
                    </a:stretch>
                  </pic:blipFill>
                  <pic:spPr>
                    <a:xfrm>
                      <a:off x="0" y="0"/>
                      <a:ext cx="3482340" cy="4810760"/>
                    </a:xfrm>
                    <a:prstGeom prst="rect">
                      <a:avLst/>
                    </a:prstGeom>
                    <a:noFill/>
                    <a:ln>
                      <a:noFill/>
                    </a:ln>
                  </pic:spPr>
                </pic:pic>
              </a:graphicData>
            </a:graphic>
          </wp:inline>
        </w:drawing>
      </w:r>
      <w:bookmarkEnd w:id="0"/>
    </w:p>
    <w:p w14:paraId="591AF18A">
      <w:pPr>
        <w:pStyle w:val="16"/>
        <w:spacing w:after="60" w:line="276" w:lineRule="auto"/>
      </w:pPr>
      <w:r>
        <w:rPr>
          <w:rFonts w:ascii="微软雅黑" w:hAnsi="微软雅黑" w:eastAsia="微软雅黑"/>
          <w:b/>
          <w:color w:val="2F5597"/>
          <w:sz w:val="20"/>
        </w:rPr>
        <w:t>提现订单列表</w:t>
      </w:r>
      <w:r>
        <w:rPr>
          <w:rFonts w:ascii="微软雅黑" w:hAnsi="微软雅黑" w:eastAsia="微软雅黑"/>
          <w:b w:val="0"/>
          <w:sz w:val="20"/>
        </w:rPr>
        <w:t>：用于查询会员提现订单和处理进度。</w:t>
      </w:r>
    </w:p>
    <w:p w14:paraId="70D12FF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：按会员、订单号、状态或时间筛选，查看审核和出款信息。</w:t>
      </w:r>
    </w:p>
    <w:p w14:paraId="7378D31D">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：处理前核对账户信息、风控结果和资金状态。</w:t>
      </w:r>
    </w:p>
    <w:p w14:paraId="738BC6AE">
      <w:pPr>
        <w:pStyle w:val="5"/>
        <w:keepNext/>
        <w:spacing w:before="180" w:after="100" w:line="259" w:lineRule="auto"/>
      </w:pPr>
      <w:r>
        <w:rPr>
          <w:rFonts w:ascii="微软雅黑" w:hAnsi="微软雅黑" w:eastAsia="微软雅黑"/>
          <w:b/>
          <w:color w:val="2F5597"/>
          <w:sz w:val="25"/>
        </w:rPr>
        <w:t>提现风控审核</w:t>
      </w:r>
    </w:p>
    <w:p w14:paraId="7D7A45F6">
      <w:pPr>
        <w:pStyle w:val="16"/>
        <w:spacing w:after="60" w:line="276" w:lineRule="auto"/>
      </w:pPr>
      <w:r>
        <w:rPr>
          <w:rFonts w:ascii="微软雅黑" w:hAnsi="微软雅黑" w:eastAsia="微软雅黑"/>
          <w:b/>
          <w:color w:val="2F5597"/>
          <w:sz w:val="20"/>
        </w:rPr>
        <w:t>提现风控审核</w:t>
      </w:r>
      <w:r>
        <w:rPr>
          <w:rFonts w:ascii="微软雅黑" w:hAnsi="微软雅黑" w:eastAsia="微软雅黑"/>
          <w:b w:val="0"/>
          <w:sz w:val="20"/>
        </w:rPr>
        <w:t>：用于处理触发风控的提现订单。</w:t>
      </w:r>
    </w:p>
    <w:p w14:paraId="0111A933">
      <w:pPr>
        <w:pStyle w:val="16"/>
        <w:spacing w:after="60" w:line="276" w:lineRule="auto"/>
      </w:pPr>
      <w:r>
        <w:rPr>
          <w:rFonts w:ascii="微软雅黑" w:hAnsi="微软雅黑" w:eastAsia="微软雅黑"/>
          <w:b/>
          <w:color w:val="2F5597"/>
          <w:sz w:val="20"/>
        </w:rPr>
        <w:t>详情查看</w:t>
      </w:r>
      <w:r>
        <w:rPr>
          <w:rFonts w:ascii="微软雅黑" w:hAnsi="微软雅黑" w:eastAsia="微软雅黑"/>
          <w:b w:val="0"/>
          <w:sz w:val="20"/>
        </w:rPr>
        <w:t>：查看风控原因、会员信息和订单详情，执行通过、拒绝或补充审核。</w:t>
      </w:r>
    </w:p>
    <w:p w14:paraId="2D338E16">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：审核结果会影响资金出款，需按风控规则和财务要求处理。</w:t>
      </w:r>
    </w:p>
    <w:p w14:paraId="0761347B">
      <w:pPr>
        <w:pStyle w:val="5"/>
        <w:keepNext/>
        <w:spacing w:before="180" w:after="100" w:line="259" w:lineRule="auto"/>
      </w:pPr>
      <w:r>
        <w:rPr>
          <w:rFonts w:ascii="微软雅黑" w:hAnsi="微软雅黑" w:eastAsia="微软雅黑"/>
          <w:b/>
          <w:color w:val="2F5597"/>
          <w:sz w:val="25"/>
        </w:rPr>
        <w:t>支付通道数据</w:t>
      </w:r>
    </w:p>
    <w:p w14:paraId="09887DB0">
      <w:pPr>
        <w:pStyle w:val="16"/>
        <w:spacing w:after="60" w:line="276" w:lineRule="auto"/>
      </w:pPr>
      <w:r>
        <w:rPr>
          <w:rFonts w:ascii="微软雅黑" w:hAnsi="微软雅黑" w:eastAsia="微软雅黑"/>
          <w:b/>
          <w:color w:val="2F5597"/>
          <w:sz w:val="20"/>
        </w:rPr>
        <w:t>支付通道数据</w:t>
      </w:r>
      <w:r>
        <w:rPr>
          <w:rFonts w:ascii="微软雅黑" w:hAnsi="微软雅黑" w:eastAsia="微软雅黑"/>
          <w:b w:val="0"/>
          <w:sz w:val="20"/>
        </w:rPr>
        <w:t>：用于查看支付通道的交易和成功率数据。</w:t>
      </w:r>
    </w:p>
    <w:p w14:paraId="7F05234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：按通道、时间或状态筛选，查看充值笔数、金额和成功率。</w:t>
      </w:r>
    </w:p>
    <w:p w14:paraId="3EC02D1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：用于判断通道质量，异常时联系通道配置或财务人员处理。</w:t>
      </w:r>
    </w:p>
    <w:p w14:paraId="0CF38EB6">
      <w:pPr>
        <w:pStyle w:val="5"/>
        <w:keepNext/>
        <w:spacing w:before="180" w:after="100" w:line="259" w:lineRule="auto"/>
      </w:pPr>
      <w:r>
        <w:rPr>
          <w:rFonts w:ascii="微软雅黑" w:hAnsi="微软雅黑" w:eastAsia="微软雅黑"/>
          <w:b/>
          <w:color w:val="2F5597"/>
          <w:sz w:val="25"/>
        </w:rPr>
        <w:t>人工加扣款</w:t>
      </w:r>
    </w:p>
    <w:p w14:paraId="22ADBA27">
      <w:pPr>
        <w:pStyle w:val="16"/>
        <w:spacing w:after="60" w:line="276" w:lineRule="auto"/>
      </w:pPr>
      <w:r>
        <w:rPr>
          <w:rFonts w:ascii="微软雅黑" w:hAnsi="微软雅黑" w:eastAsia="微软雅黑"/>
          <w:b/>
          <w:color w:val="2F5597"/>
          <w:sz w:val="20"/>
        </w:rPr>
        <w:t>人工加扣款</w:t>
      </w:r>
      <w:r>
        <w:rPr>
          <w:rFonts w:ascii="微软雅黑" w:hAnsi="微软雅黑" w:eastAsia="微软雅黑"/>
          <w:b w:val="0"/>
          <w:sz w:val="20"/>
        </w:rPr>
        <w:t>：用于对会员账户执行人工加款或扣款。</w:t>
      </w:r>
    </w:p>
    <w:p w14:paraId="1B6DC83A">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：填写会员、金额、类型和备注，提交后查看处理结果。</w:t>
      </w:r>
    </w:p>
    <w:p w14:paraId="5F73C63C">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：此操作直接影响会员余额，提交前必须核对会员和金额。</w:t>
      </w:r>
    </w:p>
    <w:p w14:paraId="53760425">
      <w:pPr>
        <w:pStyle w:val="5"/>
        <w:keepNext/>
        <w:spacing w:before="180" w:after="100" w:line="259" w:lineRule="auto"/>
      </w:pPr>
      <w:r>
        <w:rPr>
          <w:rFonts w:ascii="微软雅黑" w:hAnsi="微软雅黑" w:eastAsia="微软雅黑"/>
          <w:b/>
          <w:color w:val="2F5597"/>
          <w:sz w:val="25"/>
        </w:rPr>
        <w:t>账变记录</w:t>
      </w:r>
    </w:p>
    <w:p w14:paraId="2926E6FC">
      <w:pPr>
        <w:pStyle w:val="16"/>
        <w:spacing w:after="60" w:line="276" w:lineRule="auto"/>
      </w:pPr>
      <w:r>
        <w:rPr>
          <w:rFonts w:ascii="微软雅黑" w:hAnsi="微软雅黑" w:eastAsia="微软雅黑"/>
          <w:b/>
          <w:color w:val="2F5597"/>
          <w:sz w:val="20"/>
        </w:rPr>
        <w:t>账变记录</w:t>
      </w:r>
      <w:r>
        <w:rPr>
          <w:rFonts w:ascii="微软雅黑" w:hAnsi="微软雅黑" w:eastAsia="微软雅黑"/>
          <w:b w:val="0"/>
          <w:sz w:val="20"/>
        </w:rPr>
        <w:t>：用于查询会员资金变动明细。</w:t>
      </w:r>
    </w:p>
    <w:p w14:paraId="2C27ED6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：按会员、账变类型、订单号或时间筛选，查看余额变化。</w:t>
      </w:r>
    </w:p>
    <w:p w14:paraId="222C52D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：排查资金问题时优先结合订单、活动和人工加扣款记录核对。</w:t>
      </w:r>
    </w:p>
    <w:p w14:paraId="124545B9">
      <w:pPr>
        <w:pStyle w:val="5"/>
        <w:keepNext/>
        <w:spacing w:before="180" w:after="100" w:line="259" w:lineRule="auto"/>
      </w:pPr>
      <w:r>
        <w:rPr>
          <w:rFonts w:ascii="微软雅黑" w:hAnsi="微软雅黑" w:eastAsia="微软雅黑"/>
          <w:b/>
          <w:color w:val="2F5597"/>
          <w:sz w:val="25"/>
        </w:rPr>
        <w:t>资金账变类型</w:t>
      </w:r>
    </w:p>
    <w:p w14:paraId="5ACF9B78">
      <w:pPr>
        <w:pStyle w:val="16"/>
        <w:spacing w:after="60" w:line="276" w:lineRule="auto"/>
      </w:pPr>
      <w:r>
        <w:rPr>
          <w:rFonts w:ascii="微软雅黑" w:hAnsi="微软雅黑" w:eastAsia="微软雅黑"/>
          <w:b/>
          <w:color w:val="2F5597"/>
          <w:sz w:val="20"/>
        </w:rPr>
        <w:t>资金账变类型</w:t>
      </w:r>
      <w:r>
        <w:rPr>
          <w:rFonts w:ascii="微软雅黑" w:hAnsi="微软雅黑" w:eastAsia="微软雅黑"/>
          <w:b w:val="0"/>
          <w:sz w:val="20"/>
        </w:rPr>
        <w:t>：用于维护资金账变类型和展示名称。</w:t>
      </w:r>
    </w:p>
    <w:p w14:paraId="72393E2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：查看、启用、停用或调整账变类型配置。</w:t>
      </w:r>
    </w:p>
    <w:p w14:paraId="7E7F817A">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：类型配置会影响账变筛选和前后台展示，调整前需确认口径。</w:t>
      </w:r>
    </w:p>
    <w:p w14:paraId="3E3C5FA6">
      <w:pPr>
        <w:pStyle w:val="5"/>
        <w:keepNext/>
        <w:spacing w:before="180" w:after="100" w:line="259" w:lineRule="auto"/>
      </w:pPr>
      <w:r>
        <w:rPr>
          <w:rFonts w:ascii="微软雅黑" w:hAnsi="微软雅黑" w:eastAsia="微软雅黑"/>
          <w:b/>
          <w:color w:val="2F5597"/>
          <w:sz w:val="25"/>
        </w:rPr>
        <w:t>打码管理</w:t>
      </w:r>
    </w:p>
    <w:p w14:paraId="5C333D1A">
      <w:pPr>
        <w:pStyle w:val="16"/>
        <w:spacing w:after="60" w:line="276" w:lineRule="auto"/>
      </w:pPr>
      <w:r>
        <w:rPr>
          <w:rFonts w:ascii="微软雅黑" w:hAnsi="微软雅黑" w:eastAsia="微软雅黑"/>
          <w:b/>
          <w:color w:val="2F5597"/>
          <w:sz w:val="20"/>
        </w:rPr>
        <w:t>打码管理</w:t>
      </w:r>
      <w:r>
        <w:rPr>
          <w:rFonts w:ascii="微软雅黑" w:hAnsi="微软雅黑" w:eastAsia="微软雅黑"/>
          <w:b w:val="0"/>
          <w:sz w:val="20"/>
        </w:rPr>
        <w:t>：用于查看和管理会员打码量要求。</w:t>
      </w:r>
    </w:p>
    <w:p w14:paraId="4EE4A40A">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：查询会员打码进度，核对活动、充值或人工调整产生的打码要求。</w:t>
      </w:r>
    </w:p>
    <w:p w14:paraId="6DF2562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：处理提现或活动问题时，应结合打码完成情况判断。</w:t>
      </w:r>
    </w:p>
    <w:p w14:paraId="35C4E9E9">
      <w:pPr>
        <w:pStyle w:val="3"/>
        <w:keepNext/>
        <w:spacing w:before="360" w:after="240" w:line="276" w:lineRule="auto"/>
      </w:pPr>
      <w:r>
        <w:rPr>
          <w:rFonts w:ascii="微软雅黑" w:hAnsi="微软雅黑" w:eastAsia="微软雅黑"/>
          <w:b/>
          <w:color w:val="17365D"/>
          <w:sz w:val="40"/>
        </w:rPr>
        <w:t>八、数据报表</w:t>
      </w:r>
    </w:p>
    <w:p w14:paraId="5016B412">
      <w:pPr>
        <w:pStyle w:val="4"/>
        <w:keepNext/>
        <w:spacing w:before="240" w:after="140" w:line="269" w:lineRule="auto"/>
      </w:pPr>
      <w:r>
        <w:rPr>
          <w:rFonts w:ascii="微软雅黑" w:hAnsi="微软雅黑" w:eastAsia="微软雅黑"/>
          <w:b/>
          <w:color w:val="1F4E79"/>
          <w:sz w:val="30"/>
        </w:rPr>
        <w:t>模块定位</w:t>
      </w:r>
    </w:p>
    <w:p w14:paraId="1EA7E716">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6892336">
      <w:pPr>
        <w:pStyle w:val="4"/>
        <w:keepNext/>
        <w:spacing w:before="240" w:after="140" w:line="269" w:lineRule="auto"/>
      </w:pPr>
      <w:r>
        <w:rPr>
          <w:rFonts w:ascii="微软雅黑" w:hAnsi="微软雅黑" w:eastAsia="微软雅黑"/>
          <w:b/>
          <w:color w:val="1F4E79"/>
          <w:sz w:val="30"/>
        </w:rPr>
        <w:t>页面说明</w:t>
      </w:r>
    </w:p>
    <w:p w14:paraId="5D82E6EB">
      <w:pPr>
        <w:pStyle w:val="5"/>
        <w:keepNext/>
        <w:spacing w:before="180" w:after="100" w:line="259" w:lineRule="auto"/>
      </w:pPr>
      <w:r>
        <w:rPr>
          <w:rFonts w:ascii="微软雅黑" w:hAnsi="微软雅黑" w:eastAsia="微软雅黑"/>
          <w:b/>
          <w:color w:val="2F5597"/>
          <w:sz w:val="25"/>
        </w:rPr>
        <w:t>综合数据报表</w:t>
      </w:r>
    </w:p>
    <w:p w14:paraId="054CB3D5">
      <w:pPr>
        <w:pStyle w:val="16"/>
        <w:spacing w:after="60" w:line="276" w:lineRule="auto"/>
      </w:pPr>
      <w:r>
        <w:rPr>
          <w:rFonts w:ascii="微软雅黑" w:hAnsi="微软雅黑" w:eastAsia="微软雅黑"/>
          <w:b/>
          <w:color w:val="2F5597"/>
          <w:sz w:val="20"/>
        </w:rPr>
        <w:t>综合数据报表</w:t>
      </w:r>
      <w:r>
        <w:rPr>
          <w:rFonts w:ascii="微软雅黑" w:hAnsi="微软雅黑" w:eastAsia="微软雅黑"/>
          <w:b w:val="0"/>
          <w:sz w:val="20"/>
        </w:rPr>
        <w:t>：用于查看站点综合运营数据。</w:t>
      </w:r>
    </w:p>
    <w:p w14:paraId="0315C21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：按时间筛选充值、提现、投注、输赢、会员等关键指标。</w:t>
      </w:r>
    </w:p>
    <w:p w14:paraId="51484006">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：用于日常经营看板和趋势分析，需注意筛选时间口径。</w:t>
      </w:r>
    </w:p>
    <w:p w14:paraId="2D9CF65D">
      <w:pPr>
        <w:pStyle w:val="5"/>
        <w:keepNext/>
        <w:spacing w:before="180" w:after="100" w:line="259" w:lineRule="auto"/>
      </w:pPr>
      <w:r>
        <w:rPr>
          <w:rFonts w:ascii="微软雅黑" w:hAnsi="微软雅黑" w:eastAsia="微软雅黑"/>
          <w:b/>
          <w:color w:val="2F5597"/>
          <w:sz w:val="25"/>
        </w:rPr>
        <w:t>游戏人数据表</w:t>
      </w:r>
    </w:p>
    <w:p w14:paraId="260A50A6">
      <w:pPr>
        <w:pStyle w:val="16"/>
        <w:spacing w:after="60" w:line="276" w:lineRule="auto"/>
      </w:pPr>
      <w:r>
        <w:rPr>
          <w:rFonts w:ascii="微软雅黑" w:hAnsi="微软雅黑" w:eastAsia="微软雅黑"/>
          <w:b/>
          <w:color w:val="2F5597"/>
          <w:sz w:val="20"/>
        </w:rPr>
        <w:t>游戏人数据表</w:t>
      </w:r>
      <w:r>
        <w:rPr>
          <w:rFonts w:ascii="微软雅黑" w:hAnsi="微软雅黑" w:eastAsia="微软雅黑"/>
          <w:b w:val="0"/>
          <w:sz w:val="20"/>
        </w:rPr>
        <w:t>：用于查看游戏维度的玩家人数数据。</w:t>
      </w:r>
    </w:p>
    <w:p w14:paraId="7744656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：按时间、游戏或渠道筛选，查看活跃、投注和参与人数。</w:t>
      </w:r>
    </w:p>
    <w:p w14:paraId="4FBA4DE1">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：用于判断游戏热度和玩家分布，分析时结合投注报表。</w:t>
      </w:r>
    </w:p>
    <w:p w14:paraId="4F380F61">
      <w:pPr>
        <w:pStyle w:val="5"/>
        <w:keepNext/>
        <w:spacing w:before="180" w:after="100" w:line="259" w:lineRule="auto"/>
      </w:pPr>
      <w:r>
        <w:rPr>
          <w:rFonts w:ascii="微软雅黑" w:hAnsi="微软雅黑" w:eastAsia="微软雅黑"/>
          <w:b/>
          <w:color w:val="2F5597"/>
          <w:sz w:val="25"/>
        </w:rPr>
        <w:t>优惠数据报表</w:t>
      </w:r>
    </w:p>
    <w:p w14:paraId="374A454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768D918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6F69B916">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7F72DC0E">
      <w:pPr>
        <w:pStyle w:val="5"/>
        <w:keepNext/>
        <w:spacing w:before="180" w:after="100" w:line="259" w:lineRule="auto"/>
      </w:pPr>
      <w:r>
        <w:rPr>
          <w:rFonts w:ascii="微软雅黑" w:hAnsi="微软雅黑" w:eastAsia="微软雅黑"/>
          <w:b/>
          <w:color w:val="2F5597"/>
          <w:sz w:val="25"/>
        </w:rPr>
        <w:t>充值留存报表</w:t>
      </w:r>
    </w:p>
    <w:p w14:paraId="35DAE308">
      <w:pPr>
        <w:pStyle w:val="16"/>
        <w:spacing w:after="60" w:line="276" w:lineRule="auto"/>
      </w:pPr>
      <w:r>
        <w:rPr>
          <w:rFonts w:ascii="微软雅黑" w:hAnsi="微软雅黑" w:eastAsia="微软雅黑"/>
          <w:b/>
          <w:color w:val="2F5597"/>
          <w:sz w:val="20"/>
        </w:rPr>
        <w:t>充值留存报表</w:t>
      </w:r>
      <w:r>
        <w:rPr>
          <w:rFonts w:ascii="微软雅黑" w:hAnsi="微软雅黑" w:eastAsia="微软雅黑"/>
          <w:b w:val="0"/>
          <w:sz w:val="20"/>
        </w:rPr>
        <w:t>：用于查看充值用户后续留存情况。</w:t>
      </w:r>
    </w:p>
    <w:p w14:paraId="23854D56">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：按首充日期、渠道或站点筛选，查看次日、多日留存。</w:t>
      </w:r>
    </w:p>
    <w:p w14:paraId="35B907D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：用于评估充值用户质量和运营活动效果。</w:t>
      </w:r>
    </w:p>
    <w:p w14:paraId="6B51C8CF">
      <w:pPr>
        <w:pStyle w:val="5"/>
        <w:keepNext/>
        <w:spacing w:before="180" w:after="100" w:line="259" w:lineRule="auto"/>
      </w:pPr>
      <w:r>
        <w:rPr>
          <w:rFonts w:ascii="微软雅黑" w:hAnsi="微软雅黑" w:eastAsia="微软雅黑"/>
          <w:b/>
          <w:color w:val="2F5597"/>
          <w:sz w:val="25"/>
        </w:rPr>
        <w:t>代理结算明细</w:t>
      </w:r>
    </w:p>
    <w:p w14:paraId="7B3232AF">
      <w:pPr>
        <w:pStyle w:val="16"/>
        <w:spacing w:after="60" w:line="276" w:lineRule="auto"/>
      </w:pPr>
      <w:r>
        <w:rPr>
          <w:rFonts w:ascii="微软雅黑" w:hAnsi="微软雅黑" w:eastAsia="微软雅黑"/>
          <w:b/>
          <w:color w:val="2F5597"/>
          <w:sz w:val="20"/>
        </w:rPr>
        <w:t>代理结算明细</w:t>
      </w:r>
      <w:r>
        <w:rPr>
          <w:rFonts w:ascii="微软雅黑" w:hAnsi="微软雅黑" w:eastAsia="微软雅黑"/>
          <w:b w:val="0"/>
          <w:sz w:val="20"/>
        </w:rPr>
        <w:t>：用于查看代理结算明细和结算结果。</w:t>
      </w:r>
    </w:p>
    <w:p w14:paraId="20462E4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：按代理、结算周期或状态筛选，查看佣金、返水和调整项。</w:t>
      </w:r>
    </w:p>
    <w:p w14:paraId="004262F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：结算前需核对代理配置、会员数据和异常调整。</w:t>
      </w:r>
    </w:p>
    <w:p w14:paraId="028AA85F">
      <w:pPr>
        <w:pStyle w:val="5"/>
        <w:keepNext/>
        <w:spacing w:before="180" w:after="100" w:line="259" w:lineRule="auto"/>
      </w:pPr>
      <w:r>
        <w:rPr>
          <w:rFonts w:ascii="微软雅黑" w:hAnsi="微软雅黑" w:eastAsia="微软雅黑"/>
          <w:b/>
          <w:color w:val="2F5597"/>
          <w:sz w:val="25"/>
        </w:rPr>
        <w:t>VIP数据统计</w:t>
      </w:r>
    </w:p>
    <w:p w14:paraId="6651434E">
      <w:pPr>
        <w:pStyle w:val="16"/>
        <w:spacing w:after="60" w:line="276" w:lineRule="auto"/>
      </w:pPr>
      <w:r>
        <w:rPr>
          <w:rFonts w:ascii="微软雅黑" w:hAnsi="微软雅黑" w:eastAsia="微软雅黑"/>
          <w:b/>
          <w:color w:val="2F5597"/>
          <w:sz w:val="20"/>
        </w:rPr>
        <w:t>VIP数据统计</w:t>
      </w:r>
      <w:r>
        <w:rPr>
          <w:rFonts w:ascii="微软雅黑" w:hAnsi="微软雅黑" w:eastAsia="微软雅黑"/>
          <w:b w:val="0"/>
          <w:sz w:val="20"/>
        </w:rPr>
        <w:t>：用于统计各 VIP 等级会员数据。</w:t>
      </w:r>
    </w:p>
    <w:p w14:paraId="259A9454">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：按时间或等级查看会员数量、充值、投注和升降级情况。</w:t>
      </w:r>
    </w:p>
    <w:p w14:paraId="57D7C6C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 VIP 结构和高价值会员运营效果。</w:t>
      </w:r>
    </w:p>
    <w:p w14:paraId="0928B106">
      <w:pPr>
        <w:pStyle w:val="5"/>
        <w:keepNext/>
        <w:spacing w:before="180" w:after="100" w:line="259" w:lineRule="auto"/>
      </w:pPr>
      <w:r>
        <w:rPr>
          <w:rFonts w:ascii="微软雅黑" w:hAnsi="微软雅黑" w:eastAsia="微软雅黑"/>
          <w:b/>
          <w:color w:val="2F5597"/>
          <w:sz w:val="25"/>
        </w:rPr>
        <w:t>数据排行</w:t>
      </w:r>
    </w:p>
    <w:p w14:paraId="14319551">
      <w:pPr>
        <w:pStyle w:val="16"/>
        <w:spacing w:after="60" w:line="276" w:lineRule="auto"/>
      </w:pPr>
      <w:r>
        <w:rPr>
          <w:rFonts w:ascii="微软雅黑" w:hAnsi="微软雅黑" w:eastAsia="微软雅黑"/>
          <w:b/>
          <w:color w:val="2F5597"/>
          <w:sz w:val="20"/>
        </w:rPr>
        <w:t>数据排行</w:t>
      </w:r>
      <w:r>
        <w:rPr>
          <w:rFonts w:ascii="微软雅黑" w:hAnsi="微软雅黑" w:eastAsia="微软雅黑"/>
          <w:b w:val="0"/>
          <w:sz w:val="20"/>
        </w:rPr>
        <w:t>：用于查看会员、游戏或渠道相关排行。</w:t>
      </w:r>
    </w:p>
    <w:p w14:paraId="1F6EFD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：按指标和时间筛选，查看充值、投注、输赢等排名。</w:t>
      </w:r>
    </w:p>
    <w:p w14:paraId="1B689EF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：排行用于发现重点会员和异常数据，需结合明细记录核对。</w:t>
      </w:r>
    </w:p>
    <w:p w14:paraId="55BCB24D">
      <w:pPr>
        <w:pStyle w:val="5"/>
        <w:keepNext/>
        <w:spacing w:before="180" w:after="100" w:line="259" w:lineRule="auto"/>
      </w:pPr>
      <w:r>
        <w:rPr>
          <w:rFonts w:ascii="微软雅黑" w:hAnsi="微软雅黑" w:eastAsia="微软雅黑"/>
          <w:b/>
          <w:color w:val="2F5597"/>
          <w:sz w:val="25"/>
        </w:rPr>
        <w:t>游戏记录</w:t>
      </w:r>
    </w:p>
    <w:p w14:paraId="631FA4A6">
      <w:pPr>
        <w:pStyle w:val="16"/>
        <w:spacing w:after="60" w:line="276" w:lineRule="auto"/>
      </w:pPr>
      <w:r>
        <w:rPr>
          <w:rFonts w:ascii="微软雅黑" w:hAnsi="微软雅黑" w:eastAsia="微软雅黑"/>
          <w:b/>
          <w:color w:val="2F5597"/>
          <w:sz w:val="20"/>
        </w:rPr>
        <w:t>游戏记录</w:t>
      </w:r>
      <w:r>
        <w:rPr>
          <w:rFonts w:ascii="微软雅黑" w:hAnsi="微软雅黑" w:eastAsia="微软雅黑"/>
          <w:b w:val="0"/>
          <w:sz w:val="20"/>
        </w:rPr>
        <w:t>：用于查询玩家游戏投注记录。</w:t>
      </w:r>
    </w:p>
    <w:p w14:paraId="47CD2E8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：按玩家、游戏、订单号、状态或时间筛选，查看投注明细。</w:t>
      </w:r>
    </w:p>
    <w:p w14:paraId="03FB3BAC">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：排查输赢争议时应结合游戏记录、账变和订单状态。</w:t>
      </w:r>
    </w:p>
    <w:p w14:paraId="4782256E">
      <w:pPr>
        <w:pStyle w:val="5"/>
        <w:keepNext/>
        <w:spacing w:before="180" w:after="100" w:line="259" w:lineRule="auto"/>
      </w:pPr>
      <w:r>
        <w:rPr>
          <w:rFonts w:ascii="微软雅黑" w:hAnsi="微软雅黑" w:eastAsia="微软雅黑"/>
          <w:b/>
          <w:color w:val="2F5597"/>
          <w:sz w:val="25"/>
        </w:rPr>
        <w:t>用户留存</w:t>
      </w:r>
    </w:p>
    <w:p w14:paraId="1A4ADA83">
      <w:pPr>
        <w:pStyle w:val="16"/>
        <w:spacing w:after="60" w:line="276" w:lineRule="auto"/>
      </w:pPr>
      <w:r>
        <w:rPr>
          <w:rFonts w:ascii="微软雅黑" w:hAnsi="微软雅黑" w:eastAsia="微软雅黑"/>
          <w:b/>
          <w:color w:val="2F5597"/>
          <w:sz w:val="20"/>
        </w:rPr>
        <w:t>用户留存</w:t>
      </w:r>
      <w:r>
        <w:rPr>
          <w:rFonts w:ascii="微软雅黑" w:hAnsi="微软雅黑" w:eastAsia="微软雅黑"/>
          <w:b w:val="0"/>
          <w:sz w:val="20"/>
        </w:rPr>
        <w:t>：用于查看注册或活跃用户的留存情况。</w:t>
      </w:r>
    </w:p>
    <w:p w14:paraId="409BDBF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：按日期、渠道或用户分组筛选，查看留存比例。</w:t>
      </w:r>
    </w:p>
    <w:p w14:paraId="545D7255">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：留存分析用于评估渠道质量和运营活动效果。</w:t>
      </w:r>
    </w:p>
    <w:p w14:paraId="7F4FB0CF">
      <w:pPr>
        <w:pStyle w:val="5"/>
        <w:keepNext/>
        <w:spacing w:before="180" w:after="100" w:line="259" w:lineRule="auto"/>
      </w:pPr>
      <w:r>
        <w:rPr>
          <w:rFonts w:ascii="微软雅黑" w:hAnsi="微软雅黑" w:eastAsia="微软雅黑"/>
          <w:b/>
          <w:color w:val="2F5597"/>
          <w:sz w:val="25"/>
        </w:rPr>
        <w:t>用户分析</w:t>
      </w:r>
    </w:p>
    <w:p w14:paraId="74B4BFBB">
      <w:pPr>
        <w:pStyle w:val="16"/>
        <w:spacing w:after="60" w:line="276" w:lineRule="auto"/>
      </w:pPr>
      <w:r>
        <w:rPr>
          <w:rFonts w:ascii="微软雅黑" w:hAnsi="微软雅黑" w:eastAsia="微软雅黑"/>
          <w:b/>
          <w:color w:val="2F5597"/>
          <w:sz w:val="20"/>
        </w:rPr>
        <w:t>用户分析</w:t>
      </w:r>
      <w:r>
        <w:rPr>
          <w:rFonts w:ascii="微软雅黑" w:hAnsi="微软雅黑" w:eastAsia="微软雅黑"/>
          <w:b w:val="0"/>
          <w:sz w:val="20"/>
        </w:rPr>
        <w:t>：用于分析用户结构、活跃和行为数据。</w:t>
      </w:r>
    </w:p>
    <w:p w14:paraId="55A63E5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：按时间、渠道或用户类型筛选，查看新增、活跃、充值等指标。</w:t>
      </w:r>
    </w:p>
    <w:p w14:paraId="764ACB6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：用于用户运营决策，需结合留存、充值和活动数据判断。</w:t>
      </w:r>
    </w:p>
    <w:p w14:paraId="6E8DFB1B">
      <w:pPr>
        <w:pStyle w:val="5"/>
        <w:keepNext/>
        <w:spacing w:before="180" w:after="100" w:line="259" w:lineRule="auto"/>
      </w:pPr>
      <w:r>
        <w:rPr>
          <w:rFonts w:ascii="微软雅黑" w:hAnsi="微软雅黑" w:eastAsia="微软雅黑"/>
          <w:b/>
          <w:color w:val="2F5597"/>
          <w:sz w:val="25"/>
        </w:rPr>
        <w:t>LTV</w:t>
      </w:r>
    </w:p>
    <w:p w14:paraId="5D591226">
      <w:pPr>
        <w:pStyle w:val="16"/>
        <w:spacing w:after="60" w:line="276" w:lineRule="auto"/>
      </w:pPr>
      <w:r>
        <w:rPr>
          <w:rFonts w:ascii="微软雅黑" w:hAnsi="微软雅黑" w:eastAsia="微软雅黑"/>
          <w:b/>
          <w:color w:val="2F5597"/>
          <w:sz w:val="20"/>
        </w:rPr>
        <w:t>LTV</w:t>
      </w:r>
      <w:r>
        <w:rPr>
          <w:rFonts w:ascii="微软雅黑" w:hAnsi="微软雅黑" w:eastAsia="微软雅黑"/>
          <w:b w:val="0"/>
          <w:sz w:val="20"/>
        </w:rPr>
        <w:t>：用于查看用户生命周期价值数据。</w:t>
      </w:r>
    </w:p>
    <w:p w14:paraId="2FAF872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：按注册日期、渠道或用户分组筛选，查看不同周期价值表现。</w:t>
      </w:r>
    </w:p>
    <w:p w14:paraId="6C0E1541">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：用于评估投放回收和用户质量，需与渠道成本结合分析。</w:t>
      </w:r>
    </w:p>
    <w:p w14:paraId="72DD9253">
      <w:pPr>
        <w:pStyle w:val="5"/>
        <w:keepNext/>
        <w:spacing w:before="180" w:after="100" w:line="259" w:lineRule="auto"/>
      </w:pPr>
      <w:r>
        <w:rPr>
          <w:rFonts w:ascii="微软雅黑" w:hAnsi="微软雅黑" w:eastAsia="微软雅黑"/>
          <w:b/>
          <w:color w:val="2F5597"/>
          <w:sz w:val="25"/>
        </w:rPr>
        <w:t>活动统计报表</w:t>
      </w:r>
    </w:p>
    <w:p w14:paraId="4175DA68">
      <w:pPr>
        <w:pStyle w:val="16"/>
        <w:spacing w:after="60" w:line="276" w:lineRule="auto"/>
      </w:pPr>
      <w:r>
        <w:rPr>
          <w:rFonts w:ascii="微软雅黑" w:hAnsi="微软雅黑" w:eastAsia="微软雅黑"/>
          <w:b/>
          <w:color w:val="2F5597"/>
          <w:sz w:val="20"/>
        </w:rPr>
        <w:t>活动统计报表</w:t>
      </w:r>
      <w:r>
        <w:rPr>
          <w:rFonts w:ascii="微软雅黑" w:hAnsi="微软雅黑" w:eastAsia="微软雅黑"/>
          <w:b w:val="0"/>
          <w:sz w:val="20"/>
        </w:rPr>
        <w:t>：用于统计活动参与和奖励数据。</w:t>
      </w:r>
    </w:p>
    <w:p w14:paraId="452E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：按活动和时间筛选，查看参与人数、奖励金额和转化情况。</w:t>
      </w:r>
    </w:p>
    <w:p w14:paraId="2C5A70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：用于活动效果复盘，需结合优惠数据和账变记录核对。</w:t>
      </w:r>
    </w:p>
    <w:p w14:paraId="73D9923F">
      <w:pPr>
        <w:pStyle w:val="5"/>
        <w:keepNext/>
        <w:spacing w:before="180" w:after="100" w:line="259" w:lineRule="auto"/>
      </w:pPr>
      <w:r>
        <w:rPr>
          <w:rFonts w:ascii="微软雅黑" w:hAnsi="微软雅黑" w:eastAsia="微软雅黑"/>
          <w:b/>
          <w:color w:val="2F5597"/>
          <w:sz w:val="25"/>
        </w:rPr>
        <w:t>充值分布表</w:t>
      </w:r>
    </w:p>
    <w:p w14:paraId="3D473244">
      <w:pPr>
        <w:pStyle w:val="16"/>
        <w:spacing w:after="60" w:line="276" w:lineRule="auto"/>
      </w:pPr>
      <w:r>
        <w:rPr>
          <w:rFonts w:ascii="微软雅黑" w:hAnsi="微软雅黑" w:eastAsia="微软雅黑"/>
          <w:b/>
          <w:color w:val="2F5597"/>
          <w:sz w:val="20"/>
        </w:rPr>
        <w:t>充值分布表</w:t>
      </w:r>
      <w:r>
        <w:rPr>
          <w:rFonts w:ascii="微软雅黑" w:hAnsi="微软雅黑" w:eastAsia="微软雅黑"/>
          <w:b w:val="0"/>
          <w:sz w:val="20"/>
        </w:rPr>
        <w:t>：用于查看充值金额、次数和用户分布。</w:t>
      </w:r>
    </w:p>
    <w:p w14:paraId="46DCB4E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：按时间、金额区间或渠道筛选，查看充值结构。</w:t>
      </w:r>
    </w:p>
    <w:p w14:paraId="22F6209D">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：用于分析充值习惯和优化充值配置。</w:t>
      </w:r>
    </w:p>
    <w:p w14:paraId="428F47D2">
      <w:pPr>
        <w:pStyle w:val="5"/>
        <w:keepNext/>
        <w:spacing w:before="180" w:after="100" w:line="259" w:lineRule="auto"/>
      </w:pPr>
      <w:r>
        <w:rPr>
          <w:rFonts w:ascii="微软雅黑" w:hAnsi="微软雅黑" w:eastAsia="微软雅黑"/>
          <w:b/>
          <w:color w:val="2F5597"/>
          <w:sz w:val="25"/>
        </w:rPr>
        <w:t>任务统计报表</w:t>
      </w:r>
    </w:p>
    <w:p w14:paraId="18F8B7DD">
      <w:pPr>
        <w:pStyle w:val="16"/>
        <w:spacing w:after="60" w:line="276" w:lineRule="auto"/>
      </w:pPr>
      <w:r>
        <w:rPr>
          <w:rFonts w:ascii="微软雅黑" w:hAnsi="微软雅黑" w:eastAsia="微软雅黑"/>
          <w:b/>
          <w:color w:val="2F5597"/>
          <w:sz w:val="20"/>
        </w:rPr>
        <w:t>任务统计报表</w:t>
      </w:r>
      <w:r>
        <w:rPr>
          <w:rFonts w:ascii="微软雅黑" w:hAnsi="微软雅黑" w:eastAsia="微软雅黑"/>
          <w:b w:val="0"/>
          <w:sz w:val="20"/>
        </w:rPr>
        <w:t>：用于查看任务参与和完成数据。</w:t>
      </w:r>
    </w:p>
    <w:p w14:paraId="27A6625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：按任务和时间筛选，查看参与人数、完成数和奖励发放。</w:t>
      </w:r>
    </w:p>
    <w:p w14:paraId="7849586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：用于评估任务效果，需结合任务配置和奖励记录。</w:t>
      </w:r>
    </w:p>
    <w:p w14:paraId="59DE9601">
      <w:pPr>
        <w:pStyle w:val="5"/>
        <w:keepNext/>
        <w:spacing w:before="180" w:after="100" w:line="259" w:lineRule="auto"/>
      </w:pPr>
      <w:r>
        <w:rPr>
          <w:rFonts w:ascii="微软雅黑" w:hAnsi="微软雅黑" w:eastAsia="微软雅黑"/>
          <w:b/>
          <w:color w:val="2F5597"/>
          <w:sz w:val="25"/>
        </w:rPr>
        <w:t>用户分群查询</w:t>
      </w:r>
    </w:p>
    <w:p w14:paraId="5C0CAEB1">
      <w:pPr>
        <w:pStyle w:val="16"/>
        <w:spacing w:after="60" w:line="276" w:lineRule="auto"/>
      </w:pPr>
      <w:r>
        <w:rPr>
          <w:rFonts w:ascii="微软雅黑" w:hAnsi="微软雅黑" w:eastAsia="微软雅黑"/>
          <w:b/>
          <w:color w:val="2F5597"/>
          <w:sz w:val="20"/>
        </w:rPr>
        <w:t>用户分群查询</w:t>
      </w:r>
      <w:r>
        <w:rPr>
          <w:rFonts w:ascii="微软雅黑" w:hAnsi="微软雅黑" w:eastAsia="微软雅黑"/>
          <w:b w:val="0"/>
          <w:sz w:val="20"/>
        </w:rPr>
        <w:t>：用于查询用户分群结果和分群成员。</w:t>
      </w:r>
    </w:p>
    <w:p w14:paraId="35F9A45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：按分群条件、标签或会员信息筛选，查看命中用户。</w:t>
      </w:r>
    </w:p>
    <w:p w14:paraId="18848A1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：分群结果可用于活动、消息推送和精细化运营。</w:t>
      </w:r>
    </w:p>
    <w:p w14:paraId="28FBAEC0">
      <w:pPr>
        <w:pStyle w:val="3"/>
        <w:keepNext/>
        <w:spacing w:before="360" w:after="240" w:line="276" w:lineRule="auto"/>
      </w:pPr>
      <w:r>
        <w:rPr>
          <w:rFonts w:ascii="微软雅黑" w:hAnsi="微软雅黑" w:eastAsia="微软雅黑"/>
          <w:b/>
          <w:color w:val="17365D"/>
          <w:sz w:val="40"/>
        </w:rPr>
        <w:t>九、游戏中心</w:t>
      </w:r>
    </w:p>
    <w:p w14:paraId="7FE60D52">
      <w:pPr>
        <w:pStyle w:val="4"/>
        <w:keepNext/>
        <w:spacing w:before="240" w:after="140" w:line="269" w:lineRule="auto"/>
      </w:pPr>
      <w:r>
        <w:rPr>
          <w:rFonts w:ascii="微软雅黑" w:hAnsi="微软雅黑" w:eastAsia="微软雅黑"/>
          <w:b/>
          <w:color w:val="1F4E79"/>
          <w:sz w:val="30"/>
        </w:rPr>
        <w:t>模块定位</w:t>
      </w:r>
    </w:p>
    <w:p w14:paraId="1A5B98BB">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7740A8C">
      <w:pPr>
        <w:pStyle w:val="4"/>
        <w:keepNext/>
        <w:spacing w:before="240" w:after="140" w:line="269" w:lineRule="auto"/>
      </w:pPr>
      <w:r>
        <w:rPr>
          <w:rFonts w:ascii="微软雅黑" w:hAnsi="微软雅黑" w:eastAsia="微软雅黑"/>
          <w:b/>
          <w:color w:val="1F4E79"/>
          <w:sz w:val="30"/>
        </w:rPr>
        <w:t>页面说明</w:t>
      </w:r>
    </w:p>
    <w:p w14:paraId="5D44EC52">
      <w:pPr>
        <w:pStyle w:val="5"/>
        <w:keepNext/>
        <w:spacing w:before="180" w:after="100" w:line="259" w:lineRule="auto"/>
      </w:pPr>
      <w:r>
        <w:rPr>
          <w:rFonts w:ascii="微软雅黑" w:hAnsi="微软雅黑" w:eastAsia="微软雅黑"/>
          <w:b/>
          <w:color w:val="2F5597"/>
          <w:sz w:val="25"/>
        </w:rPr>
        <w:t>推荐频道管理</w:t>
      </w:r>
    </w:p>
    <w:p w14:paraId="614F7F9C">
      <w:pPr>
        <w:pStyle w:val="16"/>
        <w:spacing w:after="60" w:line="276" w:lineRule="auto"/>
      </w:pPr>
      <w:r>
        <w:rPr>
          <w:rFonts w:ascii="微软雅黑" w:hAnsi="微软雅黑" w:eastAsia="微软雅黑"/>
          <w:b/>
          <w:color w:val="2F5597"/>
          <w:sz w:val="20"/>
        </w:rPr>
        <w:t>推荐频道管理</w:t>
      </w:r>
      <w:r>
        <w:rPr>
          <w:rFonts w:ascii="微软雅黑" w:hAnsi="微软雅黑" w:eastAsia="微软雅黑"/>
          <w:b w:val="0"/>
          <w:sz w:val="20"/>
        </w:rPr>
        <w:t>：用于维护前台推荐频道和展示内容。</w:t>
      </w:r>
    </w:p>
    <w:p w14:paraId="1071B0F6">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：新增、编辑、排序、启用或停用推荐频道。</w:t>
      </w:r>
    </w:p>
    <w:p w14:paraId="5D4D30B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：调整前确认频道内容、排序和前台展示效果。</w:t>
      </w:r>
    </w:p>
    <w:p w14:paraId="65EA5E4B">
      <w:pPr>
        <w:pStyle w:val="5"/>
        <w:keepNext/>
        <w:spacing w:before="180" w:after="100" w:line="259" w:lineRule="auto"/>
      </w:pPr>
      <w:r>
        <w:rPr>
          <w:rFonts w:ascii="微软雅黑" w:hAnsi="微软雅黑" w:eastAsia="微软雅黑"/>
          <w:b/>
          <w:color w:val="2F5597"/>
          <w:sz w:val="25"/>
        </w:rPr>
        <w:t>游戏类型设置</w:t>
      </w:r>
    </w:p>
    <w:p w14:paraId="0FBFB201">
      <w:pPr>
        <w:pStyle w:val="16"/>
        <w:spacing w:after="60" w:line="276" w:lineRule="auto"/>
      </w:pPr>
      <w:r>
        <w:rPr>
          <w:rFonts w:ascii="微软雅黑" w:hAnsi="微软雅黑" w:eastAsia="微软雅黑"/>
          <w:b/>
          <w:color w:val="2F5597"/>
          <w:sz w:val="20"/>
        </w:rPr>
        <w:t>游戏类型设置</w:t>
      </w:r>
      <w:r>
        <w:rPr>
          <w:rFonts w:ascii="微软雅黑" w:hAnsi="微软雅黑" w:eastAsia="微软雅黑"/>
          <w:b w:val="0"/>
          <w:sz w:val="20"/>
        </w:rPr>
        <w:t>：用于维护游戏类型分类。</w:t>
      </w:r>
    </w:p>
    <w:p w14:paraId="25ABDC9B">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：新增、编辑、排序、启用或停用游戏类型。</w:t>
      </w:r>
    </w:p>
    <w:p w14:paraId="48A5F3B5">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：类型配置会影响前台游戏筛选和后台统计归类。</w:t>
      </w:r>
    </w:p>
    <w:p w14:paraId="4B2C4F27">
      <w:pPr>
        <w:pStyle w:val="5"/>
        <w:keepNext/>
        <w:spacing w:before="180" w:after="100" w:line="259" w:lineRule="auto"/>
      </w:pPr>
      <w:r>
        <w:rPr>
          <w:rFonts w:ascii="微软雅黑" w:hAnsi="微软雅黑" w:eastAsia="微软雅黑"/>
          <w:b/>
          <w:color w:val="2F5597"/>
          <w:sz w:val="25"/>
        </w:rPr>
        <w:t>游戏频道管理</w:t>
      </w:r>
    </w:p>
    <w:p w14:paraId="79105434">
      <w:pPr>
        <w:pStyle w:val="16"/>
        <w:spacing w:after="60" w:line="276" w:lineRule="auto"/>
      </w:pPr>
      <w:r>
        <w:rPr>
          <w:rFonts w:ascii="微软雅黑" w:hAnsi="微软雅黑" w:eastAsia="微软雅黑"/>
          <w:b/>
          <w:color w:val="2F5597"/>
          <w:sz w:val="20"/>
        </w:rPr>
        <w:t>游戏频道管理</w:t>
      </w:r>
      <w:r>
        <w:rPr>
          <w:rFonts w:ascii="微软雅黑" w:hAnsi="微软雅黑" w:eastAsia="微软雅黑"/>
          <w:b w:val="0"/>
          <w:sz w:val="20"/>
        </w:rPr>
        <w:t>：用于维护游戏频道和频道内游戏展示。</w:t>
      </w:r>
    </w:p>
    <w:p w14:paraId="39ED2534">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：配置频道名称、排序、展示游戏和启停状态。</w:t>
      </w:r>
    </w:p>
    <w:p w14:paraId="728279E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：保存后需检查前台频道展示和游戏入口是否正确。</w:t>
      </w:r>
    </w:p>
    <w:p w14:paraId="6618AAB0">
      <w:pPr>
        <w:pStyle w:val="5"/>
        <w:keepNext/>
        <w:spacing w:before="180" w:after="100" w:line="259" w:lineRule="auto"/>
      </w:pPr>
      <w:r>
        <w:rPr>
          <w:rFonts w:ascii="微软雅黑" w:hAnsi="微软雅黑" w:eastAsia="微软雅黑"/>
          <w:b/>
          <w:color w:val="2F5597"/>
          <w:sz w:val="25"/>
        </w:rPr>
        <w:t>子游戏列表</w:t>
      </w:r>
    </w:p>
    <w:p w14:paraId="22BFEA74">
      <w:pPr>
        <w:pStyle w:val="16"/>
        <w:spacing w:after="60" w:line="276" w:lineRule="auto"/>
      </w:pPr>
      <w:r>
        <w:rPr>
          <w:rFonts w:ascii="微软雅黑" w:hAnsi="微软雅黑" w:eastAsia="微软雅黑"/>
          <w:b/>
          <w:color w:val="2F5597"/>
          <w:sz w:val="20"/>
        </w:rPr>
        <w:t>子游戏列表</w:t>
      </w:r>
      <w:r>
        <w:rPr>
          <w:rFonts w:ascii="微软雅黑" w:hAnsi="微软雅黑" w:eastAsia="微软雅黑"/>
          <w:b w:val="0"/>
          <w:sz w:val="20"/>
        </w:rPr>
        <w:t>：用于查看和管理子游戏信息。</w:t>
      </w:r>
    </w:p>
    <w:p w14:paraId="3A9BF828">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：按厂商、类型或状态筛选，启用、停用或调整游戏展示。</w:t>
      </w:r>
    </w:p>
    <w:p w14:paraId="367A88CD">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：调整游戏状态会影响玩家进入游戏，操作前需确认影响范围。</w:t>
      </w:r>
    </w:p>
    <w:p w14:paraId="6D89B257">
      <w:pPr>
        <w:pStyle w:val="5"/>
        <w:keepNext/>
        <w:spacing w:before="180" w:after="100" w:line="259" w:lineRule="auto"/>
      </w:pPr>
      <w:r>
        <w:rPr>
          <w:rFonts w:ascii="微软雅黑" w:hAnsi="微软雅黑" w:eastAsia="微软雅黑"/>
          <w:b/>
          <w:color w:val="2F5597"/>
          <w:sz w:val="25"/>
        </w:rPr>
        <w:t>游戏统计</w:t>
      </w:r>
    </w:p>
    <w:p w14:paraId="1A33C13A">
      <w:pPr>
        <w:pStyle w:val="16"/>
        <w:spacing w:after="60" w:line="276" w:lineRule="auto"/>
      </w:pPr>
      <w:r>
        <w:rPr>
          <w:rFonts w:ascii="微软雅黑" w:hAnsi="微软雅黑" w:eastAsia="微软雅黑"/>
          <w:b/>
          <w:color w:val="2F5597"/>
          <w:sz w:val="20"/>
        </w:rPr>
        <w:t>游戏统计</w:t>
      </w:r>
      <w:r>
        <w:rPr>
          <w:rFonts w:ascii="微软雅黑" w:hAnsi="微软雅黑" w:eastAsia="微软雅黑"/>
          <w:b w:val="0"/>
          <w:sz w:val="20"/>
        </w:rPr>
        <w:t>：用于查看游戏投注和输赢统计。</w:t>
      </w:r>
    </w:p>
    <w:p w14:paraId="0D86C84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：按游戏、厂商或时间筛选，查看投注人数、投注额和输赢。</w:t>
      </w:r>
    </w:p>
    <w:p w14:paraId="5CBCC1E0">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：用于分析游戏表现，异常时结合游戏记录核对。</w:t>
      </w:r>
    </w:p>
    <w:p w14:paraId="11EEA7F1">
      <w:pPr>
        <w:pStyle w:val="5"/>
        <w:keepNext/>
        <w:spacing w:before="180" w:after="100" w:line="259" w:lineRule="auto"/>
      </w:pPr>
      <w:r>
        <w:rPr>
          <w:rFonts w:ascii="微软雅黑" w:hAnsi="微软雅黑" w:eastAsia="微软雅黑"/>
          <w:b/>
          <w:color w:val="2F5597"/>
          <w:sz w:val="25"/>
        </w:rPr>
        <w:t>游戏厂商统计</w:t>
      </w:r>
    </w:p>
    <w:p w14:paraId="287B5C7A">
      <w:pPr>
        <w:pStyle w:val="16"/>
        <w:spacing w:after="60" w:line="276" w:lineRule="auto"/>
      </w:pPr>
      <w:r>
        <w:rPr>
          <w:rFonts w:ascii="微软雅黑" w:hAnsi="微软雅黑" w:eastAsia="微软雅黑"/>
          <w:b/>
          <w:color w:val="2F5597"/>
          <w:sz w:val="20"/>
        </w:rPr>
        <w:t>游戏厂商统计</w:t>
      </w:r>
      <w:r>
        <w:rPr>
          <w:rFonts w:ascii="微软雅黑" w:hAnsi="微软雅黑" w:eastAsia="微软雅黑"/>
          <w:b w:val="0"/>
          <w:sz w:val="20"/>
        </w:rPr>
        <w:t>：用于查看各游戏厂商数据表现。</w:t>
      </w:r>
    </w:p>
    <w:p w14:paraId="6719718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：按厂商和时间筛选，查看投注、输赢和活跃数据。</w:t>
      </w:r>
    </w:p>
    <w:p w14:paraId="458A5AC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：用于评估厂商质量和游戏引入效果。</w:t>
      </w:r>
    </w:p>
    <w:p w14:paraId="44C4832E">
      <w:pPr>
        <w:pStyle w:val="3"/>
        <w:keepNext/>
        <w:spacing w:before="360" w:after="240" w:line="276" w:lineRule="auto"/>
      </w:pPr>
      <w:r>
        <w:rPr>
          <w:rFonts w:ascii="微软雅黑" w:hAnsi="微软雅黑" w:eastAsia="微软雅黑"/>
          <w:b/>
          <w:color w:val="17365D"/>
          <w:sz w:val="40"/>
        </w:rPr>
        <w:t>十、用户管理</w:t>
      </w:r>
    </w:p>
    <w:p w14:paraId="33F41098">
      <w:pPr>
        <w:pStyle w:val="4"/>
        <w:keepNext/>
        <w:spacing w:before="240" w:after="140" w:line="269" w:lineRule="auto"/>
      </w:pPr>
      <w:r>
        <w:rPr>
          <w:rFonts w:ascii="微软雅黑" w:hAnsi="微软雅黑" w:eastAsia="微软雅黑"/>
          <w:b/>
          <w:color w:val="1F4E79"/>
          <w:sz w:val="30"/>
        </w:rPr>
        <w:t>模块定位</w:t>
      </w:r>
    </w:p>
    <w:p w14:paraId="2A2B0F0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3F1E533F">
      <w:pPr>
        <w:pStyle w:val="4"/>
        <w:keepNext/>
        <w:spacing w:before="240" w:after="140" w:line="269" w:lineRule="auto"/>
      </w:pPr>
      <w:r>
        <w:rPr>
          <w:rFonts w:ascii="微软雅黑" w:hAnsi="微软雅黑" w:eastAsia="微软雅黑"/>
          <w:b/>
          <w:color w:val="1F4E79"/>
          <w:sz w:val="30"/>
        </w:rPr>
        <w:t>页面说明</w:t>
      </w:r>
    </w:p>
    <w:p w14:paraId="0859F249">
      <w:pPr>
        <w:pStyle w:val="5"/>
        <w:keepNext/>
        <w:spacing w:before="180" w:after="100" w:line="259" w:lineRule="auto"/>
      </w:pPr>
      <w:r>
        <w:rPr>
          <w:rFonts w:ascii="微软雅黑" w:hAnsi="微软雅黑" w:eastAsia="微软雅黑"/>
          <w:b/>
          <w:color w:val="2F5597"/>
          <w:sz w:val="25"/>
        </w:rPr>
        <w:t>在线玩家列表</w:t>
      </w:r>
    </w:p>
    <w:p w14:paraId="1B48DE56">
      <w:pPr>
        <w:pStyle w:val="16"/>
        <w:spacing w:after="60" w:line="276" w:lineRule="auto"/>
      </w:pPr>
      <w:r>
        <w:rPr>
          <w:rFonts w:ascii="微软雅黑" w:hAnsi="微软雅黑" w:eastAsia="微软雅黑"/>
          <w:b/>
          <w:color w:val="2F5597"/>
          <w:sz w:val="20"/>
        </w:rPr>
        <w:t>在线玩家列表</w:t>
      </w:r>
      <w:r>
        <w:rPr>
          <w:rFonts w:ascii="微软雅黑" w:hAnsi="微软雅黑" w:eastAsia="微软雅黑"/>
          <w:b w:val="0"/>
          <w:sz w:val="20"/>
        </w:rPr>
        <w:t>：用于查看当前在线玩家。</w:t>
      </w:r>
    </w:p>
    <w:p w14:paraId="6CC5D45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：按会员、渠道或状态筛选，查看在线时间、终端和会员信息。</w:t>
      </w:r>
    </w:p>
    <w:p w14:paraId="50D074F6">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：用于实时运营观察和异常在线排查。</w:t>
      </w:r>
    </w:p>
    <w:p w14:paraId="7114301A">
      <w:pPr>
        <w:pStyle w:val="5"/>
        <w:keepNext/>
        <w:spacing w:before="180" w:after="100" w:line="259" w:lineRule="auto"/>
      </w:pPr>
      <w:r>
        <w:rPr>
          <w:rFonts w:ascii="微软雅黑" w:hAnsi="微软雅黑" w:eastAsia="微软雅黑"/>
          <w:b/>
          <w:color w:val="2F5597"/>
          <w:sz w:val="25"/>
        </w:rPr>
        <w:t>所有会员</w:t>
      </w:r>
    </w:p>
    <w:p w14:paraId="20FF2DF4">
      <w:pPr>
        <w:pStyle w:val="16"/>
        <w:spacing w:after="60" w:line="276" w:lineRule="auto"/>
      </w:pPr>
      <w:r>
        <w:rPr>
          <w:rFonts w:ascii="微软雅黑" w:hAnsi="微软雅黑" w:eastAsia="微软雅黑"/>
          <w:b/>
          <w:color w:val="2F5597"/>
          <w:sz w:val="20"/>
        </w:rPr>
        <w:t>所有会员</w:t>
      </w:r>
      <w:r>
        <w:rPr>
          <w:rFonts w:ascii="微软雅黑" w:hAnsi="微软雅黑" w:eastAsia="微软雅黑"/>
          <w:b w:val="0"/>
          <w:sz w:val="20"/>
        </w:rPr>
        <w:t>：用于查询和管理会员基础信息。</w:t>
      </w:r>
    </w:p>
    <w:p w14:paraId="2BA1C63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：按会员账号、ID、状态或注册时间筛选，查看资料、余额和行为信息。</w:t>
      </w:r>
    </w:p>
    <w:p w14:paraId="4871796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：处理会员问题时先确认账号身份，再进入资金、订单或活动明细核对。</w:t>
      </w:r>
    </w:p>
    <w:p w14:paraId="053421E3">
      <w:pPr>
        <w:pStyle w:val="5"/>
        <w:keepNext/>
        <w:spacing w:before="180" w:after="100" w:line="259" w:lineRule="auto"/>
      </w:pPr>
      <w:r>
        <w:rPr>
          <w:rFonts w:ascii="微软雅黑" w:hAnsi="微软雅黑" w:eastAsia="微软雅黑"/>
          <w:b/>
          <w:color w:val="2F5597"/>
          <w:sz w:val="25"/>
        </w:rPr>
        <w:t>VIP设置</w:t>
      </w:r>
    </w:p>
    <w:p w14:paraId="3C970DBD">
      <w:pPr>
        <w:pStyle w:val="16"/>
        <w:spacing w:after="60" w:line="276" w:lineRule="auto"/>
      </w:pPr>
      <w:r>
        <w:rPr>
          <w:rFonts w:ascii="微软雅黑" w:hAnsi="微软雅黑" w:eastAsia="微软雅黑"/>
          <w:b/>
          <w:color w:val="2F5597"/>
          <w:sz w:val="20"/>
        </w:rPr>
        <w:t>VIP设置</w:t>
      </w:r>
      <w:r>
        <w:rPr>
          <w:rFonts w:ascii="微软雅黑" w:hAnsi="微软雅黑" w:eastAsia="微软雅黑"/>
          <w:b w:val="0"/>
          <w:sz w:val="20"/>
        </w:rPr>
        <w:t>：用于配置 VIP 等级、权益和升级条件。</w:t>
      </w:r>
    </w:p>
    <w:p w14:paraId="64A3E67E">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：设置等级名称、升级条件、保级条件、奖励和启停状态。</w:t>
      </w:r>
    </w:p>
    <w:p w14:paraId="2B732B8F">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：调整后会影响会员等级和权益展示，需提前确认规则。</w:t>
      </w:r>
    </w:p>
    <w:p w14:paraId="7DC6CA3D">
      <w:pPr>
        <w:pStyle w:val="5"/>
        <w:keepNext/>
        <w:spacing w:before="180" w:after="100" w:line="259" w:lineRule="auto"/>
      </w:pPr>
      <w:r>
        <w:rPr>
          <w:rFonts w:ascii="微软雅黑" w:hAnsi="微软雅黑" w:eastAsia="微软雅黑"/>
          <w:b/>
          <w:color w:val="2F5597"/>
          <w:sz w:val="25"/>
        </w:rPr>
        <w:t>有奖反馈</w:t>
      </w:r>
    </w:p>
    <w:p w14:paraId="04EABB9C">
      <w:pPr>
        <w:pStyle w:val="16"/>
        <w:spacing w:after="60" w:line="276" w:lineRule="auto"/>
      </w:pPr>
      <w:r>
        <w:rPr>
          <w:rFonts w:ascii="微软雅黑" w:hAnsi="微软雅黑" w:eastAsia="微软雅黑"/>
          <w:b/>
          <w:color w:val="2F5597"/>
          <w:sz w:val="20"/>
        </w:rPr>
        <w:t>有奖反馈</w:t>
      </w:r>
      <w:r>
        <w:rPr>
          <w:rFonts w:ascii="微软雅黑" w:hAnsi="微软雅黑" w:eastAsia="微软雅黑"/>
          <w:b w:val="0"/>
          <w:sz w:val="20"/>
        </w:rPr>
        <w:t>：用于查看和处理会员反馈奖励。</w:t>
      </w:r>
    </w:p>
    <w:p w14:paraId="2A5C855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：筛选反馈记录，查看内容、处理状态并发放或拒绝奖励。</w:t>
      </w:r>
    </w:p>
    <w:p w14:paraId="2A97AFAD">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：处理前核对反馈内容、奖励规则和会员信息。</w:t>
      </w:r>
    </w:p>
    <w:p w14:paraId="6557F0E8">
      <w:pPr>
        <w:pStyle w:val="3"/>
        <w:keepNext/>
        <w:spacing w:before="360" w:after="240" w:line="276" w:lineRule="auto"/>
      </w:pPr>
      <w:r>
        <w:rPr>
          <w:rFonts w:ascii="微软雅黑" w:hAnsi="微软雅黑" w:eastAsia="微软雅黑"/>
          <w:b/>
          <w:color w:val="17365D"/>
          <w:sz w:val="40"/>
        </w:rPr>
        <w:t>十一、代理中心</w:t>
      </w:r>
    </w:p>
    <w:p w14:paraId="6AE93606">
      <w:pPr>
        <w:pStyle w:val="4"/>
        <w:keepNext/>
        <w:spacing w:before="240" w:after="140" w:line="269" w:lineRule="auto"/>
      </w:pPr>
      <w:r>
        <w:rPr>
          <w:rFonts w:ascii="微软雅黑" w:hAnsi="微软雅黑" w:eastAsia="微软雅黑"/>
          <w:b/>
          <w:color w:val="1F4E79"/>
          <w:sz w:val="30"/>
        </w:rPr>
        <w:t>模块定位</w:t>
      </w:r>
    </w:p>
    <w:p w14:paraId="74E2E54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377E732">
      <w:pPr>
        <w:pStyle w:val="4"/>
        <w:keepNext/>
        <w:spacing w:before="240" w:after="140" w:line="269" w:lineRule="auto"/>
      </w:pPr>
      <w:r>
        <w:rPr>
          <w:rFonts w:ascii="微软雅黑" w:hAnsi="微软雅黑" w:eastAsia="微软雅黑"/>
          <w:b/>
          <w:color w:val="1F4E79"/>
          <w:sz w:val="30"/>
        </w:rPr>
        <w:t>页面说明</w:t>
      </w:r>
    </w:p>
    <w:p w14:paraId="0314494A">
      <w:pPr>
        <w:pStyle w:val="5"/>
        <w:keepNext/>
        <w:spacing w:before="180" w:after="100" w:line="259" w:lineRule="auto"/>
      </w:pPr>
      <w:r>
        <w:rPr>
          <w:rFonts w:ascii="微软雅黑" w:hAnsi="微软雅黑" w:eastAsia="微软雅黑"/>
          <w:b/>
          <w:color w:val="2F5597"/>
          <w:sz w:val="25"/>
        </w:rPr>
        <w:t>代理列表</w:t>
      </w:r>
    </w:p>
    <w:p w14:paraId="32E84B52">
      <w:pPr>
        <w:pStyle w:val="16"/>
        <w:spacing w:after="60" w:line="276" w:lineRule="auto"/>
      </w:pPr>
      <w:r>
        <w:rPr>
          <w:rFonts w:ascii="微软雅黑" w:hAnsi="微软雅黑" w:eastAsia="微软雅黑"/>
          <w:b/>
          <w:color w:val="2F5597"/>
          <w:sz w:val="20"/>
        </w:rPr>
        <w:t>代理列表</w:t>
      </w:r>
      <w:r>
        <w:rPr>
          <w:rFonts w:ascii="微软雅黑" w:hAnsi="微软雅黑" w:eastAsia="微软雅黑"/>
          <w:b w:val="0"/>
          <w:sz w:val="20"/>
        </w:rPr>
        <w:t>：用于查询和管理代理账号。</w:t>
      </w:r>
    </w:p>
    <w:p w14:paraId="2764B9F6">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：按代理账号、状态或时间筛选，查看代理信息和下级数据。</w:t>
      </w:r>
    </w:p>
    <w:p w14:paraId="0468D12D">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：调整代理状态前需确认结算、会员归属和业务影响。</w:t>
      </w:r>
    </w:p>
    <w:p w14:paraId="7B2F927C">
      <w:pPr>
        <w:pStyle w:val="5"/>
        <w:keepNext/>
        <w:spacing w:before="180" w:after="100" w:line="259" w:lineRule="auto"/>
      </w:pPr>
      <w:r>
        <w:rPr>
          <w:rFonts w:ascii="微软雅黑" w:hAnsi="微软雅黑" w:eastAsia="微软雅黑"/>
          <w:b/>
          <w:color w:val="2F5597"/>
          <w:sz w:val="25"/>
        </w:rPr>
        <w:t>代理配置</w:t>
      </w:r>
    </w:p>
    <w:p w14:paraId="63DBE911">
      <w:pPr>
        <w:pStyle w:val="16"/>
        <w:spacing w:after="60" w:line="276" w:lineRule="auto"/>
      </w:pPr>
      <w:r>
        <w:rPr>
          <w:rFonts w:ascii="微软雅黑" w:hAnsi="微软雅黑" w:eastAsia="微软雅黑"/>
          <w:b/>
          <w:color w:val="2F5597"/>
          <w:sz w:val="20"/>
        </w:rPr>
        <w:t>代理配置</w:t>
      </w:r>
      <w:r>
        <w:rPr>
          <w:rFonts w:ascii="微软雅黑" w:hAnsi="微软雅黑" w:eastAsia="微软雅黑"/>
          <w:b w:val="0"/>
          <w:sz w:val="20"/>
        </w:rPr>
        <w:t>：用于维护代理返佣、返水和结算规则。</w:t>
      </w:r>
    </w:p>
    <w:p w14:paraId="48F29FA1">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：设置代理等级、比例、结算周期和启停状态。</w:t>
      </w:r>
    </w:p>
    <w:p w14:paraId="29D47E7C">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：配置变更会影响代理收益，保存前需复核规则。</w:t>
      </w:r>
    </w:p>
    <w:p w14:paraId="7A8BCCC2">
      <w:pPr>
        <w:pStyle w:val="5"/>
        <w:keepNext/>
        <w:spacing w:before="180" w:after="100" w:line="259" w:lineRule="auto"/>
      </w:pPr>
      <w:r>
        <w:rPr>
          <w:rFonts w:ascii="微软雅黑" w:hAnsi="微软雅黑" w:eastAsia="微软雅黑"/>
          <w:b/>
          <w:color w:val="2F5597"/>
          <w:sz w:val="25"/>
        </w:rPr>
        <w:t>代理领取记录</w:t>
      </w:r>
    </w:p>
    <w:p w14:paraId="5EB7FD94">
      <w:pPr>
        <w:pStyle w:val="16"/>
        <w:spacing w:after="60" w:line="276" w:lineRule="auto"/>
      </w:pPr>
      <w:r>
        <w:rPr>
          <w:rFonts w:ascii="微软雅黑" w:hAnsi="微软雅黑" w:eastAsia="微软雅黑"/>
          <w:b/>
          <w:color w:val="2F5597"/>
          <w:sz w:val="20"/>
        </w:rPr>
        <w:t>代理领取记录</w:t>
      </w:r>
      <w:r>
        <w:rPr>
          <w:rFonts w:ascii="微软雅黑" w:hAnsi="微软雅黑" w:eastAsia="微软雅黑"/>
          <w:b w:val="0"/>
          <w:sz w:val="20"/>
        </w:rPr>
        <w:t>：用于查看代理奖励或佣金领取记录。</w:t>
      </w:r>
    </w:p>
    <w:p w14:paraId="06F90DFE">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：按代理、状态或时间筛选，查看领取金额和处理结果。</w:t>
      </w:r>
    </w:p>
    <w:p w14:paraId="749874C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：排查收益问题时结合结算明细和账变记录核对。</w:t>
      </w:r>
    </w:p>
    <w:p w14:paraId="03B26D96">
      <w:pPr>
        <w:pStyle w:val="5"/>
        <w:keepNext/>
        <w:spacing w:before="180" w:after="100" w:line="259" w:lineRule="auto"/>
      </w:pPr>
      <w:r>
        <w:rPr>
          <w:rFonts w:ascii="微软雅黑" w:hAnsi="微软雅黑" w:eastAsia="微软雅黑"/>
          <w:b/>
          <w:color w:val="2F5597"/>
          <w:sz w:val="25"/>
        </w:rPr>
        <w:t>代理数据查询</w:t>
      </w:r>
    </w:p>
    <w:p w14:paraId="760FEA40">
      <w:pPr>
        <w:pStyle w:val="16"/>
        <w:spacing w:after="60" w:line="276" w:lineRule="auto"/>
      </w:pPr>
      <w:r>
        <w:rPr>
          <w:rFonts w:ascii="微软雅黑" w:hAnsi="微软雅黑" w:eastAsia="微软雅黑"/>
          <w:b/>
          <w:color w:val="2F5597"/>
          <w:sz w:val="20"/>
        </w:rPr>
        <w:t>代理数据查询</w:t>
      </w:r>
      <w:r>
        <w:rPr>
          <w:rFonts w:ascii="微软雅黑" w:hAnsi="微软雅黑" w:eastAsia="微软雅黑"/>
          <w:b w:val="0"/>
          <w:sz w:val="20"/>
        </w:rPr>
        <w:t>：用于查询代理维度的运营数据。</w:t>
      </w:r>
    </w:p>
    <w:p w14:paraId="1F17117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：按代理和时间筛选，查看下级会员、充值、投注和佣金数据。</w:t>
      </w:r>
    </w:p>
    <w:p w14:paraId="344CFFF1">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：用于代理运营分析和结算核对。</w:t>
      </w:r>
    </w:p>
    <w:p w14:paraId="474D3D42">
      <w:pPr>
        <w:pStyle w:val="3"/>
        <w:keepNext/>
        <w:spacing w:before="360" w:after="240" w:line="276" w:lineRule="auto"/>
      </w:pPr>
      <w:r>
        <w:rPr>
          <w:rFonts w:ascii="微软雅黑" w:hAnsi="微软雅黑" w:eastAsia="微软雅黑"/>
          <w:b/>
          <w:color w:val="17365D"/>
          <w:sz w:val="40"/>
        </w:rPr>
        <w:t>十二、风险中心</w:t>
      </w:r>
    </w:p>
    <w:p w14:paraId="7208F2D2">
      <w:pPr>
        <w:pStyle w:val="4"/>
        <w:keepNext/>
        <w:spacing w:before="240" w:after="140" w:line="269" w:lineRule="auto"/>
      </w:pPr>
      <w:r>
        <w:rPr>
          <w:rFonts w:ascii="微软雅黑" w:hAnsi="微软雅黑" w:eastAsia="微软雅黑"/>
          <w:b/>
          <w:color w:val="1F4E79"/>
          <w:sz w:val="30"/>
        </w:rPr>
        <w:t>模块定位</w:t>
      </w:r>
    </w:p>
    <w:p w14:paraId="34F9B4F2">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27AAD9D0">
      <w:pPr>
        <w:pStyle w:val="4"/>
        <w:keepNext/>
        <w:spacing w:before="240" w:after="140" w:line="269" w:lineRule="auto"/>
      </w:pPr>
      <w:r>
        <w:rPr>
          <w:rFonts w:ascii="微软雅黑" w:hAnsi="微软雅黑" w:eastAsia="微软雅黑"/>
          <w:b/>
          <w:color w:val="1F4E79"/>
          <w:sz w:val="30"/>
        </w:rPr>
        <w:t>页面说明</w:t>
      </w:r>
    </w:p>
    <w:p w14:paraId="6AC7DCE7">
      <w:pPr>
        <w:pStyle w:val="5"/>
        <w:keepNext/>
        <w:spacing w:before="180" w:after="100" w:line="259" w:lineRule="auto"/>
      </w:pPr>
      <w:r>
        <w:rPr>
          <w:rFonts w:ascii="微软雅黑" w:hAnsi="微软雅黑" w:eastAsia="微软雅黑"/>
          <w:b/>
          <w:color w:val="2F5597"/>
          <w:sz w:val="25"/>
        </w:rPr>
        <w:t>黑名单</w:t>
      </w:r>
    </w:p>
    <w:p w14:paraId="60BA53C8">
      <w:pPr>
        <w:pStyle w:val="16"/>
        <w:spacing w:after="60" w:line="276" w:lineRule="auto"/>
      </w:pPr>
      <w:r>
        <w:rPr>
          <w:rFonts w:ascii="微软雅黑" w:hAnsi="微软雅黑" w:eastAsia="微软雅黑"/>
          <w:b/>
          <w:color w:val="2F5597"/>
          <w:sz w:val="20"/>
        </w:rPr>
        <w:t>黑名单</w:t>
      </w:r>
      <w:r>
        <w:rPr>
          <w:rFonts w:ascii="微软雅黑" w:hAnsi="微软雅黑" w:eastAsia="微软雅黑"/>
          <w:b w:val="0"/>
          <w:sz w:val="20"/>
        </w:rPr>
        <w:t>：用于管理受限制的玩家或风险对象。</w:t>
      </w:r>
    </w:p>
    <w:p w14:paraId="325491E7">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：新增、查询、解除黑名单，查看限制原因和操作记录。</w:t>
      </w:r>
    </w:p>
    <w:p w14:paraId="33E46AA7">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：加入或解除黑名单前需确认风险原因和处理依据。</w:t>
      </w:r>
    </w:p>
    <w:p w14:paraId="4F6DF181">
      <w:pPr>
        <w:pStyle w:val="5"/>
        <w:keepNext/>
        <w:spacing w:before="180" w:after="100" w:line="259" w:lineRule="auto"/>
      </w:pPr>
      <w:r>
        <w:rPr>
          <w:rFonts w:ascii="微软雅黑" w:hAnsi="微软雅黑" w:eastAsia="微软雅黑"/>
          <w:b/>
          <w:color w:val="2F5597"/>
          <w:sz w:val="25"/>
        </w:rPr>
        <w:t>刷子监控</w:t>
      </w:r>
    </w:p>
    <w:p w14:paraId="2C8865F6">
      <w:pPr>
        <w:pStyle w:val="16"/>
        <w:spacing w:after="60" w:line="276" w:lineRule="auto"/>
      </w:pPr>
      <w:r>
        <w:rPr>
          <w:rFonts w:ascii="微软雅黑" w:hAnsi="微软雅黑" w:eastAsia="微软雅黑"/>
          <w:b/>
          <w:color w:val="2F5597"/>
          <w:sz w:val="20"/>
        </w:rPr>
        <w:t>刷子监控</w:t>
      </w:r>
      <w:r>
        <w:rPr>
          <w:rFonts w:ascii="微软雅黑" w:hAnsi="微软雅黑" w:eastAsia="微软雅黑"/>
          <w:b w:val="0"/>
          <w:sz w:val="20"/>
        </w:rPr>
        <w:t>：用于监控疑似异常套利或刷量玩家。</w:t>
      </w:r>
    </w:p>
    <w:p w14:paraId="32E92F7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：按玩家、风险类型或时间筛选，查看异常指标和处理记录。</w:t>
      </w:r>
    </w:p>
    <w:p w14:paraId="5E5377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：处理前结合投注、活动、充值和设备信息综合判断。</w:t>
      </w:r>
    </w:p>
    <w:p w14:paraId="29A82894">
      <w:pPr>
        <w:pStyle w:val="5"/>
        <w:keepNext/>
        <w:spacing w:before="180" w:after="100" w:line="259" w:lineRule="auto"/>
      </w:pPr>
      <w:r>
        <w:rPr>
          <w:rFonts w:ascii="微软雅黑" w:hAnsi="微软雅黑" w:eastAsia="微软雅黑"/>
          <w:b/>
          <w:color w:val="2F5597"/>
          <w:sz w:val="25"/>
        </w:rPr>
        <w:t>游戏获利监控</w:t>
      </w:r>
    </w:p>
    <w:p w14:paraId="179154A2">
      <w:pPr>
        <w:pStyle w:val="16"/>
        <w:spacing w:after="60" w:line="276" w:lineRule="auto"/>
      </w:pPr>
      <w:r>
        <w:rPr>
          <w:rFonts w:ascii="微软雅黑" w:hAnsi="微软雅黑" w:eastAsia="微软雅黑"/>
          <w:b/>
          <w:color w:val="2F5597"/>
          <w:sz w:val="20"/>
        </w:rPr>
        <w:t>游戏获利监控</w:t>
      </w:r>
      <w:r>
        <w:rPr>
          <w:rFonts w:ascii="微软雅黑" w:hAnsi="微软雅黑" w:eastAsia="微软雅黑"/>
          <w:b w:val="0"/>
          <w:sz w:val="20"/>
        </w:rPr>
        <w:t>：用于监控玩家游戏获利异常情况。</w:t>
      </w:r>
    </w:p>
    <w:p w14:paraId="17CFACEB">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：按玩家、游戏或时间筛选，查看获利、投注和风险状态。</w:t>
      </w:r>
    </w:p>
    <w:p w14:paraId="11541BF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：发现异常后结合游戏记录和风控规则进一步核查。</w:t>
      </w:r>
    </w:p>
    <w:p w14:paraId="39A02A3E">
      <w:pPr>
        <w:pStyle w:val="3"/>
        <w:keepNext/>
        <w:spacing w:before="360" w:after="240" w:line="276" w:lineRule="auto"/>
      </w:pPr>
      <w:r>
        <w:rPr>
          <w:rFonts w:ascii="微软雅黑" w:hAnsi="微软雅黑" w:eastAsia="微软雅黑"/>
          <w:b/>
          <w:color w:val="17365D"/>
          <w:sz w:val="40"/>
        </w:rPr>
        <w:t>十三、商户中心</w:t>
      </w:r>
    </w:p>
    <w:p w14:paraId="3C317668">
      <w:pPr>
        <w:pStyle w:val="4"/>
        <w:keepNext/>
        <w:spacing w:before="240" w:after="140" w:line="269" w:lineRule="auto"/>
      </w:pPr>
      <w:r>
        <w:rPr>
          <w:rFonts w:ascii="微软雅黑" w:hAnsi="微软雅黑" w:eastAsia="微软雅黑"/>
          <w:b/>
          <w:color w:val="1F4E79"/>
          <w:sz w:val="30"/>
        </w:rPr>
        <w:t>模块定位</w:t>
      </w:r>
    </w:p>
    <w:p w14:paraId="274A9CA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5DB9F037">
      <w:pPr>
        <w:pStyle w:val="4"/>
        <w:keepNext/>
        <w:spacing w:before="240" w:after="140" w:line="269" w:lineRule="auto"/>
      </w:pPr>
      <w:r>
        <w:rPr>
          <w:rFonts w:ascii="微软雅黑" w:hAnsi="微软雅黑" w:eastAsia="微软雅黑"/>
          <w:b/>
          <w:color w:val="1F4E79"/>
          <w:sz w:val="30"/>
        </w:rPr>
        <w:t>页面说明</w:t>
      </w:r>
    </w:p>
    <w:p w14:paraId="0BD38823">
      <w:pPr>
        <w:pStyle w:val="5"/>
        <w:keepNext/>
        <w:spacing w:before="180" w:after="100" w:line="259" w:lineRule="auto"/>
      </w:pPr>
      <w:r>
        <w:rPr>
          <w:rFonts w:ascii="微软雅黑" w:hAnsi="微软雅黑" w:eastAsia="微软雅黑"/>
          <w:b/>
          <w:color w:val="2F5597"/>
          <w:sz w:val="25"/>
        </w:rPr>
        <w:t>商户信息</w:t>
      </w:r>
    </w:p>
    <w:p w14:paraId="53ACBE49">
      <w:pPr>
        <w:pStyle w:val="16"/>
        <w:spacing w:after="60" w:line="276" w:lineRule="auto"/>
      </w:pPr>
      <w:r>
        <w:rPr>
          <w:rFonts w:ascii="微软雅黑" w:hAnsi="微软雅黑" w:eastAsia="微软雅黑"/>
          <w:b/>
          <w:color w:val="2F5597"/>
          <w:sz w:val="20"/>
        </w:rPr>
        <w:t>商户信息</w:t>
      </w:r>
      <w:r>
        <w:rPr>
          <w:rFonts w:ascii="微软雅黑" w:hAnsi="微软雅黑" w:eastAsia="微软雅黑"/>
          <w:b w:val="0"/>
          <w:sz w:val="20"/>
        </w:rPr>
        <w:t>：用于查看商户基础资料和账户状态。</w:t>
      </w:r>
    </w:p>
    <w:p w14:paraId="0E0D782B">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：查看商户名称、账号信息、联系方式和状态配置。</w:t>
      </w:r>
    </w:p>
    <w:p w14:paraId="6B9A34F5">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：资料变更需与平台或管理员确认，避免影响后台使用。</w:t>
      </w:r>
    </w:p>
    <w:p w14:paraId="6C613849">
      <w:pPr>
        <w:pStyle w:val="5"/>
        <w:keepNext/>
        <w:spacing w:before="180" w:after="100" w:line="259" w:lineRule="auto"/>
      </w:pPr>
      <w:r>
        <w:rPr>
          <w:rFonts w:ascii="微软雅黑" w:hAnsi="微软雅黑" w:eastAsia="微软雅黑"/>
          <w:b/>
          <w:color w:val="2F5597"/>
          <w:sz w:val="25"/>
        </w:rPr>
        <w:t>商户充值</w:t>
      </w:r>
    </w:p>
    <w:p w14:paraId="4CD48A6E">
      <w:pPr>
        <w:pStyle w:val="16"/>
        <w:spacing w:after="60" w:line="276" w:lineRule="auto"/>
      </w:pPr>
      <w:r>
        <w:rPr>
          <w:rFonts w:ascii="微软雅黑" w:hAnsi="微软雅黑" w:eastAsia="微软雅黑"/>
          <w:b/>
          <w:color w:val="2F5597"/>
          <w:sz w:val="20"/>
        </w:rPr>
        <w:t>商户充值</w:t>
      </w:r>
      <w:r>
        <w:rPr>
          <w:rFonts w:ascii="微软雅黑" w:hAnsi="微软雅黑" w:eastAsia="微软雅黑"/>
          <w:b w:val="0"/>
          <w:sz w:val="20"/>
        </w:rPr>
        <w:t>：用于商户账户充值。</w:t>
      </w:r>
    </w:p>
    <w:p w14:paraId="345CE640">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：选择充值方式，填写金额并提交充值申请。</w:t>
      </w:r>
    </w:p>
    <w:p w14:paraId="4D0AB50D">
      <w:pPr>
        <w:pStyle w:val="16"/>
        <w:spacing w:after="60" w:line="276" w:lineRule="auto"/>
      </w:pPr>
      <w:r>
        <w:rPr>
          <w:rFonts w:ascii="微软雅黑" w:hAnsi="微软雅黑" w:eastAsia="微软雅黑"/>
          <w:b/>
          <w:color w:val="2F5597"/>
          <w:sz w:val="20"/>
        </w:rPr>
        <w:t>提交前检查</w:t>
      </w:r>
      <w:r>
        <w:rPr>
          <w:rFonts w:ascii="微软雅黑" w:hAnsi="微软雅黑" w:eastAsia="微软雅黑"/>
          <w:b w:val="0"/>
          <w:sz w:val="20"/>
        </w:rPr>
        <w:t>：提交前确认金额、收款信息和到账规则。</w:t>
      </w:r>
    </w:p>
    <w:p w14:paraId="20EFC806">
      <w:pPr>
        <w:pStyle w:val="5"/>
        <w:keepNext/>
        <w:spacing w:before="180" w:after="100" w:line="259" w:lineRule="auto"/>
      </w:pPr>
      <w:r>
        <w:rPr>
          <w:rFonts w:ascii="微软雅黑" w:hAnsi="微软雅黑" w:eastAsia="微软雅黑"/>
          <w:b/>
          <w:color w:val="2F5597"/>
          <w:sz w:val="25"/>
        </w:rPr>
        <w:t>充值记录</w:t>
      </w:r>
    </w:p>
    <w:p w14:paraId="265AE88E">
      <w:pPr>
        <w:pStyle w:val="16"/>
        <w:spacing w:after="60" w:line="276" w:lineRule="auto"/>
      </w:pPr>
      <w:r>
        <w:rPr>
          <w:rFonts w:ascii="微软雅黑" w:hAnsi="微软雅黑" w:eastAsia="微软雅黑"/>
          <w:b/>
          <w:color w:val="2F5597"/>
          <w:sz w:val="20"/>
        </w:rPr>
        <w:t>充值记录</w:t>
      </w:r>
      <w:r>
        <w:rPr>
          <w:rFonts w:ascii="微软雅黑" w:hAnsi="微软雅黑" w:eastAsia="微软雅黑"/>
          <w:b w:val="0"/>
          <w:sz w:val="20"/>
        </w:rPr>
        <w:t>：用于查询商户充值记录。</w:t>
      </w:r>
    </w:p>
    <w:p w14:paraId="171EC97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：按订单号、状态或时间筛选，查看充值金额和到账状态。</w:t>
      </w:r>
    </w:p>
    <w:p w14:paraId="1C825F01">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：到账异常时结合支付凭证和平台处理结果核对。</w:t>
      </w:r>
    </w:p>
    <w:p w14:paraId="7DD52377">
      <w:pPr>
        <w:pStyle w:val="5"/>
        <w:keepNext/>
        <w:spacing w:before="180" w:after="100" w:line="259" w:lineRule="auto"/>
      </w:pPr>
      <w:r>
        <w:rPr>
          <w:rFonts w:ascii="微软雅黑" w:hAnsi="微软雅黑" w:eastAsia="微软雅黑"/>
          <w:b/>
          <w:color w:val="2F5597"/>
          <w:sz w:val="25"/>
        </w:rPr>
        <w:t>商户账变记录</w:t>
      </w:r>
    </w:p>
    <w:p w14:paraId="22F48B13">
      <w:pPr>
        <w:pStyle w:val="16"/>
        <w:spacing w:after="60" w:line="276" w:lineRule="auto"/>
      </w:pPr>
      <w:r>
        <w:rPr>
          <w:rFonts w:ascii="微软雅黑" w:hAnsi="微软雅黑" w:eastAsia="微软雅黑"/>
          <w:b/>
          <w:color w:val="2F5597"/>
          <w:sz w:val="20"/>
        </w:rPr>
        <w:t>商户账变记录</w:t>
      </w:r>
      <w:r>
        <w:rPr>
          <w:rFonts w:ascii="微软雅黑" w:hAnsi="微软雅黑" w:eastAsia="微软雅黑"/>
          <w:b w:val="0"/>
          <w:sz w:val="20"/>
        </w:rPr>
        <w:t>：用于查看商户账户资金变动。</w:t>
      </w:r>
    </w:p>
    <w:p w14:paraId="5A32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：按账变类型、时间或订单号筛选，查看金额变化和余额。</w:t>
      </w:r>
    </w:p>
    <w:p w14:paraId="6B00DA32">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：排查商户资金问题时结合充值、账单和扣费记录核对。</w:t>
      </w:r>
    </w:p>
    <w:p w14:paraId="1F816A64">
      <w:pPr>
        <w:pStyle w:val="5"/>
        <w:keepNext/>
        <w:spacing w:before="180" w:after="100" w:line="259" w:lineRule="auto"/>
      </w:pPr>
      <w:r>
        <w:rPr>
          <w:rFonts w:ascii="微软雅黑" w:hAnsi="微软雅黑" w:eastAsia="微软雅黑"/>
          <w:b/>
          <w:color w:val="2F5597"/>
          <w:sz w:val="25"/>
        </w:rPr>
        <w:t>商户账单</w:t>
      </w:r>
    </w:p>
    <w:p w14:paraId="71BBEE76">
      <w:pPr>
        <w:pStyle w:val="16"/>
        <w:spacing w:after="60" w:line="276" w:lineRule="auto"/>
      </w:pPr>
      <w:r>
        <w:rPr>
          <w:rFonts w:ascii="微软雅黑" w:hAnsi="微软雅黑" w:eastAsia="微软雅黑"/>
          <w:b/>
          <w:color w:val="2F5597"/>
          <w:sz w:val="20"/>
        </w:rPr>
        <w:t>商户账单</w:t>
      </w:r>
      <w:r>
        <w:rPr>
          <w:rFonts w:ascii="微软雅黑" w:hAnsi="微软雅黑" w:eastAsia="微软雅黑"/>
          <w:b w:val="0"/>
          <w:sz w:val="20"/>
        </w:rPr>
        <w:t>：用于查看商户账单和费用结算情况。</w:t>
      </w:r>
    </w:p>
    <w:p w14:paraId="4D46181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：按账期或状态筛选，查看账单金额、费用项目和结算状态。</w:t>
      </w:r>
    </w:p>
    <w:p w14:paraId="66F52684">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：对账时需结合账变记录、充值记录和平台结算规则。</w:t>
      </w:r>
    </w:p>
    <w:p w14:paraId="621057E2">
      <w:pPr>
        <w:pStyle w:val="3"/>
        <w:keepNext/>
        <w:spacing w:before="360" w:after="240" w:line="276" w:lineRule="auto"/>
      </w:pPr>
      <w:r>
        <w:rPr>
          <w:rFonts w:ascii="微软雅黑" w:hAnsi="微软雅黑" w:eastAsia="微软雅黑"/>
          <w:b/>
          <w:color w:val="17365D"/>
          <w:sz w:val="40"/>
        </w:rPr>
        <w:t>十四、埋点配置</w:t>
      </w:r>
    </w:p>
    <w:p w14:paraId="1A4841E7">
      <w:pPr>
        <w:pStyle w:val="4"/>
        <w:keepNext/>
        <w:spacing w:before="240" w:after="140" w:line="269" w:lineRule="auto"/>
      </w:pPr>
      <w:r>
        <w:rPr>
          <w:rFonts w:ascii="微软雅黑" w:hAnsi="微软雅黑" w:eastAsia="微软雅黑"/>
          <w:b/>
          <w:color w:val="1F4E79"/>
          <w:sz w:val="30"/>
        </w:rPr>
        <w:t>模块定位</w:t>
      </w:r>
    </w:p>
    <w:p w14:paraId="13D46073">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36EE977">
      <w:pPr>
        <w:pStyle w:val="4"/>
        <w:keepNext/>
        <w:spacing w:before="240" w:after="140" w:line="269" w:lineRule="auto"/>
      </w:pPr>
      <w:r>
        <w:rPr>
          <w:rFonts w:ascii="微软雅黑" w:hAnsi="微软雅黑" w:eastAsia="微软雅黑"/>
          <w:b/>
          <w:color w:val="1F4E79"/>
          <w:sz w:val="30"/>
        </w:rPr>
        <w:t>页面说明</w:t>
      </w:r>
    </w:p>
    <w:p w14:paraId="0E8B6AA6">
      <w:pPr>
        <w:pStyle w:val="5"/>
        <w:keepNext/>
        <w:spacing w:before="180" w:after="100" w:line="259" w:lineRule="auto"/>
      </w:pPr>
      <w:r>
        <w:rPr>
          <w:rFonts w:ascii="微软雅黑" w:hAnsi="微软雅黑" w:eastAsia="微软雅黑"/>
          <w:b/>
          <w:color w:val="2F5597"/>
          <w:sz w:val="25"/>
        </w:rPr>
        <w:t>埋点统计</w:t>
      </w:r>
    </w:p>
    <w:p w14:paraId="0D55633A">
      <w:pPr>
        <w:pStyle w:val="16"/>
        <w:spacing w:after="60" w:line="276" w:lineRule="auto"/>
      </w:pPr>
      <w:r>
        <w:rPr>
          <w:rFonts w:ascii="微软雅黑" w:hAnsi="微软雅黑" w:eastAsia="微软雅黑"/>
          <w:b/>
          <w:color w:val="2F5597"/>
          <w:sz w:val="20"/>
        </w:rPr>
        <w:t>埋点统计</w:t>
      </w:r>
      <w:r>
        <w:rPr>
          <w:rFonts w:ascii="微软雅黑" w:hAnsi="微软雅黑" w:eastAsia="微软雅黑"/>
          <w:b w:val="0"/>
          <w:sz w:val="20"/>
        </w:rPr>
        <w:t>：用于查看站点埋点事件统计。</w:t>
      </w:r>
    </w:p>
    <w:p w14:paraId="3FAC7D6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：按事件、页面、渠道或时间筛选，查看触发次数和转化数据。</w:t>
      </w:r>
    </w:p>
    <w:p w14:paraId="29164E87">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：用于分析页面行为和推广效果，需确认埋点配置已生效。</w:t>
      </w:r>
    </w:p>
    <w:p w14:paraId="62A7254E">
      <w:pPr>
        <w:pStyle w:val="5"/>
        <w:keepNext/>
        <w:spacing w:before="180" w:after="100" w:line="259" w:lineRule="auto"/>
      </w:pPr>
      <w:r>
        <w:rPr>
          <w:rFonts w:ascii="微软雅黑" w:hAnsi="微软雅黑" w:eastAsia="微软雅黑"/>
          <w:b/>
          <w:color w:val="2F5597"/>
          <w:sz w:val="25"/>
        </w:rPr>
        <w:t>会话列表</w:t>
      </w:r>
    </w:p>
    <w:p w14:paraId="343B0883">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：用于查看用户访问或行为会话。</w:t>
      </w:r>
    </w:p>
    <w:p w14:paraId="5CB49EC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：按用户、会话 ID、渠道或时间筛选，查看会话轨迹。</w:t>
      </w:r>
    </w:p>
    <w:p w14:paraId="00BDF117">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：排查转化或行为问题时，可结合事件流水一起分析。</w:t>
      </w:r>
    </w:p>
    <w:p w14:paraId="0691814E">
      <w:pPr>
        <w:pStyle w:val="5"/>
        <w:keepNext/>
        <w:spacing w:before="180" w:after="100" w:line="259" w:lineRule="auto"/>
      </w:pPr>
      <w:r>
        <w:rPr>
          <w:rFonts w:ascii="微软雅黑" w:hAnsi="微软雅黑" w:eastAsia="微软雅黑"/>
          <w:b/>
          <w:color w:val="2F5597"/>
          <w:sz w:val="25"/>
        </w:rPr>
        <w:t>事件流水</w:t>
      </w:r>
    </w:p>
    <w:p w14:paraId="13FFCB8C">
      <w:pPr>
        <w:pStyle w:val="16"/>
        <w:spacing w:after="60" w:line="276" w:lineRule="auto"/>
      </w:pPr>
      <w:r>
        <w:rPr>
          <w:rFonts w:ascii="微软雅黑" w:hAnsi="微软雅黑" w:eastAsia="微软雅黑"/>
          <w:b/>
          <w:color w:val="2F5597"/>
          <w:sz w:val="20"/>
        </w:rPr>
        <w:t>事件流水</w:t>
      </w:r>
      <w:r>
        <w:rPr>
          <w:rFonts w:ascii="微软雅黑" w:hAnsi="微软雅黑" w:eastAsia="微软雅黑"/>
          <w:b w:val="0"/>
          <w:sz w:val="20"/>
        </w:rPr>
        <w:t>：用于查看埋点事件明细流水。</w:t>
      </w:r>
    </w:p>
    <w:p w14:paraId="0C95FAE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：按事件、用户、页面或时间筛选，查看单次事件详情。</w:t>
      </w:r>
    </w:p>
    <w:p w14:paraId="44846780">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：用于排查埋点触发、参数上报和用户行为路径。</w:t>
      </w:r>
    </w:p>
    <w:p w14:paraId="14EAE7AC">
      <w:pPr>
        <w:pStyle w:val="3"/>
        <w:keepNext/>
        <w:spacing w:before="360" w:after="240" w:line="276" w:lineRule="auto"/>
      </w:pPr>
      <w:r>
        <w:rPr>
          <w:rFonts w:ascii="微软雅黑" w:hAnsi="微软雅黑" w:eastAsia="微软雅黑"/>
          <w:b/>
          <w:color w:val="17365D"/>
          <w:sz w:val="40"/>
        </w:rPr>
        <w:t>十五、人事中心</w:t>
      </w:r>
    </w:p>
    <w:p w14:paraId="7AC80F8A">
      <w:pPr>
        <w:pStyle w:val="4"/>
        <w:keepNext/>
        <w:spacing w:before="240" w:after="140" w:line="269" w:lineRule="auto"/>
      </w:pPr>
      <w:r>
        <w:rPr>
          <w:rFonts w:ascii="微软雅黑" w:hAnsi="微软雅黑" w:eastAsia="微软雅黑"/>
          <w:b/>
          <w:color w:val="1F4E79"/>
          <w:sz w:val="30"/>
        </w:rPr>
        <w:t>模块定位</w:t>
      </w:r>
    </w:p>
    <w:p w14:paraId="12BC2C1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746668F0">
      <w:pPr>
        <w:pStyle w:val="4"/>
        <w:keepNext/>
        <w:spacing w:before="240" w:after="140" w:line="269" w:lineRule="auto"/>
      </w:pPr>
      <w:r>
        <w:rPr>
          <w:rFonts w:ascii="微软雅黑" w:hAnsi="微软雅黑" w:eastAsia="微软雅黑"/>
          <w:b/>
          <w:color w:val="1F4E79"/>
          <w:sz w:val="30"/>
        </w:rPr>
        <w:t>页面说明</w:t>
      </w:r>
    </w:p>
    <w:p w14:paraId="60DB4134">
      <w:pPr>
        <w:pStyle w:val="5"/>
        <w:keepNext/>
        <w:spacing w:before="180" w:after="100" w:line="259" w:lineRule="auto"/>
      </w:pPr>
      <w:r>
        <w:rPr>
          <w:rFonts w:ascii="微软雅黑" w:hAnsi="微软雅黑" w:eastAsia="微软雅黑"/>
          <w:b/>
          <w:color w:val="2F5597"/>
          <w:sz w:val="25"/>
        </w:rPr>
        <w:t>账号管理</w:t>
      </w:r>
    </w:p>
    <w:p w14:paraId="46360FD6">
      <w:pPr>
        <w:pStyle w:val="16"/>
        <w:spacing w:after="60" w:line="276" w:lineRule="auto"/>
      </w:pPr>
      <w:r>
        <w:rPr>
          <w:rFonts w:ascii="微软雅黑" w:hAnsi="微软雅黑" w:eastAsia="微软雅黑"/>
          <w:b/>
          <w:color w:val="2F5597"/>
          <w:sz w:val="20"/>
        </w:rPr>
        <w:t>账号管理</w:t>
      </w:r>
      <w:r>
        <w:rPr>
          <w:rFonts w:ascii="微软雅黑" w:hAnsi="微软雅黑" w:eastAsia="微软雅黑"/>
          <w:b w:val="0"/>
          <w:sz w:val="20"/>
        </w:rPr>
        <w:t>：用于管理后台账号和角色归属。</w:t>
      </w:r>
    </w:p>
    <w:p w14:paraId="6FC547C0">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：新增、编辑、启用、停用账号，分配系统预设角色。</w:t>
      </w:r>
    </w:p>
    <w:p w14:paraId="3751F99B">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：账号权限影响后台可见菜单和操作范围，调整前需确认职责。</w:t>
      </w:r>
    </w:p>
    <w:p w14:paraId="3F94B793">
      <w:pPr>
        <w:pStyle w:val="5"/>
        <w:keepNext/>
        <w:spacing w:before="180" w:after="100" w:line="259" w:lineRule="auto"/>
      </w:pPr>
      <w:r>
        <w:rPr>
          <w:rFonts w:ascii="微软雅黑" w:hAnsi="微软雅黑" w:eastAsia="微软雅黑"/>
          <w:b/>
          <w:color w:val="2F5597"/>
          <w:sz w:val="25"/>
        </w:rPr>
        <w:t>日志管理</w:t>
      </w:r>
    </w:p>
    <w:p w14:paraId="60076406">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日志管理用于查看后台账号登录、操作和系统异常相关记录。</w:t>
      </w:r>
    </w:p>
    <w:p w14:paraId="0E6C1E1E">
      <w:pPr>
        <w:pStyle w:val="5"/>
        <w:keepNext/>
        <w:spacing w:before="180" w:after="100" w:line="259" w:lineRule="auto"/>
      </w:pPr>
      <w:r>
        <w:rPr>
          <w:rFonts w:ascii="微软雅黑" w:hAnsi="微软雅黑" w:eastAsia="微软雅黑"/>
          <w:b/>
          <w:color w:val="2F5597"/>
          <w:sz w:val="25"/>
        </w:rPr>
        <w:t>管理员登录日志</w:t>
      </w:r>
    </w:p>
    <w:p w14:paraId="2BD5E249">
      <w:pPr>
        <w:pStyle w:val="16"/>
        <w:spacing w:after="60" w:line="276" w:lineRule="auto"/>
      </w:pPr>
      <w:r>
        <w:rPr>
          <w:rFonts w:ascii="微软雅黑" w:hAnsi="微软雅黑" w:eastAsia="微软雅黑"/>
          <w:b/>
          <w:color w:val="2F5597"/>
          <w:sz w:val="20"/>
        </w:rPr>
        <w:t>管理员登录日志</w:t>
      </w:r>
      <w:r>
        <w:rPr>
          <w:rFonts w:ascii="微软雅黑" w:hAnsi="微软雅黑" w:eastAsia="微软雅黑"/>
          <w:b w:val="0"/>
          <w:sz w:val="20"/>
        </w:rPr>
        <w:t>：用于查看后台管理员登录记录。</w:t>
      </w:r>
    </w:p>
    <w:p w14:paraId="204C081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：按账号、IP、时间或状态筛选，查看登录结果。</w:t>
      </w:r>
    </w:p>
    <w:p w14:paraId="7AEC321F">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：排查账号安全或异常登录时优先查看本页面。</w:t>
      </w:r>
    </w:p>
    <w:p w14:paraId="2608BA6D">
      <w:pPr>
        <w:pStyle w:val="5"/>
        <w:keepNext/>
        <w:spacing w:before="180" w:after="100" w:line="259" w:lineRule="auto"/>
      </w:pPr>
      <w:r>
        <w:rPr>
          <w:rFonts w:ascii="微软雅黑" w:hAnsi="微软雅黑" w:eastAsia="微软雅黑"/>
          <w:b/>
          <w:color w:val="2F5597"/>
          <w:sz w:val="25"/>
        </w:rPr>
        <w:t>管理员操作日志</w:t>
      </w:r>
    </w:p>
    <w:p w14:paraId="01BD4412">
      <w:pPr>
        <w:pStyle w:val="16"/>
        <w:spacing w:after="60" w:line="276" w:lineRule="auto"/>
      </w:pPr>
      <w:r>
        <w:rPr>
          <w:rFonts w:ascii="微软雅黑" w:hAnsi="微软雅黑" w:eastAsia="微软雅黑"/>
          <w:b/>
          <w:color w:val="2F5597"/>
          <w:sz w:val="20"/>
        </w:rPr>
        <w:t>管理员操作日志</w:t>
      </w:r>
      <w:r>
        <w:rPr>
          <w:rFonts w:ascii="微软雅黑" w:hAnsi="微软雅黑" w:eastAsia="微软雅黑"/>
          <w:b w:val="0"/>
          <w:sz w:val="20"/>
        </w:rPr>
        <w:t>：用于查看后台关键操作记录。</w:t>
      </w:r>
    </w:p>
    <w:p w14:paraId="19C6307B">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：按账号、模块、操作类型或时间筛选，查看操作详情。</w:t>
      </w:r>
    </w:p>
    <w:p w14:paraId="77DB7B43">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：追溯误操作时结合操作时间、操作人和业务页面记录核对。</w:t>
      </w:r>
    </w:p>
    <w:p w14:paraId="2F0E95FE">
      <w:pPr>
        <w:pStyle w:val="5"/>
        <w:keepNext/>
        <w:spacing w:before="180" w:after="100" w:line="259" w:lineRule="auto"/>
      </w:pPr>
      <w:r>
        <w:rPr>
          <w:rFonts w:ascii="微软雅黑" w:hAnsi="微软雅黑" w:eastAsia="微软雅黑"/>
          <w:b/>
          <w:color w:val="2F5597"/>
          <w:sz w:val="25"/>
        </w:rPr>
        <w:t>系统异常日志</w:t>
      </w:r>
    </w:p>
    <w:p w14:paraId="2D46A050">
      <w:pPr>
        <w:pStyle w:val="16"/>
        <w:spacing w:after="60" w:line="276" w:lineRule="auto"/>
      </w:pPr>
      <w:r>
        <w:rPr>
          <w:rFonts w:ascii="微软雅黑" w:hAnsi="微软雅黑" w:eastAsia="微软雅黑"/>
          <w:b/>
          <w:color w:val="2F5597"/>
          <w:sz w:val="20"/>
        </w:rPr>
        <w:t>系统异常日志</w:t>
      </w:r>
      <w:r>
        <w:rPr>
          <w:rFonts w:ascii="微软雅黑" w:hAnsi="微软雅黑" w:eastAsia="微软雅黑"/>
          <w:b w:val="0"/>
          <w:sz w:val="20"/>
        </w:rPr>
        <w:t>：用于查看后台系统异常和接口错误记录。</w:t>
      </w:r>
    </w:p>
    <w:p w14:paraId="0E2DA1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：按时间、模块或异常类型筛选，查看错误信息和处理状态。</w:t>
      </w:r>
    </w:p>
    <w:p w14:paraId="177BEA7D">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：用于定位系统问题，必要时将异常信息提供给技术人员排查。</w:t>
      </w:r>
    </w:p>
    <w:p w14:paraId="176988B1">
      <w:pPr>
        <w:pStyle w:val="3"/>
        <w:keepNext/>
        <w:spacing w:before="360" w:after="240" w:line="276" w:lineRule="auto"/>
      </w:pPr>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spacing w:after="40" w:line="276" w:lineRule="auto"/>
      </w:pPr>
      <w:r>
        <w:rPr>
          <w:rFonts w:ascii="微软雅黑" w:hAnsi="微软雅黑" w:eastAsia="微软雅黑"/>
          <w:b w:val="0"/>
          <w:sz w:val="20"/>
        </w:rPr>
        <w:t>进入优惠活动，创建或编辑活动规则。</w:t>
      </w:r>
    </w:p>
    <w:p w14:paraId="6A3597AD">
      <w:pPr>
        <w:pStyle w:val="14"/>
        <w:spacing w:after="40" w:line="276" w:lineRule="auto"/>
      </w:pPr>
      <w:r>
        <w:rPr>
          <w:rFonts w:ascii="微软雅黑" w:hAnsi="微软雅黑" w:eastAsia="微软雅黑"/>
          <w:b w:val="0"/>
          <w:sz w:val="20"/>
        </w:rPr>
        <w:t>检查活动展示入口、票券或任务关联、预算、领取限制和目标人群。</w:t>
      </w:r>
    </w:p>
    <w:p w14:paraId="5CFFB797">
      <w:pPr>
        <w:pStyle w:val="14"/>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spacing w:after="40" w:line="276" w:lineRule="auto"/>
      </w:pPr>
      <w:r>
        <w:rPr>
          <w:rFonts w:ascii="微软雅黑" w:hAnsi="微软雅黑" w:eastAsia="微软雅黑"/>
          <w:b w:val="0"/>
          <w:sz w:val="20"/>
        </w:rPr>
        <w:t>进入财务中心的提现订单列表，筛选待审核或处理中订单。</w:t>
      </w:r>
    </w:p>
    <w:p w14:paraId="3679A577">
      <w:pPr>
        <w:pStyle w:val="14"/>
        <w:spacing w:after="40" w:line="276" w:lineRule="auto"/>
      </w:pPr>
      <w:r>
        <w:rPr>
          <w:rFonts w:ascii="微软雅黑" w:hAnsi="微软雅黑" w:eastAsia="微软雅黑"/>
          <w:b w:val="0"/>
          <w:sz w:val="20"/>
        </w:rPr>
        <w:t>核对会员、金额、账户、打码、风控提示和历史资金记录。</w:t>
      </w:r>
    </w:p>
    <w:p w14:paraId="0A17D8AB">
      <w:pPr>
        <w:pStyle w:val="14"/>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spacing w:after="40" w:line="276" w:lineRule="auto"/>
      </w:pPr>
      <w:r>
        <w:rPr>
          <w:rFonts w:ascii="微软雅黑" w:hAnsi="微软雅黑" w:eastAsia="微软雅黑"/>
          <w:b w:val="0"/>
          <w:sz w:val="20"/>
        </w:rPr>
        <w:t>固定活动名称、统计时间和渠道范围。</w:t>
      </w:r>
    </w:p>
    <w:p w14:paraId="26F69E7F">
      <w:pPr>
        <w:pStyle w:val="14"/>
        <w:spacing w:after="40" w:line="276" w:lineRule="auto"/>
      </w:pPr>
      <w:r>
        <w:rPr>
          <w:rFonts w:ascii="微软雅黑" w:hAnsi="微软雅黑" w:eastAsia="微软雅黑"/>
          <w:b w:val="0"/>
          <w:sz w:val="20"/>
        </w:rPr>
        <w:t>查看优惠活动、数据报表中的活动相关报表。</w:t>
      </w:r>
    </w:p>
    <w:p w14:paraId="65D27FAC">
      <w:pPr>
        <w:pStyle w:val="14"/>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100"/>
      </w:pPr>
    </w:p>
    <w:p w14:paraId="3B3403BE">
      <w:pPr>
        <w:spacing w:after="40"/>
      </w:pPr>
    </w:p>
    <w:p w14:paraId="0C6B7BF7">
      <w:pPr>
        <w:spacing w:after="120"/>
      </w:pPr>
    </w:p>
    <w:p w14:paraId="0C0E1EFD">
      <w:pPr>
        <w:spacing w:after="60" w:line="276" w:lineRule="auto"/>
      </w:pPr>
    </w:p>
    <w:p w14:paraId="6972E727">
      <w:pPr>
        <w:spacing w:after="60" w:line="276" w:lineRule="auto"/>
      </w:pPr>
    </w:p>
    <w:p w14:paraId="04354D13">
      <w:pPr>
        <w:spacing w:after="60" w:line="276" w:lineRule="auto"/>
      </w:pPr>
    </w:p>
    <w:p w14:paraId="2FE9BE7E">
      <w:pPr>
        <w:spacing w:after="100"/>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100"/>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100"/>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100"/>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100"/>
      </w:pPr>
    </w:p>
    <w:p w14:paraId="57E48406">
      <w:pPr>
        <w:spacing w:after="60" w:line="276" w:lineRule="auto"/>
      </w:pPr>
    </w:p>
    <w:p w14:paraId="7DF8D061">
      <w:pPr>
        <w:spacing w:after="60" w:line="276" w:lineRule="auto"/>
      </w:pPr>
    </w:p>
    <w:p w14:paraId="5CB46794">
      <w:pPr>
        <w:spacing w:after="60" w:line="276" w:lineRule="auto"/>
      </w:pPr>
    </w:p>
    <w:p w14:paraId="0E3EA809">
      <w:pPr>
        <w:spacing w:after="100"/>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100"/>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100"/>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100"/>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100"/>
      </w:pPr>
    </w:p>
    <w:p w14:paraId="189FF565">
      <w:pPr>
        <w:spacing w:after="40"/>
      </w:pPr>
    </w:p>
    <w:p w14:paraId="1A9B1709">
      <w:pPr>
        <w:spacing w:after="120"/>
      </w:pPr>
    </w:p>
    <w:p w14:paraId="78ABB238">
      <w:pPr>
        <w:spacing w:after="60" w:line="276" w:lineRule="auto"/>
      </w:pPr>
    </w:p>
    <w:p w14:paraId="168340E3">
      <w:pPr>
        <w:spacing w:after="60" w:line="276" w:lineRule="auto"/>
      </w:pPr>
    </w:p>
    <w:p w14:paraId="78D7AB2C">
      <w:pPr>
        <w:spacing w:after="60" w:line="276" w:lineRule="auto"/>
      </w:pPr>
    </w:p>
    <w:p w14:paraId="7E857B9D">
      <w:pPr>
        <w:spacing w:after="100"/>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100"/>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100"/>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100"/>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100"/>
      </w:pPr>
    </w:p>
    <w:p w14:paraId="1584DDC3">
      <w:pPr>
        <w:spacing w:after="40"/>
      </w:pPr>
    </w:p>
    <w:p w14:paraId="2D9ABFA4">
      <w:pPr>
        <w:spacing w:after="120"/>
      </w:pPr>
    </w:p>
    <w:p w14:paraId="7F0F1586">
      <w:pPr>
        <w:spacing w:after="60" w:line="276" w:lineRule="auto"/>
      </w:pPr>
    </w:p>
    <w:p w14:paraId="6E9E547C">
      <w:pPr>
        <w:spacing w:after="60" w:line="276" w:lineRule="auto"/>
      </w:pPr>
    </w:p>
    <w:p w14:paraId="07049432">
      <w:pPr>
        <w:spacing w:after="60" w:line="276" w:lineRule="auto"/>
      </w:pPr>
    </w:p>
    <w:p w14:paraId="348CBFC0">
      <w:pPr>
        <w:spacing w:after="100"/>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100"/>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100"/>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100"/>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14:paraId="6B82DA90">
      <w:pPr>
        <w:spacing w:after="60" w:line="276" w:lineRule="auto"/>
      </w:pPr>
    </w:p>
    <w:p w14:paraId="0D54672A">
      <w:pPr>
        <w:spacing w:after="100"/>
      </w:pPr>
    </w:p>
    <w:p w14:paraId="47EA7662">
      <w:pPr>
        <w:spacing w:after="40"/>
      </w:pPr>
    </w:p>
    <w:p w14:paraId="1DD5EFF0">
      <w:pPr>
        <w:spacing w:after="120"/>
      </w:pPr>
    </w:p>
    <w:p w14:paraId="2162B6BE">
      <w:pPr>
        <w:spacing w:after="60" w:line="276" w:lineRule="auto"/>
      </w:pPr>
    </w:p>
    <w:p w14:paraId="21DF37FA">
      <w:pPr>
        <w:spacing w:after="60" w:line="276" w:lineRule="auto"/>
      </w:pPr>
    </w:p>
    <w:p w14:paraId="61EC073D">
      <w:pPr>
        <w:spacing w:after="100"/>
      </w:pPr>
    </w:p>
    <w:p w14:paraId="6BF56F1F">
      <w:pPr>
        <w:spacing w:after="60" w:line="276" w:lineRule="auto"/>
      </w:pPr>
    </w:p>
    <w:p w14:paraId="5C2EA7D5">
      <w:pPr>
        <w:spacing w:after="60" w:line="276" w:lineRule="auto"/>
      </w:pPr>
    </w:p>
    <w:p w14:paraId="6E4C875F">
      <w:pPr>
        <w:spacing w:after="60" w:line="276" w:lineRule="auto"/>
      </w:pPr>
    </w:p>
    <w:p w14:paraId="22FB317B">
      <w:pPr>
        <w:spacing w:after="60" w:line="276" w:lineRule="auto"/>
      </w:pPr>
    </w:p>
    <w:p w14:paraId="5D7CD161">
      <w:pPr>
        <w:spacing w:after="60" w:line="276" w:lineRule="auto"/>
      </w:pPr>
    </w:p>
    <w:p w14:paraId="7921EF1C">
      <w:pPr>
        <w:spacing w:after="60" w:line="276" w:lineRule="auto"/>
      </w:pPr>
    </w:p>
    <w:p w14:paraId="77EE7AF5">
      <w:pPr>
        <w:spacing w:after="100"/>
      </w:pPr>
    </w:p>
    <w:p w14:paraId="0E10637B">
      <w:pPr>
        <w:spacing w:after="60" w:line="276" w:lineRule="auto"/>
      </w:pPr>
    </w:p>
    <w:p w14:paraId="6870370F">
      <w:pPr>
        <w:spacing w:after="60" w:line="276" w:lineRule="auto"/>
      </w:pPr>
    </w:p>
    <w:p w14:paraId="55D878EF">
      <w:pPr>
        <w:spacing w:after="60" w:line="276" w:lineRule="auto"/>
      </w:pPr>
    </w:p>
    <w:p w14:paraId="113501B1">
      <w:pPr>
        <w:spacing w:after="60" w:line="276" w:lineRule="auto"/>
      </w:pPr>
    </w:p>
    <w:p w14:paraId="1334CC4B">
      <w:pPr>
        <w:spacing w:after="60" w:line="276" w:lineRule="auto"/>
      </w:pPr>
    </w:p>
    <w:p w14:paraId="15EB5AFF">
      <w:pPr>
        <w:spacing w:after="60" w:line="276" w:lineRule="auto"/>
      </w:pPr>
    </w:p>
    <w:p w14:paraId="230A3D32">
      <w:pPr>
        <w:spacing w:after="60" w:line="276" w:lineRule="auto"/>
      </w:pPr>
    </w:p>
    <w:p w14:paraId="75F2615C">
      <w:pPr>
        <w:spacing w:after="60" w:line="276" w:lineRule="auto"/>
      </w:pPr>
    </w:p>
    <w:p w14:paraId="57029DB8">
      <w:pPr>
        <w:spacing w:after="60" w:line="276" w:lineRule="auto"/>
      </w:pPr>
    </w:p>
    <w:p w14:paraId="5C751D96">
      <w:pPr>
        <w:spacing w:after="60" w:line="276" w:lineRule="auto"/>
      </w:pPr>
    </w:p>
    <w:p w14:paraId="08C58E66">
      <w:pPr>
        <w:spacing w:after="100"/>
      </w:pPr>
    </w:p>
    <w:p w14:paraId="5B099253">
      <w:pPr>
        <w:spacing w:after="60" w:line="276" w:lineRule="auto"/>
      </w:pPr>
    </w:p>
    <w:p w14:paraId="13740F74">
      <w:pPr>
        <w:spacing w:after="60" w:line="276" w:lineRule="auto"/>
      </w:pPr>
    </w:p>
    <w:p w14:paraId="29B9B5DF">
      <w:pPr>
        <w:spacing w:after="60" w:line="276" w:lineRule="auto"/>
      </w:pPr>
    </w:p>
    <w:p w14:paraId="3EA9C33B">
      <w:pPr>
        <w:spacing w:after="60" w:line="276" w:lineRule="auto"/>
      </w:pPr>
    </w:p>
    <w:p w14:paraId="6E5D6040">
      <w:pPr>
        <w:spacing w:after="60" w:line="276" w:lineRule="auto"/>
      </w:pPr>
    </w:p>
    <w:p w14:paraId="660AD8FA">
      <w:pPr>
        <w:spacing w:after="60" w:line="276" w:lineRule="auto"/>
      </w:pPr>
    </w:p>
    <w:p w14:paraId="30F7404D">
      <w:pPr>
        <w:spacing w:after="60" w:line="276" w:lineRule="auto"/>
      </w:pPr>
    </w:p>
    <w:p w14:paraId="0F8CA44C">
      <w:pPr>
        <w:spacing w:after="100"/>
      </w:pPr>
    </w:p>
    <w:p w14:paraId="1C59233A">
      <w:pPr>
        <w:spacing w:after="60" w:line="276" w:lineRule="auto"/>
      </w:pPr>
    </w:p>
    <w:p w14:paraId="173B6EA6">
      <w:pPr>
        <w:spacing w:after="60" w:line="276" w:lineRule="auto"/>
      </w:pPr>
    </w:p>
    <w:p w14:paraId="7A4B564B">
      <w:pPr>
        <w:spacing w:after="60" w:line="276" w:lineRule="auto"/>
      </w:pPr>
    </w:p>
    <w:p w14:paraId="1C0B8D10">
      <w:pPr>
        <w:spacing w:after="100"/>
      </w:pPr>
    </w:p>
    <w:p w14:paraId="51FCC8D4">
      <w:pPr>
        <w:spacing w:after="60" w:line="276" w:lineRule="auto"/>
      </w:pPr>
    </w:p>
    <w:p w14:paraId="4806330D">
      <w:pPr>
        <w:spacing w:after="60" w:line="276" w:lineRule="auto"/>
      </w:pPr>
    </w:p>
    <w:p w14:paraId="61D544FC">
      <w:pPr>
        <w:spacing w:after="60" w:line="276" w:lineRule="auto"/>
      </w:pPr>
    </w:p>
    <w:p w14:paraId="59319D99">
      <w:pPr>
        <w:spacing w:after="60" w:line="276" w:lineRule="auto"/>
      </w:pPr>
    </w:p>
    <w:p w14:paraId="0F0F3A7A">
      <w:pPr>
        <w:spacing w:after="60" w:line="276" w:lineRule="auto"/>
      </w:pPr>
    </w:p>
    <w:p w14:paraId="5509B062">
      <w:pPr>
        <w:spacing w:after="100"/>
      </w:pPr>
    </w:p>
    <w:p w14:paraId="16B6C899">
      <w:pPr>
        <w:spacing w:after="60" w:line="276" w:lineRule="auto"/>
      </w:pPr>
    </w:p>
    <w:p w14:paraId="638D49D9">
      <w:pPr>
        <w:spacing w:after="60" w:line="276" w:lineRule="auto"/>
      </w:pPr>
    </w:p>
    <w:p w14:paraId="4D2D87B0">
      <w:pPr>
        <w:spacing w:after="60" w:line="276" w:lineRule="auto"/>
      </w:pPr>
    </w:p>
    <w:p w14:paraId="2C8D6882">
      <w:pPr>
        <w:spacing w:after="60" w:line="276" w:lineRule="auto"/>
      </w:pPr>
    </w:p>
    <w:p w14:paraId="0FE14781">
      <w:pPr>
        <w:spacing w:after="60" w:line="276" w:lineRule="auto"/>
      </w:pPr>
    </w:p>
    <w:p w14:paraId="75375222">
      <w:pPr>
        <w:spacing w:after="40"/>
      </w:pPr>
    </w:p>
    <w:p w14:paraId="76AC0E76">
      <w:pPr>
        <w:spacing w:after="120"/>
      </w:pPr>
    </w:p>
    <w:p w14:paraId="008F8431">
      <w:pPr>
        <w:spacing w:after="60" w:line="276" w:lineRule="auto"/>
      </w:pPr>
    </w:p>
    <w:p w14:paraId="3869289A">
      <w:pPr>
        <w:spacing w:after="60" w:line="276" w:lineRule="auto"/>
      </w:pPr>
    </w:p>
    <w:p w14:paraId="04CAD6E5">
      <w:pPr>
        <w:spacing w:after="60" w:line="276" w:lineRule="auto"/>
      </w:pPr>
    </w:p>
    <w:p w14:paraId="756443A4">
      <w:pPr>
        <w:spacing w:after="60" w:line="276" w:lineRule="auto"/>
      </w:pPr>
    </w:p>
    <w:p w14:paraId="26F76920">
      <w:pPr>
        <w:spacing w:after="60" w:line="276" w:lineRule="auto"/>
      </w:pPr>
    </w:p>
    <w:p w14:paraId="1241E7D6">
      <w:pPr>
        <w:spacing w:after="60" w:line="276" w:lineRule="auto"/>
      </w:pPr>
    </w:p>
    <w:p w14:paraId="5B903812">
      <w:pPr>
        <w:spacing w:after="60" w:line="276" w:lineRule="auto"/>
      </w:pPr>
    </w:p>
    <w:p w14:paraId="219ECD75">
      <w:pPr>
        <w:spacing w:after="60" w:line="276" w:lineRule="auto"/>
      </w:pPr>
    </w:p>
    <w:p w14:paraId="73272A33">
      <w:pPr>
        <w:spacing w:after="40"/>
      </w:pPr>
    </w:p>
    <w:p w14:paraId="4EFCB32C">
      <w:pPr>
        <w:spacing w:after="120"/>
      </w:pPr>
    </w:p>
    <w:p w14:paraId="0A104C68">
      <w:pPr>
        <w:spacing w:after="60" w:line="276" w:lineRule="auto"/>
      </w:pPr>
    </w:p>
    <w:p w14:paraId="623C731D">
      <w:pPr>
        <w:spacing w:after="60" w:line="276" w:lineRule="auto"/>
      </w:pPr>
    </w:p>
    <w:p w14:paraId="75FA979D">
      <w:pPr>
        <w:spacing w:after="60" w:line="276" w:lineRule="auto"/>
      </w:pPr>
    </w:p>
    <w:p w14:paraId="34C0485B">
      <w:pPr>
        <w:spacing w:after="60" w:line="276" w:lineRule="auto"/>
      </w:pPr>
    </w:p>
    <w:p w14:paraId="02430881">
      <w:pPr>
        <w:spacing w:after="60" w:line="276" w:lineRule="auto"/>
      </w:pPr>
    </w:p>
    <w:p w14:paraId="718CE0A8">
      <w:pPr>
        <w:spacing w:after="60" w:line="276" w:lineRule="auto"/>
      </w:pPr>
    </w:p>
    <w:p w14:paraId="665EBFAE">
      <w:pPr>
        <w:spacing w:after="60" w:line="276" w:lineRule="auto"/>
      </w:pPr>
    </w:p>
    <w:p w14:paraId="5EACFF23">
      <w:pPr>
        <w:spacing w:after="60" w:line="276" w:lineRule="auto"/>
      </w:pPr>
    </w:p>
    <w:p w14:paraId="563F25BB">
      <w:pPr>
        <w:spacing w:after="60" w:line="276" w:lineRule="auto"/>
      </w:pPr>
    </w:p>
    <w:p w14:paraId="275629B8">
      <w:pPr>
        <w:spacing w:after="60" w:line="276" w:lineRule="auto"/>
      </w:pPr>
    </w:p>
    <w:p w14:paraId="391A0CDC">
      <w:pPr>
        <w:spacing w:after="60" w:line="276" w:lineRule="auto"/>
      </w:pPr>
    </w:p>
    <w:p w14:paraId="2E1A831A">
      <w:pPr>
        <w:spacing w:after="60" w:line="276" w:lineRule="auto"/>
      </w:pPr>
    </w:p>
    <w:p w14:paraId="47239646">
      <w:pPr>
        <w:spacing w:after="60" w:line="276" w:lineRule="auto"/>
      </w:pPr>
    </w:p>
    <w:p w14:paraId="24C5F3A8">
      <w:pPr>
        <w:spacing w:after="60" w:line="276" w:lineRule="auto"/>
      </w:pPr>
    </w:p>
    <w:p w14:paraId="460BF1CF">
      <w:pPr>
        <w:spacing w:after="60" w:line="276" w:lineRule="auto"/>
      </w:pPr>
    </w:p>
    <w:p w14:paraId="3635FE41">
      <w:pPr>
        <w:spacing w:after="60" w:line="276" w:lineRule="auto"/>
      </w:pPr>
    </w:p>
    <w:p w14:paraId="2C18862B">
      <w:pPr>
        <w:spacing w:after="60" w:line="276" w:lineRule="auto"/>
      </w:pPr>
    </w:p>
    <w:p w14:paraId="26BA85D6">
      <w:pPr>
        <w:spacing w:after="60" w:line="276" w:lineRule="auto"/>
      </w:pPr>
    </w:p>
    <w:p w14:paraId="60195140">
      <w:pPr>
        <w:spacing w:after="60" w:line="276" w:lineRule="auto"/>
      </w:pPr>
    </w:p>
    <w:p w14:paraId="6212ED84">
      <w:pPr>
        <w:spacing w:after="60" w:line="276" w:lineRule="auto"/>
      </w:pPr>
    </w:p>
    <w:p w14:paraId="46141F4B">
      <w:pPr>
        <w:spacing w:after="60" w:line="276" w:lineRule="auto"/>
      </w:pPr>
    </w:p>
    <w:p w14:paraId="386525E6">
      <w:pPr>
        <w:spacing w:after="60" w:line="276" w:lineRule="auto"/>
      </w:pPr>
    </w:p>
    <w:p w14:paraId="5EA9E81B">
      <w:pPr>
        <w:spacing w:after="60" w:line="276" w:lineRule="auto"/>
      </w:pPr>
    </w:p>
    <w:p w14:paraId="1E3D6197">
      <w:pPr>
        <w:spacing w:after="60" w:line="276" w:lineRule="auto"/>
      </w:pPr>
    </w:p>
    <w:p w14:paraId="03017C40">
      <w:pPr>
        <w:spacing w:after="60" w:line="276" w:lineRule="auto"/>
      </w:pPr>
    </w:p>
    <w:p w14:paraId="59E05A1F">
      <w:pPr>
        <w:spacing w:after="60" w:line="276" w:lineRule="auto"/>
      </w:pPr>
    </w:p>
    <w:p w14:paraId="500600A3">
      <w:pPr>
        <w:spacing w:after="60" w:line="276" w:lineRule="auto"/>
      </w:pPr>
    </w:p>
    <w:p w14:paraId="745D4830">
      <w:pPr>
        <w:spacing w:after="60" w:line="276" w:lineRule="auto"/>
      </w:pPr>
    </w:p>
    <w:p w14:paraId="06D16B2F">
      <w:pPr>
        <w:spacing w:after="60" w:line="276" w:lineRule="auto"/>
      </w:pPr>
    </w:p>
    <w:p w14:paraId="584E13F6">
      <w:pPr>
        <w:spacing w:after="60" w:line="276" w:lineRule="auto"/>
      </w:pPr>
    </w:p>
    <w:p w14:paraId="7A3889CF">
      <w:pPr>
        <w:spacing w:after="60" w:line="276" w:lineRule="auto"/>
      </w:pPr>
    </w:p>
    <w:p w14:paraId="68CC6237">
      <w:pPr>
        <w:spacing w:after="60" w:line="276" w:lineRule="auto"/>
      </w:pPr>
    </w:p>
    <w:p w14:paraId="2806F0D3">
      <w:pPr>
        <w:spacing w:after="60" w:line="276" w:lineRule="auto"/>
      </w:pPr>
    </w:p>
    <w:p w14:paraId="6539FB11">
      <w:pPr>
        <w:spacing w:after="60" w:line="276" w:lineRule="auto"/>
      </w:pPr>
    </w:p>
    <w:p w14:paraId="078DC5BE">
      <w:pPr>
        <w:spacing w:after="60" w:line="276" w:lineRule="auto"/>
      </w:pPr>
    </w:p>
    <w:p w14:paraId="1D999711">
      <w:pPr>
        <w:spacing w:after="60" w:line="276" w:lineRule="auto"/>
      </w:pPr>
    </w:p>
    <w:p w14:paraId="69DC7656">
      <w:pPr>
        <w:spacing w:after="60" w:line="276" w:lineRule="auto"/>
      </w:pPr>
    </w:p>
    <w:p w14:paraId="57C4B8E2">
      <w:pPr>
        <w:spacing w:after="60" w:line="276" w:lineRule="auto"/>
      </w:pPr>
    </w:p>
    <w:p w14:paraId="4A77DE8D">
      <w:pPr>
        <w:spacing w:after="60" w:line="276" w:lineRule="auto"/>
      </w:pPr>
    </w:p>
    <w:p w14:paraId="55CB8314">
      <w:pPr>
        <w:spacing w:after="60" w:line="276" w:lineRule="auto"/>
      </w:pPr>
    </w:p>
    <w:p w14:paraId="27536015">
      <w:pPr>
        <w:spacing w:after="60" w:line="276" w:lineRule="auto"/>
      </w:pPr>
    </w:p>
    <w:p w14:paraId="14CCBEB6">
      <w:pPr>
        <w:spacing w:after="60" w:line="276" w:lineRule="auto"/>
      </w:pPr>
    </w:p>
    <w:p w14:paraId="58A447FA">
      <w:pPr>
        <w:spacing w:after="60" w:line="276" w:lineRule="auto"/>
      </w:pPr>
    </w:p>
    <w:p w14:paraId="01CE3544">
      <w:pPr>
        <w:spacing w:after="60" w:line="276" w:lineRule="auto"/>
      </w:pPr>
    </w:p>
    <w:p w14:paraId="2D6A4ABD">
      <w:pPr>
        <w:spacing w:after="60" w:line="276" w:lineRule="auto"/>
      </w:pPr>
    </w:p>
    <w:p w14:paraId="6FCFD9F7">
      <w:pPr>
        <w:spacing w:after="60" w:line="276" w:lineRule="auto"/>
      </w:pPr>
    </w:p>
    <w:p w14:paraId="7C1C0A90">
      <w:pPr>
        <w:spacing w:after="60" w:line="276" w:lineRule="auto"/>
      </w:pPr>
    </w:p>
    <w:p w14:paraId="3B206FAF">
      <w:pPr>
        <w:spacing w:after="60" w:line="276" w:lineRule="auto"/>
      </w:pPr>
    </w:p>
    <w:p w14:paraId="71E37054">
      <w:pPr>
        <w:spacing w:after="60" w:line="276" w:lineRule="auto"/>
      </w:pPr>
    </w:p>
    <w:p w14:paraId="7C5FD075">
      <w:pPr>
        <w:spacing w:after="60" w:line="276" w:lineRule="auto"/>
      </w:pPr>
    </w:p>
    <w:p w14:paraId="78E0C330">
      <w:pPr>
        <w:spacing w:after="60" w:line="276" w:lineRule="auto"/>
      </w:pPr>
    </w:p>
    <w:p w14:paraId="73F429EB">
      <w:pPr>
        <w:spacing w:after="60" w:line="276" w:lineRule="auto"/>
      </w:pPr>
    </w:p>
    <w:p w14:paraId="25957D03">
      <w:pPr>
        <w:spacing w:after="60" w:line="276" w:lineRule="auto"/>
      </w:pPr>
    </w:p>
    <w:p w14:paraId="4AF3B4E9">
      <w:pPr>
        <w:spacing w:after="60" w:line="276" w:lineRule="auto"/>
      </w:pPr>
    </w:p>
    <w:p w14:paraId="68A69489">
      <w:pPr>
        <w:spacing w:after="60" w:line="276" w:lineRule="auto"/>
      </w:pPr>
    </w:p>
    <w:p w14:paraId="5E2EDC2F">
      <w:pPr>
        <w:spacing w:after="60" w:line="276" w:lineRule="auto"/>
      </w:pPr>
    </w:p>
    <w:p w14:paraId="30FED777">
      <w:pPr>
        <w:spacing w:after="60" w:line="276" w:lineRule="auto"/>
      </w:pPr>
    </w:p>
    <w:p w14:paraId="5E9E1059">
      <w:pPr>
        <w:spacing w:after="60" w:line="276" w:lineRule="auto"/>
      </w:pPr>
    </w:p>
    <w:p w14:paraId="62023FFD">
      <w:pPr>
        <w:spacing w:after="60" w:line="276" w:lineRule="auto"/>
      </w:pPr>
    </w:p>
    <w:p w14:paraId="1F5798D5">
      <w:pPr>
        <w:spacing w:after="60" w:line="276" w:lineRule="auto"/>
      </w:pPr>
    </w:p>
    <w:p w14:paraId="0964B50E">
      <w:pPr>
        <w:spacing w:after="60" w:line="276" w:lineRule="auto"/>
      </w:pPr>
    </w:p>
    <w:p w14:paraId="7DEE74E5">
      <w:pPr>
        <w:spacing w:after="60" w:line="276" w:lineRule="auto"/>
      </w:pPr>
    </w:p>
    <w:p w14:paraId="2CFD0DF1">
      <w:pPr>
        <w:spacing w:after="60" w:line="276" w:lineRule="auto"/>
      </w:pPr>
    </w:p>
    <w:p w14:paraId="013DC759">
      <w:pPr>
        <w:spacing w:after="60" w:line="276" w:lineRule="auto"/>
      </w:pPr>
    </w:p>
    <w:p w14:paraId="7578D53C">
      <w:pPr>
        <w:spacing w:after="60" w:line="276" w:lineRule="auto"/>
      </w:pPr>
    </w:p>
    <w:p w14:paraId="761004E5">
      <w:pPr>
        <w:spacing w:after="60" w:line="276" w:lineRule="auto"/>
      </w:pPr>
    </w:p>
    <w:p w14:paraId="484FE4DA">
      <w:pPr>
        <w:spacing w:after="60" w:line="276" w:lineRule="auto"/>
      </w:pPr>
    </w:p>
    <w:p w14:paraId="3B199D58">
      <w:pPr>
        <w:spacing w:after="60" w:line="276" w:lineRule="auto"/>
      </w:pPr>
    </w:p>
    <w:p w14:paraId="74772BCF">
      <w:pPr>
        <w:spacing w:after="60" w:line="276" w:lineRule="auto"/>
      </w:pPr>
    </w:p>
    <w:p w14:paraId="5CAECDC8">
      <w:pPr>
        <w:spacing w:after="60" w:line="276" w:lineRule="auto"/>
      </w:pPr>
    </w:p>
    <w:p w14:paraId="5F94FB8C">
      <w:pPr>
        <w:spacing w:after="60" w:line="276" w:lineRule="auto"/>
      </w:pPr>
    </w:p>
    <w:p w14:paraId="02DE7741">
      <w:pPr>
        <w:spacing w:after="60" w:line="276" w:lineRule="auto"/>
      </w:pPr>
    </w:p>
    <w:p w14:paraId="0EED3100">
      <w:pPr>
        <w:spacing w:after="60" w:line="276" w:lineRule="auto"/>
      </w:pPr>
    </w:p>
    <w:p w14:paraId="51809FF4">
      <w:pPr>
        <w:spacing w:after="60" w:line="276" w:lineRule="auto"/>
      </w:pPr>
    </w:p>
    <w:p w14:paraId="44E2FEF9">
      <w:pPr>
        <w:spacing w:after="60" w:line="276" w:lineRule="auto"/>
      </w:pPr>
    </w:p>
    <w:p w14:paraId="3E11DBE9">
      <w:pPr>
        <w:spacing w:after="60" w:line="276" w:lineRule="auto"/>
      </w:pPr>
    </w:p>
    <w:p w14:paraId="39F1315E">
      <w:pPr>
        <w:spacing w:after="60" w:line="276" w:lineRule="auto"/>
      </w:pPr>
    </w:p>
    <w:p w14:paraId="2FB005E2">
      <w:pPr>
        <w:spacing w:after="60" w:line="276" w:lineRule="auto"/>
      </w:pPr>
    </w:p>
    <w:p w14:paraId="3945294B">
      <w:pPr>
        <w:spacing w:after="60" w:line="276" w:lineRule="auto"/>
      </w:pPr>
    </w:p>
    <w:p w14:paraId="6935FE9C">
      <w:pPr>
        <w:spacing w:after="60" w:line="276" w:lineRule="auto"/>
      </w:pPr>
    </w:p>
    <w:p w14:paraId="1C6AA534">
      <w:pPr>
        <w:spacing w:after="60" w:line="276" w:lineRule="auto"/>
      </w:pPr>
    </w:p>
    <w:p w14:paraId="140DF4CA">
      <w:pPr>
        <w:spacing w:after="60" w:line="276" w:lineRule="auto"/>
      </w:pPr>
    </w:p>
    <w:p w14:paraId="669A268D">
      <w:pPr>
        <w:spacing w:after="60" w:line="276" w:lineRule="auto"/>
      </w:pPr>
    </w:p>
    <w:p w14:paraId="2F4850B1">
      <w:pPr>
        <w:spacing w:after="60" w:line="276" w:lineRule="auto"/>
      </w:pPr>
    </w:p>
    <w:p w14:paraId="09BAD5B1">
      <w:pPr>
        <w:spacing w:after="60" w:line="276" w:lineRule="auto"/>
      </w:pPr>
    </w:p>
    <w:p w14:paraId="56D03388">
      <w:pPr>
        <w:spacing w:after="60" w:line="276" w:lineRule="auto"/>
      </w:pPr>
    </w:p>
    <w:p w14:paraId="272E1062">
      <w:pPr>
        <w:spacing w:after="60" w:line="276" w:lineRule="auto"/>
      </w:pPr>
    </w:p>
    <w:p w14:paraId="3E3A2EDA">
      <w:pPr>
        <w:spacing w:after="60" w:line="276" w:lineRule="auto"/>
      </w:pPr>
    </w:p>
    <w:p w14:paraId="0AD87BFC">
      <w:pPr>
        <w:spacing w:after="60" w:line="276" w:lineRule="auto"/>
      </w:pPr>
    </w:p>
    <w:p w14:paraId="36049B26">
      <w:pPr>
        <w:spacing w:after="60" w:line="276" w:lineRule="auto"/>
      </w:pPr>
    </w:p>
    <w:p w14:paraId="3F4D5563">
      <w:pPr>
        <w:spacing w:after="60" w:line="276" w:lineRule="auto"/>
      </w:pPr>
    </w:p>
    <w:p w14:paraId="41184D2E">
      <w:pPr>
        <w:spacing w:after="60" w:line="276" w:lineRule="auto"/>
      </w:pPr>
    </w:p>
    <w:p w14:paraId="1831A5C1">
      <w:pPr>
        <w:spacing w:after="60" w:line="276" w:lineRule="auto"/>
      </w:pPr>
    </w:p>
    <w:p w14:paraId="57AB3294">
      <w:pPr>
        <w:spacing w:after="60" w:line="276" w:lineRule="auto"/>
      </w:pPr>
    </w:p>
    <w:p w14:paraId="20CB1B41">
      <w:pPr>
        <w:spacing w:after="60" w:line="276" w:lineRule="auto"/>
      </w:pPr>
    </w:p>
    <w:p w14:paraId="212DCA94">
      <w:pPr>
        <w:spacing w:after="60" w:line="276" w:lineRule="auto"/>
      </w:pPr>
    </w:p>
    <w:p w14:paraId="4C0BB48C">
      <w:pPr>
        <w:spacing w:after="60" w:line="276" w:lineRule="auto"/>
      </w:pPr>
    </w:p>
    <w:p w14:paraId="158C6C87">
      <w:pPr>
        <w:spacing w:after="60" w:line="276" w:lineRule="auto"/>
      </w:pPr>
    </w:p>
    <w:p w14:paraId="0829094B">
      <w:pPr>
        <w:spacing w:after="60" w:line="276" w:lineRule="auto"/>
      </w:pPr>
    </w:p>
    <w:p w14:paraId="6AF71512">
      <w:pPr>
        <w:spacing w:after="60" w:line="276" w:lineRule="auto"/>
      </w:pPr>
    </w:p>
    <w:p w14:paraId="081101A3">
      <w:pPr>
        <w:spacing w:after="60" w:line="276" w:lineRule="auto"/>
      </w:pPr>
    </w:p>
    <w:p w14:paraId="0CCCA5EC">
      <w:pPr>
        <w:spacing w:after="60" w:line="276" w:lineRule="auto"/>
      </w:pPr>
    </w:p>
    <w:p w14:paraId="17B2A25D">
      <w:pPr>
        <w:spacing w:after="60" w:line="276" w:lineRule="auto"/>
      </w:pPr>
    </w:p>
    <w:p w14:paraId="7BBEE976">
      <w:pPr>
        <w:spacing w:after="60" w:line="276" w:lineRule="auto"/>
      </w:pPr>
    </w:p>
    <w:p w14:paraId="3F99BC10">
      <w:pPr>
        <w:spacing w:after="60" w:line="276" w:lineRule="auto"/>
      </w:pPr>
    </w:p>
    <w:p w14:paraId="35057F8D">
      <w:pPr>
        <w:spacing w:after="60" w:line="276" w:lineRule="auto"/>
      </w:pPr>
    </w:p>
    <w:p w14:paraId="47137E40">
      <w:pPr>
        <w:spacing w:after="60" w:line="276" w:lineRule="auto"/>
      </w:pPr>
    </w:p>
    <w:p w14:paraId="3B4F6CB3">
      <w:pPr>
        <w:spacing w:after="60" w:line="276" w:lineRule="auto"/>
      </w:pPr>
    </w:p>
    <w:p w14:paraId="6504EC78">
      <w:pPr>
        <w:spacing w:after="60" w:line="276" w:lineRule="auto"/>
      </w:pPr>
    </w:p>
    <w:p w14:paraId="69F6C270">
      <w:pPr>
        <w:spacing w:after="60" w:line="276" w:lineRule="auto"/>
      </w:pPr>
    </w:p>
    <w:p w14:paraId="773840EE">
      <w:pPr>
        <w:spacing w:after="60" w:line="276" w:lineRule="auto"/>
      </w:pPr>
    </w:p>
    <w:p w14:paraId="634EFB8B">
      <w:pPr>
        <w:spacing w:after="60" w:line="276" w:lineRule="auto"/>
      </w:pPr>
    </w:p>
    <w:p w14:paraId="5968081E">
      <w:pPr>
        <w:spacing w:after="60" w:line="276" w:lineRule="auto"/>
      </w:pPr>
    </w:p>
    <w:p w14:paraId="3FE646FF">
      <w:pPr>
        <w:spacing w:after="60" w:line="276" w:lineRule="auto"/>
      </w:pPr>
    </w:p>
    <w:p w14:paraId="343EF49F">
      <w:pPr>
        <w:spacing w:after="60" w:line="276" w:lineRule="auto"/>
      </w:pPr>
    </w:p>
    <w:p w14:paraId="56F9F95B">
      <w:pPr>
        <w:spacing w:after="60" w:line="276" w:lineRule="auto"/>
      </w:pPr>
    </w:p>
    <w:p w14:paraId="765C5C87">
      <w:pPr>
        <w:spacing w:after="60" w:line="276" w:lineRule="auto"/>
      </w:pPr>
    </w:p>
    <w:p w14:paraId="11098552">
      <w:pPr>
        <w:spacing w:after="60" w:line="276" w:lineRule="auto"/>
      </w:pPr>
    </w:p>
    <w:p w14:paraId="2EC96232">
      <w:pPr>
        <w:spacing w:after="60" w:line="276" w:lineRule="auto"/>
      </w:pPr>
    </w:p>
    <w:p w14:paraId="6D4E1B8C">
      <w:pPr>
        <w:spacing w:after="60" w:line="276" w:lineRule="auto"/>
      </w:pPr>
    </w:p>
    <w:p w14:paraId="1380C856">
      <w:pPr>
        <w:spacing w:after="60" w:line="276" w:lineRule="auto"/>
      </w:pPr>
    </w:p>
    <w:p w14:paraId="3BF508C3">
      <w:pPr>
        <w:spacing w:after="60" w:line="276" w:lineRule="auto"/>
      </w:pPr>
    </w:p>
    <w:p w14:paraId="6F8FC3B1">
      <w:pPr>
        <w:spacing w:after="60" w:line="276" w:lineRule="auto"/>
      </w:pPr>
    </w:p>
    <w:p w14:paraId="32050F43">
      <w:pPr>
        <w:spacing w:after="60" w:line="276" w:lineRule="auto"/>
      </w:pPr>
    </w:p>
    <w:p w14:paraId="3444964E">
      <w:pPr>
        <w:spacing w:after="60" w:line="276" w:lineRule="auto"/>
      </w:pPr>
    </w:p>
    <w:p w14:paraId="028D6308">
      <w:pPr>
        <w:spacing w:after="60" w:line="276" w:lineRule="auto"/>
      </w:pPr>
    </w:p>
    <w:p w14:paraId="31A68DDD">
      <w:pPr>
        <w:spacing w:after="60" w:line="276" w:lineRule="auto"/>
      </w:pPr>
    </w:p>
    <w:p w14:paraId="14675730">
      <w:pPr>
        <w:spacing w:after="60" w:line="276" w:lineRule="auto"/>
      </w:pPr>
    </w:p>
    <w:p w14:paraId="465DF9CD">
      <w:pPr>
        <w:spacing w:after="60" w:line="276" w:lineRule="auto"/>
      </w:pPr>
    </w:p>
    <w:p w14:paraId="393CE49A">
      <w:pPr>
        <w:spacing w:after="60" w:line="276" w:lineRule="auto"/>
      </w:pPr>
    </w:p>
    <w:p w14:paraId="170BC5F8">
      <w:pPr>
        <w:spacing w:after="60" w:line="276" w:lineRule="auto"/>
      </w:pPr>
    </w:p>
    <w:p w14:paraId="0F3356C0">
      <w:pPr>
        <w:spacing w:after="60" w:line="276" w:lineRule="auto"/>
      </w:pPr>
    </w:p>
    <w:p w14:paraId="5AF9F1D8">
      <w:pPr>
        <w:spacing w:after="60" w:line="276" w:lineRule="auto"/>
      </w:pPr>
    </w:p>
    <w:p w14:paraId="566E24DA">
      <w:pPr>
        <w:spacing w:after="60" w:line="276" w:lineRule="auto"/>
      </w:pPr>
    </w:p>
    <w:p w14:paraId="34711DB2">
      <w:pPr>
        <w:spacing w:after="60" w:line="276" w:lineRule="auto"/>
      </w:pPr>
    </w:p>
    <w:p w14:paraId="549B81EE">
      <w:pPr>
        <w:spacing w:after="60" w:line="276" w:lineRule="auto"/>
      </w:pPr>
    </w:p>
    <w:p w14:paraId="102A72ED">
      <w:pPr>
        <w:spacing w:after="60" w:line="276" w:lineRule="auto"/>
      </w:pPr>
    </w:p>
    <w:p w14:paraId="36E3C27C">
      <w:pPr>
        <w:spacing w:after="60" w:line="276" w:lineRule="auto"/>
      </w:pPr>
    </w:p>
    <w:p w14:paraId="7CECE706">
      <w:pPr>
        <w:spacing w:after="60" w:line="276" w:lineRule="auto"/>
      </w:pPr>
    </w:p>
    <w:p w14:paraId="24447007">
      <w:pPr>
        <w:spacing w:after="60" w:line="276" w:lineRule="auto"/>
      </w:pPr>
    </w:p>
    <w:p w14:paraId="27D7CB27">
      <w:pPr>
        <w:spacing w:after="60" w:line="276" w:lineRule="auto"/>
      </w:pPr>
    </w:p>
    <w:p w14:paraId="11C1381B">
      <w:pPr>
        <w:spacing w:after="60" w:line="276" w:lineRule="auto"/>
      </w:pPr>
    </w:p>
    <w:p w14:paraId="7C4FEA16">
      <w:pPr>
        <w:spacing w:after="60" w:line="276" w:lineRule="auto"/>
      </w:pPr>
    </w:p>
    <w:p w14:paraId="25F438CE">
      <w:pPr>
        <w:spacing w:after="60" w:line="276" w:lineRule="auto"/>
      </w:pPr>
    </w:p>
    <w:p w14:paraId="7940128D">
      <w:pPr>
        <w:spacing w:after="60" w:line="276" w:lineRule="auto"/>
      </w:pPr>
    </w:p>
    <w:p w14:paraId="56B2DF59">
      <w:pPr>
        <w:spacing w:after="60" w:line="276" w:lineRule="auto"/>
      </w:pPr>
    </w:p>
    <w:p w14:paraId="1072EC3E">
      <w:pPr>
        <w:spacing w:after="60" w:line="276" w:lineRule="auto"/>
      </w:pPr>
    </w:p>
    <w:p w14:paraId="174779E1">
      <w:pPr>
        <w:spacing w:after="60" w:line="276" w:lineRule="auto"/>
      </w:pPr>
    </w:p>
    <w:p w14:paraId="0939FF28">
      <w:pPr>
        <w:spacing w:after="60" w:line="276" w:lineRule="auto"/>
      </w:pPr>
    </w:p>
    <w:p w14:paraId="18473A28">
      <w:pPr>
        <w:spacing w:after="60" w:line="276" w:lineRule="auto"/>
      </w:pPr>
    </w:p>
    <w:p w14:paraId="49F06D6C">
      <w:pPr>
        <w:spacing w:after="60" w:line="276" w:lineRule="auto"/>
      </w:pPr>
    </w:p>
    <w:p w14:paraId="593408A4">
      <w:pPr>
        <w:spacing w:after="60" w:line="276" w:lineRule="auto"/>
      </w:pPr>
    </w:p>
    <w:p w14:paraId="7E821747">
      <w:pPr>
        <w:spacing w:after="60" w:line="276" w:lineRule="auto"/>
      </w:pPr>
    </w:p>
    <w:p w14:paraId="3A29A418">
      <w:pPr>
        <w:spacing w:after="60" w:line="276" w:lineRule="auto"/>
      </w:pPr>
    </w:p>
    <w:p w14:paraId="440EC010">
      <w:pPr>
        <w:spacing w:after="60" w:line="276" w:lineRule="auto"/>
      </w:pPr>
    </w:p>
    <w:p w14:paraId="6249CCF5">
      <w:pPr>
        <w:spacing w:after="60" w:line="276" w:lineRule="auto"/>
      </w:pPr>
    </w:p>
    <w:p w14:paraId="431F86FB">
      <w:pPr>
        <w:spacing w:after="60" w:line="276" w:lineRule="auto"/>
      </w:pPr>
    </w:p>
    <w:p w14:paraId="3E0A7536">
      <w:pPr>
        <w:spacing w:after="60" w:line="276" w:lineRule="auto"/>
      </w:pPr>
    </w:p>
    <w:p w14:paraId="43EB4FEB">
      <w:pPr>
        <w:spacing w:after="60" w:line="276" w:lineRule="auto"/>
      </w:pPr>
    </w:p>
    <w:p w14:paraId="0B0FA86A">
      <w:pPr>
        <w:spacing w:after="60" w:line="276" w:lineRule="auto"/>
      </w:pPr>
    </w:p>
    <w:p w14:paraId="346B2726">
      <w:pPr>
        <w:spacing w:after="60" w:line="276" w:lineRule="auto"/>
      </w:pPr>
    </w:p>
    <w:p w14:paraId="57A26FEF">
      <w:pPr>
        <w:spacing w:after="60" w:line="276" w:lineRule="auto"/>
      </w:pPr>
    </w:p>
    <w:p w14:paraId="5115704B">
      <w:pPr>
        <w:spacing w:after="60" w:line="276" w:lineRule="auto"/>
      </w:pPr>
    </w:p>
    <w:p w14:paraId="79430D78">
      <w:pPr>
        <w:spacing w:after="60" w:line="276" w:lineRule="auto"/>
      </w:pPr>
    </w:p>
    <w:p w14:paraId="5A246CAC">
      <w:pPr>
        <w:spacing w:after="60" w:line="276" w:lineRule="auto"/>
      </w:pPr>
    </w:p>
    <w:p w14:paraId="394A4268">
      <w:pPr>
        <w:spacing w:after="60" w:line="276" w:lineRule="auto"/>
      </w:pPr>
    </w:p>
    <w:p w14:paraId="78BB63C5">
      <w:pPr>
        <w:spacing w:after="60" w:line="276" w:lineRule="auto"/>
      </w:pPr>
    </w:p>
    <w:p w14:paraId="2ECFD0F8">
      <w:pPr>
        <w:spacing w:after="60" w:line="276" w:lineRule="auto"/>
      </w:pPr>
    </w:p>
    <w:p w14:paraId="3855FDDC">
      <w:pPr>
        <w:spacing w:after="60" w:line="276" w:lineRule="auto"/>
      </w:pPr>
    </w:p>
    <w:p w14:paraId="0290843F">
      <w:pPr>
        <w:spacing w:after="60" w:line="276" w:lineRule="auto"/>
      </w:pPr>
    </w:p>
    <w:p w14:paraId="60718BD0">
      <w:pPr>
        <w:spacing w:after="60" w:line="276" w:lineRule="auto"/>
      </w:pPr>
    </w:p>
    <w:p w14:paraId="5E9993BC">
      <w:pPr>
        <w:spacing w:after="60" w:line="276" w:lineRule="auto"/>
      </w:pPr>
    </w:p>
    <w:p w14:paraId="198870CF">
      <w:pPr>
        <w:spacing w:after="60" w:line="276" w:lineRule="auto"/>
      </w:pPr>
    </w:p>
    <w:p w14:paraId="6D93790F">
      <w:pPr>
        <w:spacing w:after="60" w:line="276" w:lineRule="auto"/>
      </w:pPr>
    </w:p>
    <w:p w14:paraId="34B12DC1">
      <w:pPr>
        <w:spacing w:after="60" w:line="276" w:lineRule="auto"/>
      </w:pPr>
    </w:p>
    <w:p w14:paraId="5EDEFF2D">
      <w:pPr>
        <w:spacing w:after="60" w:line="276" w:lineRule="auto"/>
      </w:pPr>
    </w:p>
    <w:p w14:paraId="6CC63CA5">
      <w:pPr>
        <w:spacing w:after="60" w:line="276" w:lineRule="auto"/>
      </w:pPr>
    </w:p>
    <w:p w14:paraId="2413E991">
      <w:pPr>
        <w:spacing w:after="60" w:line="276" w:lineRule="auto"/>
      </w:pPr>
    </w:p>
    <w:p w14:paraId="4CB0F7B1">
      <w:pPr>
        <w:spacing w:after="60" w:line="276" w:lineRule="auto"/>
      </w:pPr>
    </w:p>
    <w:p w14:paraId="166A2A52">
      <w:pPr>
        <w:spacing w:after="60" w:line="276" w:lineRule="auto"/>
      </w:pPr>
    </w:p>
    <w:p w14:paraId="30A23D0E">
      <w:pPr>
        <w:spacing w:after="60" w:line="276" w:lineRule="auto"/>
      </w:pPr>
    </w:p>
    <w:p w14:paraId="061B93BB">
      <w:pPr>
        <w:spacing w:after="60" w:line="276" w:lineRule="auto"/>
      </w:pPr>
    </w:p>
    <w:p w14:paraId="49E304A4">
      <w:pPr>
        <w:spacing w:after="60" w:line="276" w:lineRule="auto"/>
      </w:pPr>
    </w:p>
    <w:p w14:paraId="6E99BAD3">
      <w:pPr>
        <w:spacing w:after="60" w:line="276" w:lineRule="auto"/>
      </w:pPr>
    </w:p>
    <w:p w14:paraId="53E5CF66">
      <w:pPr>
        <w:spacing w:after="60" w:line="276" w:lineRule="auto"/>
      </w:pPr>
    </w:p>
    <w:p w14:paraId="466D25C5">
      <w:pPr>
        <w:spacing w:after="60" w:line="276" w:lineRule="auto"/>
      </w:pPr>
    </w:p>
    <w:p w14:paraId="62709115">
      <w:pPr>
        <w:spacing w:after="60" w:line="276" w:lineRule="auto"/>
      </w:pPr>
    </w:p>
    <w:p w14:paraId="7DA03196">
      <w:pPr>
        <w:spacing w:after="60" w:line="276" w:lineRule="auto"/>
      </w:pPr>
    </w:p>
    <w:p w14:paraId="09C67518">
      <w:pPr>
        <w:spacing w:after="60" w:line="276" w:lineRule="auto"/>
      </w:pPr>
    </w:p>
    <w:p w14:paraId="203CA29D">
      <w:pPr>
        <w:spacing w:after="60" w:line="276" w:lineRule="auto"/>
      </w:pPr>
    </w:p>
    <w:p w14:paraId="38D5D0C5">
      <w:pPr>
        <w:spacing w:after="60" w:line="276" w:lineRule="auto"/>
      </w:pPr>
    </w:p>
    <w:p w14:paraId="396A4942">
      <w:pPr>
        <w:spacing w:after="60" w:line="276" w:lineRule="auto"/>
      </w:pPr>
    </w:p>
    <w:p w14:paraId="322723B2">
      <w:pPr>
        <w:spacing w:after="60" w:line="276" w:lineRule="auto"/>
      </w:pPr>
    </w:p>
    <w:p w14:paraId="47D6AB41">
      <w:pPr>
        <w:spacing w:after="60" w:line="276" w:lineRule="auto"/>
      </w:pPr>
    </w:p>
    <w:p w14:paraId="611E5AEC">
      <w:pPr>
        <w:spacing w:after="60" w:line="276" w:lineRule="auto"/>
      </w:pPr>
    </w:p>
    <w:p w14:paraId="4333608F">
      <w:pPr>
        <w:spacing w:after="60" w:line="276" w:lineRule="auto"/>
      </w:pPr>
    </w:p>
    <w:p w14:paraId="623DA436">
      <w:pPr>
        <w:spacing w:after="60" w:line="276" w:lineRule="auto"/>
      </w:pPr>
    </w:p>
    <w:p w14:paraId="7F0587E6">
      <w:pPr>
        <w:spacing w:after="60" w:line="276" w:lineRule="auto"/>
      </w:pPr>
    </w:p>
    <w:p w14:paraId="786DA63E">
      <w:pPr>
        <w:spacing w:after="60" w:line="276" w:lineRule="auto"/>
      </w:pPr>
    </w:p>
    <w:p w14:paraId="7337AAE6">
      <w:pPr>
        <w:spacing w:after="60" w:line="276" w:lineRule="auto"/>
      </w:pPr>
    </w:p>
    <w:p w14:paraId="2A17B442">
      <w:pPr>
        <w:spacing w:after="60" w:line="276" w:lineRule="auto"/>
      </w:pPr>
    </w:p>
    <w:p w14:paraId="3E25B058">
      <w:pPr>
        <w:spacing w:after="60" w:line="276" w:lineRule="auto"/>
      </w:pPr>
    </w:p>
    <w:p w14:paraId="3C00FF22">
      <w:pPr>
        <w:spacing w:after="60" w:line="276" w:lineRule="auto"/>
      </w:pPr>
    </w:p>
    <w:p w14:paraId="366C6108">
      <w:pPr>
        <w:spacing w:after="60" w:line="276" w:lineRule="auto"/>
      </w:pPr>
    </w:p>
    <w:p w14:paraId="4C5528DE">
      <w:pPr>
        <w:spacing w:after="60" w:line="276" w:lineRule="auto"/>
      </w:pPr>
    </w:p>
    <w:p w14:paraId="33195A81">
      <w:pPr>
        <w:spacing w:after="60" w:line="276" w:lineRule="auto"/>
      </w:pPr>
    </w:p>
    <w:p w14:paraId="0270E3E3">
      <w:pPr>
        <w:spacing w:after="60" w:line="276" w:lineRule="auto"/>
      </w:pPr>
    </w:p>
    <w:p w14:paraId="4E8FC012">
      <w:pPr>
        <w:spacing w:after="60" w:line="276" w:lineRule="auto"/>
      </w:pPr>
    </w:p>
    <w:p w14:paraId="36FC8D39">
      <w:pPr>
        <w:spacing w:after="60" w:line="276" w:lineRule="auto"/>
      </w:pPr>
    </w:p>
    <w:p w14:paraId="0A067C44">
      <w:pPr>
        <w:spacing w:after="60" w:line="276" w:lineRule="auto"/>
      </w:pPr>
    </w:p>
    <w:p w14:paraId="7CA21DB6">
      <w:pPr>
        <w:spacing w:after="60" w:line="276" w:lineRule="auto"/>
      </w:pPr>
    </w:p>
    <w:p w14:paraId="580015C1">
      <w:pPr>
        <w:spacing w:after="60" w:line="276" w:lineRule="auto"/>
      </w:pPr>
    </w:p>
    <w:p w14:paraId="62AA36CC">
      <w:pPr>
        <w:spacing w:after="60" w:line="276" w:lineRule="auto"/>
      </w:pPr>
    </w:p>
    <w:p w14:paraId="17FD9001">
      <w:pPr>
        <w:spacing w:after="60" w:line="276" w:lineRule="auto"/>
      </w:pPr>
    </w:p>
    <w:p w14:paraId="1C534B9E">
      <w:pPr>
        <w:spacing w:after="60" w:line="276" w:lineRule="auto"/>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956E55"/>
    <w:rsid w:val="068766C3"/>
    <w:rsid w:val="0FFB4C2D"/>
    <w:rsid w:val="101C69A6"/>
    <w:rsid w:val="15F63412"/>
    <w:rsid w:val="17F0696C"/>
    <w:rsid w:val="183B3024"/>
    <w:rsid w:val="18FA3DCE"/>
    <w:rsid w:val="1E20265C"/>
    <w:rsid w:val="259865AB"/>
    <w:rsid w:val="274033B7"/>
    <w:rsid w:val="29C87436"/>
    <w:rsid w:val="308E051A"/>
    <w:rsid w:val="38A20FFB"/>
    <w:rsid w:val="3AEF22C6"/>
    <w:rsid w:val="449F4114"/>
    <w:rsid w:val="48E318B7"/>
    <w:rsid w:val="4E892E94"/>
    <w:rsid w:val="4F407994"/>
    <w:rsid w:val="578C750D"/>
    <w:rsid w:val="59C16051"/>
    <w:rsid w:val="61DB474F"/>
    <w:rsid w:val="6E5F3FAE"/>
    <w:rsid w:val="72EE6907"/>
    <w:rsid w:val="79F022DC"/>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8" Type="http://schemas.openxmlformats.org/officeDocument/2006/relationships/fontTable" Target="fontTable.xml"/><Relationship Id="rId77" Type="http://schemas.openxmlformats.org/officeDocument/2006/relationships/customXml" Target="../customXml/item1.xml"/><Relationship Id="rId76" Type="http://schemas.openxmlformats.org/officeDocument/2006/relationships/numbering" Target="numbering.xml"/><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88</Pages>
  <Words>21865</Words>
  <Characters>22737</Characters>
  <Lines>0</Lines>
  <Paragraphs>0</Paragraphs>
  <TotalTime>20</TotalTime>
  <ScaleCrop>false</ScaleCrop>
  <LinksUpToDate>false</LinksUpToDate>
  <CharactersWithSpaces>22965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2026-06-10T06:54:22Z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