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pPr>
      <w:r>
        <w:rPr>
          <w:rFonts w:ascii="微软雅黑" w:hAnsi="微软雅黑" w:eastAsia="微软雅黑"/>
          <w:b/>
          <w:color w:val="254061"/>
          <w:sz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6"/>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6"/>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7"/>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8"/>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9"/>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0"/>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6"/>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1"/>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6"/>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2"/>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6"/>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3"/>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6"/>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4"/>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6"/>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5"/>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6"/>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6"/>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7"/>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6"/>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8"/>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6"/>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9"/>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6"/>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0"/>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6"/>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6"/>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2"/>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6"/>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3"/>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6"/>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4"/>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6"/>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5"/>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6"/>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6"/>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6"/>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7"/>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6"/>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8"/>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6"/>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9"/>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6"/>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0"/>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6"/>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81"/>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6"/>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2"/>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6"/>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3"/>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6"/>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4"/>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6"/>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5"/>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6"/>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6"/>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6"/>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7"/>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6"/>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8"/>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6"/>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9"/>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6"/>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0"/>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6"/>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91"/>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6"/>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2"/>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6"/>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3"/>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6"/>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6"/>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4"/>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6"/>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5"/>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6"/>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6"/>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7"/>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7740A8C">
      <w:pPr>
        <w:pStyle w:val="4"/>
        <w:keepNext/>
        <w:spacing w:before="240" w:after="140" w:line="269" w:lineRule="auto"/>
      </w:pPr>
      <w:r>
        <w:rPr>
          <w:rFonts w:ascii="微软雅黑" w:hAnsi="微软雅黑" w:eastAsia="微软雅黑"/>
          <w:b/>
          <w:color w:val="1F4E79"/>
          <w:sz w:val="30"/>
        </w:rPr>
        <w:t>页面说明</w:t>
      </w:r>
    </w:p>
    <w:p w14:paraId="65EA5E4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8"/>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6"/>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9"/>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00"/>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6"/>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01"/>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6"/>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2"/>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3"/>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6"/>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4"/>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5"/>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6"/>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7FE09289">
      <w:r>
        <w:drawing>
          <wp:inline distT="0" distB="0" distL="114300" distR="114300">
            <wp:extent cx="6388735" cy="2738755"/>
            <wp:effectExtent l="0" t="0" r="12065" b="444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107"/>
                    <a:stretch>
                      <a:fillRect/>
                    </a:stretch>
                  </pic:blipFill>
                  <pic:spPr>
                    <a:xfrm>
                      <a:off x="0" y="0"/>
                      <a:ext cx="6388735" cy="2738755"/>
                    </a:xfrm>
                    <a:prstGeom prst="rect">
                      <a:avLst/>
                    </a:prstGeom>
                    <a:noFill/>
                    <a:ln>
                      <a:noFill/>
                    </a:ln>
                  </pic:spPr>
                </pic:pic>
              </a:graphicData>
            </a:graphic>
          </wp:inline>
        </w:drawing>
      </w:r>
    </w:p>
    <w:p w14:paraId="1B48DE56">
      <w:pPr>
        <w:pStyle w:val="16"/>
        <w:spacing w:after="60" w:line="276" w:lineRule="auto"/>
      </w:pPr>
      <w:r>
        <w:rPr>
          <w:rFonts w:ascii="微软雅黑" w:hAnsi="微软雅黑" w:eastAsia="微软雅黑"/>
          <w:b/>
          <w:color w:val="2F5597"/>
          <w:sz w:val="20"/>
        </w:rPr>
        <w:t>在线玩家列表</w:t>
      </w:r>
      <w:r>
        <w:rPr>
          <w:rFonts w:ascii="微软雅黑" w:hAnsi="微软雅黑" w:eastAsia="微软雅黑"/>
          <w:b w:val="0"/>
          <w:sz w:val="20"/>
        </w:rPr>
        <w:t>：用于查看当前在线玩家。</w:t>
      </w:r>
    </w:p>
    <w:p w14:paraId="6CC5D45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：按会员、渠道或状态筛选，查看在线时间、终端和会员信息。</w:t>
      </w:r>
    </w:p>
    <w:p w14:paraId="50D074F6">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：用于实时运营观察和异常在线排查。</w:t>
      </w:r>
    </w:p>
    <w:p w14:paraId="7114301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42D151F1">
      <w:r>
        <w:drawing>
          <wp:inline distT="0" distB="0" distL="114300" distR="114300">
            <wp:extent cx="6388735" cy="2244725"/>
            <wp:effectExtent l="0" t="0" r="12065" b="317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108"/>
                    <a:stretch>
                      <a:fillRect/>
                    </a:stretch>
                  </pic:blipFill>
                  <pic:spPr>
                    <a:xfrm>
                      <a:off x="0" y="0"/>
                      <a:ext cx="6388735" cy="2244725"/>
                    </a:xfrm>
                    <a:prstGeom prst="rect">
                      <a:avLst/>
                    </a:prstGeom>
                    <a:noFill/>
                    <a:ln>
                      <a:noFill/>
                    </a:ln>
                  </pic:spPr>
                </pic:pic>
              </a:graphicData>
            </a:graphic>
          </wp:inline>
        </w:drawing>
      </w:r>
    </w:p>
    <w:p w14:paraId="7BA5154A">
      <w:r>
        <w:drawing>
          <wp:inline distT="0" distB="0" distL="114300" distR="114300">
            <wp:extent cx="4133850" cy="3238500"/>
            <wp:effectExtent l="0" t="0" r="0" b="0"/>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109"/>
                    <a:stretch>
                      <a:fillRect/>
                    </a:stretch>
                  </pic:blipFill>
                  <pic:spPr>
                    <a:xfrm>
                      <a:off x="0" y="0"/>
                      <a:ext cx="4133850" cy="3238500"/>
                    </a:xfrm>
                    <a:prstGeom prst="rect">
                      <a:avLst/>
                    </a:prstGeom>
                    <a:noFill/>
                    <a:ln>
                      <a:noFill/>
                    </a:ln>
                  </pic:spPr>
                </pic:pic>
              </a:graphicData>
            </a:graphic>
          </wp:inline>
        </w:drawing>
      </w:r>
    </w:p>
    <w:p w14:paraId="7BA593D9">
      <w:r>
        <w:drawing>
          <wp:inline distT="0" distB="0" distL="114300" distR="114300">
            <wp:extent cx="4086225" cy="2628900"/>
            <wp:effectExtent l="0" t="0" r="9525" b="0"/>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110"/>
                    <a:stretch>
                      <a:fillRect/>
                    </a:stretch>
                  </pic:blipFill>
                  <pic:spPr>
                    <a:xfrm>
                      <a:off x="0" y="0"/>
                      <a:ext cx="4086225" cy="2628900"/>
                    </a:xfrm>
                    <a:prstGeom prst="rect">
                      <a:avLst/>
                    </a:prstGeom>
                    <a:noFill/>
                    <a:ln>
                      <a:noFill/>
                    </a:ln>
                  </pic:spPr>
                </pic:pic>
              </a:graphicData>
            </a:graphic>
          </wp:inline>
        </w:drawing>
      </w:r>
    </w:p>
    <w:p w14:paraId="31D54323">
      <w:r>
        <w:drawing>
          <wp:inline distT="0" distB="0" distL="114300" distR="114300">
            <wp:extent cx="6390640" cy="4519930"/>
            <wp:effectExtent l="0" t="0" r="10160" b="13970"/>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11"/>
                    <a:stretch>
                      <a:fillRect/>
                    </a:stretch>
                  </pic:blipFill>
                  <pic:spPr>
                    <a:xfrm>
                      <a:off x="0" y="0"/>
                      <a:ext cx="6390640" cy="4519930"/>
                    </a:xfrm>
                    <a:prstGeom prst="rect">
                      <a:avLst/>
                    </a:prstGeom>
                    <a:noFill/>
                    <a:ln>
                      <a:noFill/>
                    </a:ln>
                  </pic:spPr>
                </pic:pic>
              </a:graphicData>
            </a:graphic>
          </wp:inline>
        </w:drawing>
      </w:r>
      <w:bookmarkStart w:id="0" w:name="_GoBack"/>
      <w:bookmarkEnd w:id="0"/>
    </w:p>
    <w:p w14:paraId="20FF2DF4">
      <w:pPr>
        <w:pStyle w:val="16"/>
        <w:spacing w:after="60" w:line="276" w:lineRule="auto"/>
      </w:pPr>
      <w:r>
        <w:rPr>
          <w:rFonts w:ascii="微软雅黑" w:hAnsi="微软雅黑" w:eastAsia="微软雅黑"/>
          <w:b/>
          <w:color w:val="2F5597"/>
          <w:sz w:val="20"/>
        </w:rPr>
        <w:t>所有会员</w:t>
      </w:r>
      <w:r>
        <w:rPr>
          <w:rFonts w:ascii="微软雅黑" w:hAnsi="微软雅黑" w:eastAsia="微软雅黑"/>
          <w:b w:val="0"/>
          <w:sz w:val="20"/>
        </w:rPr>
        <w:t>：用于查询和管理会员基础信息。</w:t>
      </w:r>
    </w:p>
    <w:p w14:paraId="2BA1C63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：按会员账号、ID、状态或注册时间筛选，查看资料、余额和行为信息。</w:t>
      </w:r>
    </w:p>
    <w:p w14:paraId="4871796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：处理会员问题时先确认账号身份，再进入资金、订单或活动明细核对。</w:t>
      </w:r>
    </w:p>
    <w:p w14:paraId="053421E3">
      <w:pPr>
        <w:pStyle w:val="5"/>
        <w:keepNext/>
        <w:spacing w:before="180" w:after="100" w:line="259" w:lineRule="auto"/>
      </w:pPr>
      <w:r>
        <w:rPr>
          <w:rFonts w:ascii="微软雅黑" w:hAnsi="微软雅黑" w:eastAsia="微软雅黑"/>
          <w:b/>
          <w:color w:val="2F5597"/>
          <w:sz w:val="25"/>
        </w:rPr>
        <w:t>VIP设置</w:t>
      </w:r>
    </w:p>
    <w:p w14:paraId="3C970DBD">
      <w:pPr>
        <w:pStyle w:val="16"/>
        <w:spacing w:after="60" w:line="276" w:lineRule="auto"/>
      </w:pPr>
      <w:r>
        <w:rPr>
          <w:rFonts w:ascii="微软雅黑" w:hAnsi="微软雅黑" w:eastAsia="微软雅黑"/>
          <w:b/>
          <w:color w:val="2F5597"/>
          <w:sz w:val="20"/>
        </w:rPr>
        <w:t>VIP设置</w:t>
      </w:r>
      <w:r>
        <w:rPr>
          <w:rFonts w:ascii="微软雅黑" w:hAnsi="微软雅黑" w:eastAsia="微软雅黑"/>
          <w:b w:val="0"/>
          <w:sz w:val="20"/>
        </w:rPr>
        <w:t>：用于配置 VIP 等级、权益和升级条件。</w:t>
      </w:r>
    </w:p>
    <w:p w14:paraId="64A3E67E">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：设置等级名称、升级条件、保级条件、奖励和启停状态。</w:t>
      </w:r>
    </w:p>
    <w:p w14:paraId="2B732B8F">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：调整后会影响会员等级和权益展示，需提前确认规则。</w:t>
      </w:r>
    </w:p>
    <w:p w14:paraId="7DC6CA3D">
      <w:pPr>
        <w:pStyle w:val="5"/>
        <w:keepNext/>
        <w:spacing w:before="180" w:after="100" w:line="259" w:lineRule="auto"/>
      </w:pPr>
      <w:r>
        <w:rPr>
          <w:rFonts w:ascii="微软雅黑" w:hAnsi="微软雅黑" w:eastAsia="微软雅黑"/>
          <w:b/>
          <w:color w:val="2F5597"/>
          <w:sz w:val="25"/>
        </w:rPr>
        <w:t>有奖反馈</w:t>
      </w:r>
    </w:p>
    <w:p w14:paraId="04EABB9C">
      <w:pPr>
        <w:pStyle w:val="16"/>
        <w:spacing w:after="60" w:line="276" w:lineRule="auto"/>
      </w:pPr>
      <w:r>
        <w:rPr>
          <w:rFonts w:ascii="微软雅黑" w:hAnsi="微软雅黑" w:eastAsia="微软雅黑"/>
          <w:b/>
          <w:color w:val="2F5597"/>
          <w:sz w:val="20"/>
        </w:rPr>
        <w:t>有奖反馈</w:t>
      </w:r>
      <w:r>
        <w:rPr>
          <w:rFonts w:ascii="微软雅黑" w:hAnsi="微软雅黑" w:eastAsia="微软雅黑"/>
          <w:b w:val="0"/>
          <w:sz w:val="20"/>
        </w:rPr>
        <w:t>：用于查看和处理会员反馈奖励。</w:t>
      </w:r>
    </w:p>
    <w:p w14:paraId="2A5C855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：筛选反馈记录，查看内容、处理状态并发放或拒绝奖励。</w:t>
      </w:r>
    </w:p>
    <w:p w14:paraId="2A97AFAD">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：处理前核对反馈内容、奖励规则和会员信息。</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pPr>
      <w:r>
        <w:rPr>
          <w:rFonts w:ascii="微软雅黑" w:hAnsi="微软雅黑" w:eastAsia="微软雅黑"/>
          <w:b/>
          <w:color w:val="2F5597"/>
          <w:sz w:val="25"/>
        </w:rPr>
        <w:t>代理列表</w:t>
      </w:r>
    </w:p>
    <w:p w14:paraId="32E84B52">
      <w:pPr>
        <w:pStyle w:val="16"/>
        <w:spacing w:after="60" w:line="276" w:lineRule="auto"/>
      </w:pPr>
      <w:r>
        <w:rPr>
          <w:rFonts w:ascii="微软雅黑" w:hAnsi="微软雅黑" w:eastAsia="微软雅黑"/>
          <w:b/>
          <w:color w:val="2F5597"/>
          <w:sz w:val="20"/>
        </w:rPr>
        <w:t>代理列表</w:t>
      </w:r>
      <w:r>
        <w:rPr>
          <w:rFonts w:ascii="微软雅黑" w:hAnsi="微软雅黑" w:eastAsia="微软雅黑"/>
          <w:b w:val="0"/>
          <w:sz w:val="20"/>
        </w:rPr>
        <w:t>：用于查询和管理代理账号。</w:t>
      </w:r>
    </w:p>
    <w:p w14:paraId="2764B9F6">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：按代理账号、状态或时间筛选，查看代理信息和下级数据。</w:t>
      </w:r>
    </w:p>
    <w:p w14:paraId="0468D12D">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：调整代理状态前需确认结算、会员归属和业务影响。</w:t>
      </w:r>
    </w:p>
    <w:p w14:paraId="7B2F927C">
      <w:pPr>
        <w:pStyle w:val="5"/>
        <w:keepNext/>
        <w:spacing w:before="180" w:after="100" w:line="259" w:lineRule="auto"/>
      </w:pPr>
      <w:r>
        <w:rPr>
          <w:rFonts w:ascii="微软雅黑" w:hAnsi="微软雅黑" w:eastAsia="微软雅黑"/>
          <w:b/>
          <w:color w:val="2F5597"/>
          <w:sz w:val="25"/>
        </w:rPr>
        <w:t>代理配置</w:t>
      </w:r>
    </w:p>
    <w:p w14:paraId="63DBE911">
      <w:pPr>
        <w:pStyle w:val="16"/>
        <w:spacing w:after="60" w:line="276" w:lineRule="auto"/>
      </w:pPr>
      <w:r>
        <w:rPr>
          <w:rFonts w:ascii="微软雅黑" w:hAnsi="微软雅黑" w:eastAsia="微软雅黑"/>
          <w:b/>
          <w:color w:val="2F5597"/>
          <w:sz w:val="20"/>
        </w:rPr>
        <w:t>代理配置</w:t>
      </w:r>
      <w:r>
        <w:rPr>
          <w:rFonts w:ascii="微软雅黑" w:hAnsi="微软雅黑" w:eastAsia="微软雅黑"/>
          <w:b w:val="0"/>
          <w:sz w:val="20"/>
        </w:rPr>
        <w:t>：用于维护代理返佣、返水和结算规则。</w:t>
      </w:r>
    </w:p>
    <w:p w14:paraId="48F29FA1">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：设置代理等级、比例、结算周期和启停状态。</w:t>
      </w:r>
    </w:p>
    <w:p w14:paraId="29D47E7C">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：配置变更会影响代理收益，保存前需复核规则。</w:t>
      </w:r>
    </w:p>
    <w:p w14:paraId="7A8BCCC2">
      <w:pPr>
        <w:pStyle w:val="5"/>
        <w:keepNext/>
        <w:spacing w:before="180" w:after="100" w:line="259" w:lineRule="auto"/>
      </w:pPr>
      <w:r>
        <w:rPr>
          <w:rFonts w:ascii="微软雅黑" w:hAnsi="微软雅黑" w:eastAsia="微软雅黑"/>
          <w:b/>
          <w:color w:val="2F5597"/>
          <w:sz w:val="25"/>
        </w:rPr>
        <w:t>代理领取记录</w:t>
      </w:r>
    </w:p>
    <w:p w14:paraId="5EB7FD94">
      <w:pPr>
        <w:pStyle w:val="16"/>
        <w:spacing w:after="60" w:line="276" w:lineRule="auto"/>
      </w:pPr>
      <w:r>
        <w:rPr>
          <w:rFonts w:ascii="微软雅黑" w:hAnsi="微软雅黑" w:eastAsia="微软雅黑"/>
          <w:b/>
          <w:color w:val="2F5597"/>
          <w:sz w:val="20"/>
        </w:rPr>
        <w:t>代理领取记录</w:t>
      </w:r>
      <w:r>
        <w:rPr>
          <w:rFonts w:ascii="微软雅黑" w:hAnsi="微软雅黑" w:eastAsia="微软雅黑"/>
          <w:b w:val="0"/>
          <w:sz w:val="20"/>
        </w:rPr>
        <w:t>：用于查看代理奖励或佣金领取记录。</w:t>
      </w:r>
    </w:p>
    <w:p w14:paraId="06F90DFE">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：按代理、状态或时间筛选，查看领取金额和处理结果。</w:t>
      </w:r>
    </w:p>
    <w:p w14:paraId="749874C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：排查收益问题时结合结算明细和账变记录核对。</w:t>
      </w:r>
    </w:p>
    <w:p w14:paraId="03B26D96">
      <w:pPr>
        <w:pStyle w:val="5"/>
        <w:keepNext/>
        <w:spacing w:before="180" w:after="100" w:line="259" w:lineRule="auto"/>
      </w:pPr>
      <w:r>
        <w:rPr>
          <w:rFonts w:ascii="微软雅黑" w:hAnsi="微软雅黑" w:eastAsia="微软雅黑"/>
          <w:b/>
          <w:color w:val="2F5597"/>
          <w:sz w:val="25"/>
        </w:rPr>
        <w:t>代理数据查询</w:t>
      </w:r>
    </w:p>
    <w:p w14:paraId="760FEA40">
      <w:pPr>
        <w:pStyle w:val="16"/>
        <w:spacing w:after="60" w:line="276" w:lineRule="auto"/>
      </w:pPr>
      <w:r>
        <w:rPr>
          <w:rFonts w:ascii="微软雅黑" w:hAnsi="微软雅黑" w:eastAsia="微软雅黑"/>
          <w:b/>
          <w:color w:val="2F5597"/>
          <w:sz w:val="20"/>
        </w:rPr>
        <w:t>代理数据查询</w:t>
      </w:r>
      <w:r>
        <w:rPr>
          <w:rFonts w:ascii="微软雅黑" w:hAnsi="微软雅黑" w:eastAsia="微软雅黑"/>
          <w:b w:val="0"/>
          <w:sz w:val="20"/>
        </w:rPr>
        <w:t>：用于查询代理维度的运营数据。</w:t>
      </w:r>
    </w:p>
    <w:p w14:paraId="1F17117F">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：按代理和时间筛选，查看下级会员、充值、投注和佣金数据。</w:t>
      </w:r>
    </w:p>
    <w:p w14:paraId="344CFFF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：用于代理运营分析和结算核对。</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pPr>
      <w:r>
        <w:rPr>
          <w:rFonts w:ascii="微软雅黑" w:hAnsi="微软雅黑" w:eastAsia="微软雅黑"/>
          <w:b/>
          <w:color w:val="2F5597"/>
          <w:sz w:val="25"/>
        </w:rPr>
        <w:t>黑名单</w:t>
      </w:r>
    </w:p>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pPr>
      <w:r>
        <w:rPr>
          <w:rFonts w:ascii="微软雅黑" w:hAnsi="微软雅黑" w:eastAsia="微软雅黑"/>
          <w:b/>
          <w:color w:val="2F5597"/>
          <w:sz w:val="25"/>
        </w:rPr>
        <w:t>刷子监控</w:t>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pPr>
      <w:r>
        <w:rPr>
          <w:rFonts w:ascii="微软雅黑" w:hAnsi="微软雅黑" w:eastAsia="微软雅黑"/>
          <w:b/>
          <w:color w:val="2F5597"/>
          <w:sz w:val="25"/>
        </w:rPr>
        <w:t>游戏获利监控</w:t>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pPr>
      <w:r>
        <w:rPr>
          <w:rFonts w:ascii="微软雅黑" w:hAnsi="微软雅黑" w:eastAsia="微软雅黑"/>
          <w:b/>
          <w:color w:val="2F5597"/>
          <w:sz w:val="25"/>
        </w:rPr>
        <w:t>商户信息</w:t>
      </w:r>
    </w:p>
    <w:p w14:paraId="53ACBE49">
      <w:pPr>
        <w:pStyle w:val="16"/>
        <w:spacing w:after="60" w:line="276" w:lineRule="auto"/>
      </w:pPr>
      <w:r>
        <w:rPr>
          <w:rFonts w:ascii="微软雅黑" w:hAnsi="微软雅黑" w:eastAsia="微软雅黑"/>
          <w:b/>
          <w:color w:val="2F5597"/>
          <w:sz w:val="20"/>
        </w:rPr>
        <w:t>商户信息</w:t>
      </w:r>
      <w:r>
        <w:rPr>
          <w:rFonts w:ascii="微软雅黑" w:hAnsi="微软雅黑" w:eastAsia="微软雅黑"/>
          <w:b w:val="0"/>
          <w:sz w:val="20"/>
        </w:rPr>
        <w:t>：用于查看商户基础资料和账户状态。</w:t>
      </w:r>
    </w:p>
    <w:p w14:paraId="0E0D782B">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：查看商户名称、账号信息、联系方式和状态配置。</w:t>
      </w:r>
    </w:p>
    <w:p w14:paraId="6B9A34F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：资料变更需与平台或管理员确认，避免影响后台使用。</w:t>
      </w:r>
    </w:p>
    <w:p w14:paraId="6C613849">
      <w:pPr>
        <w:pStyle w:val="5"/>
        <w:keepNext/>
        <w:spacing w:before="180" w:after="100" w:line="259" w:lineRule="auto"/>
      </w:pPr>
      <w:r>
        <w:rPr>
          <w:rFonts w:ascii="微软雅黑" w:hAnsi="微软雅黑" w:eastAsia="微软雅黑"/>
          <w:b/>
          <w:color w:val="2F5597"/>
          <w:sz w:val="25"/>
        </w:rPr>
        <w:t>商户充值</w:t>
      </w:r>
    </w:p>
    <w:p w14:paraId="4CD48A6E">
      <w:pPr>
        <w:pStyle w:val="16"/>
        <w:spacing w:after="60" w:line="276" w:lineRule="auto"/>
      </w:pPr>
      <w:r>
        <w:rPr>
          <w:rFonts w:ascii="微软雅黑" w:hAnsi="微软雅黑" w:eastAsia="微软雅黑"/>
          <w:b/>
          <w:color w:val="2F5597"/>
          <w:sz w:val="20"/>
        </w:rPr>
        <w:t>商户充值</w:t>
      </w:r>
      <w:r>
        <w:rPr>
          <w:rFonts w:ascii="微软雅黑" w:hAnsi="微软雅黑" w:eastAsia="微软雅黑"/>
          <w:b w:val="0"/>
          <w:sz w:val="20"/>
        </w:rPr>
        <w:t>：用于商户账户充值。</w:t>
      </w:r>
    </w:p>
    <w:p w14:paraId="345CE640">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：选择充值方式，填写金额并提交充值申请。</w:t>
      </w:r>
    </w:p>
    <w:p w14:paraId="4D0AB50D">
      <w:pPr>
        <w:pStyle w:val="16"/>
        <w:spacing w:after="60" w:line="276" w:lineRule="auto"/>
      </w:pPr>
      <w:r>
        <w:rPr>
          <w:rFonts w:ascii="微软雅黑" w:hAnsi="微软雅黑" w:eastAsia="微软雅黑"/>
          <w:b/>
          <w:color w:val="2F5597"/>
          <w:sz w:val="20"/>
        </w:rPr>
        <w:t>提交前检查</w:t>
      </w:r>
      <w:r>
        <w:rPr>
          <w:rFonts w:ascii="微软雅黑" w:hAnsi="微软雅黑" w:eastAsia="微软雅黑"/>
          <w:b w:val="0"/>
          <w:sz w:val="20"/>
        </w:rPr>
        <w:t>：提交前确认金额、收款信息和到账规则。</w:t>
      </w:r>
    </w:p>
    <w:p w14:paraId="20EFC806">
      <w:pPr>
        <w:pStyle w:val="5"/>
        <w:keepNext/>
        <w:spacing w:before="180" w:after="100" w:line="259" w:lineRule="auto"/>
      </w:pPr>
      <w:r>
        <w:rPr>
          <w:rFonts w:ascii="微软雅黑" w:hAnsi="微软雅黑" w:eastAsia="微软雅黑"/>
          <w:b/>
          <w:color w:val="2F5597"/>
          <w:sz w:val="25"/>
        </w:rPr>
        <w:t>充值记录</w:t>
      </w:r>
    </w:p>
    <w:p w14:paraId="265AE88E">
      <w:pPr>
        <w:pStyle w:val="16"/>
        <w:spacing w:after="60" w:line="276" w:lineRule="auto"/>
      </w:pPr>
      <w:r>
        <w:rPr>
          <w:rFonts w:ascii="微软雅黑" w:hAnsi="微软雅黑" w:eastAsia="微软雅黑"/>
          <w:b/>
          <w:color w:val="2F5597"/>
          <w:sz w:val="20"/>
        </w:rPr>
        <w:t>充值记录</w:t>
      </w:r>
      <w:r>
        <w:rPr>
          <w:rFonts w:ascii="微软雅黑" w:hAnsi="微软雅黑" w:eastAsia="微软雅黑"/>
          <w:b w:val="0"/>
          <w:sz w:val="20"/>
        </w:rPr>
        <w:t>：用于查询商户充值记录。</w:t>
      </w:r>
    </w:p>
    <w:p w14:paraId="171EC97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：按订单号、状态或时间筛选，查看充值金额和到账状态。</w:t>
      </w:r>
    </w:p>
    <w:p w14:paraId="1C825F0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：到账异常时结合支付凭证和平台处理结果核对。</w:t>
      </w:r>
    </w:p>
    <w:p w14:paraId="7DD52377">
      <w:pPr>
        <w:pStyle w:val="5"/>
        <w:keepNext/>
        <w:spacing w:before="180" w:after="100" w:line="259" w:lineRule="auto"/>
      </w:pPr>
      <w:r>
        <w:rPr>
          <w:rFonts w:ascii="微软雅黑" w:hAnsi="微软雅黑" w:eastAsia="微软雅黑"/>
          <w:b/>
          <w:color w:val="2F5597"/>
          <w:sz w:val="25"/>
        </w:rPr>
        <w:t>商户账变记录</w:t>
      </w:r>
    </w:p>
    <w:p w14:paraId="22F48B13">
      <w:pPr>
        <w:pStyle w:val="16"/>
        <w:spacing w:after="60" w:line="276" w:lineRule="auto"/>
      </w:pPr>
      <w:r>
        <w:rPr>
          <w:rFonts w:ascii="微软雅黑" w:hAnsi="微软雅黑" w:eastAsia="微软雅黑"/>
          <w:b/>
          <w:color w:val="2F5597"/>
          <w:sz w:val="20"/>
        </w:rPr>
        <w:t>商户账变记录</w:t>
      </w:r>
      <w:r>
        <w:rPr>
          <w:rFonts w:ascii="微软雅黑" w:hAnsi="微软雅黑" w:eastAsia="微软雅黑"/>
          <w:b w:val="0"/>
          <w:sz w:val="20"/>
        </w:rPr>
        <w:t>：用于查看商户账户资金变动。</w:t>
      </w:r>
    </w:p>
    <w:p w14:paraId="5A32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：按账变类型、时间或订单号筛选，查看金额变化和余额。</w:t>
      </w:r>
    </w:p>
    <w:p w14:paraId="6B00DA32">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：排查商户资金问题时结合充值、账单和扣费记录核对。</w:t>
      </w:r>
    </w:p>
    <w:p w14:paraId="1F816A64">
      <w:pPr>
        <w:pStyle w:val="5"/>
        <w:keepNext/>
        <w:spacing w:before="180" w:after="100" w:line="259" w:lineRule="auto"/>
      </w:pPr>
      <w:r>
        <w:rPr>
          <w:rFonts w:ascii="微软雅黑" w:hAnsi="微软雅黑" w:eastAsia="微软雅黑"/>
          <w:b/>
          <w:color w:val="2F5597"/>
          <w:sz w:val="25"/>
        </w:rPr>
        <w:t>商户账单</w:t>
      </w:r>
    </w:p>
    <w:p w14:paraId="71BBEE76">
      <w:pPr>
        <w:pStyle w:val="16"/>
        <w:spacing w:after="60" w:line="276" w:lineRule="auto"/>
      </w:pPr>
      <w:r>
        <w:rPr>
          <w:rFonts w:ascii="微软雅黑" w:hAnsi="微软雅黑" w:eastAsia="微软雅黑"/>
          <w:b/>
          <w:color w:val="2F5597"/>
          <w:sz w:val="20"/>
        </w:rPr>
        <w:t>商户账单</w:t>
      </w:r>
      <w:r>
        <w:rPr>
          <w:rFonts w:ascii="微软雅黑" w:hAnsi="微软雅黑" w:eastAsia="微软雅黑"/>
          <w:b w:val="0"/>
          <w:sz w:val="20"/>
        </w:rPr>
        <w:t>：用于查看商户账单和费用结算情况。</w:t>
      </w:r>
    </w:p>
    <w:p w14:paraId="4D46181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：按账期或状态筛选，查看账单金额、费用项目和结算状态。</w:t>
      </w:r>
    </w:p>
    <w:p w14:paraId="66F52684">
      <w:pPr>
        <w:pStyle w:val="16"/>
        <w:spacing w:after="60" w:line="276" w:lineRule="auto"/>
      </w:pPr>
      <w:r>
        <w:rPr>
          <w:rFonts w:ascii="微软雅黑" w:hAnsi="微软雅黑" w:eastAsia="微软雅黑"/>
          <w:b/>
          <w:color w:val="2F5597"/>
          <w:sz w:val="20"/>
        </w:rPr>
        <w:t>对账要点</w:t>
      </w:r>
      <w:r>
        <w:rPr>
          <w:rFonts w:ascii="微软雅黑" w:hAnsi="微软雅黑" w:eastAsia="微软雅黑"/>
          <w:b w:val="0"/>
          <w:sz w:val="20"/>
        </w:rPr>
        <w:t>：对账时需结合账变记录、充值记录和平台结算规则。</w:t>
      </w:r>
    </w:p>
    <w:p w14:paraId="621057E2">
      <w:pPr>
        <w:pStyle w:val="3"/>
        <w:keepNext/>
        <w:spacing w:before="360" w:after="240" w:line="276" w:lineRule="auto"/>
      </w:pPr>
      <w:r>
        <w:rPr>
          <w:rFonts w:ascii="微软雅黑" w:hAnsi="微软雅黑" w:eastAsia="微软雅黑"/>
          <w:b/>
          <w:color w:val="17365D"/>
          <w:sz w:val="40"/>
        </w:rPr>
        <w:t>十四、埋点配置</w:t>
      </w:r>
    </w:p>
    <w:p w14:paraId="1A4841E7">
      <w:pPr>
        <w:pStyle w:val="4"/>
        <w:keepNext/>
        <w:spacing w:before="240" w:after="140" w:line="269" w:lineRule="auto"/>
      </w:pPr>
      <w:r>
        <w:rPr>
          <w:rFonts w:ascii="微软雅黑" w:hAnsi="微软雅黑" w:eastAsia="微软雅黑"/>
          <w:b/>
          <w:color w:val="1F4E79"/>
          <w:sz w:val="30"/>
        </w:rPr>
        <w:t>模块定位</w:t>
      </w:r>
    </w:p>
    <w:p w14:paraId="13D46073">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36EE977">
      <w:pPr>
        <w:pStyle w:val="4"/>
        <w:keepNext/>
        <w:spacing w:before="240" w:after="140" w:line="269" w:lineRule="auto"/>
      </w:pPr>
      <w:r>
        <w:rPr>
          <w:rFonts w:ascii="微软雅黑" w:hAnsi="微软雅黑" w:eastAsia="微软雅黑"/>
          <w:b/>
          <w:color w:val="1F4E79"/>
          <w:sz w:val="30"/>
        </w:rPr>
        <w:t>页面说明</w:t>
      </w:r>
    </w:p>
    <w:p w14:paraId="0E8B6AA6">
      <w:pPr>
        <w:pStyle w:val="5"/>
        <w:keepNext/>
        <w:spacing w:before="180" w:after="100" w:line="259" w:lineRule="auto"/>
      </w:pPr>
      <w:r>
        <w:rPr>
          <w:rFonts w:ascii="微软雅黑" w:hAnsi="微软雅黑" w:eastAsia="微软雅黑"/>
          <w:b/>
          <w:color w:val="2F5597"/>
          <w:sz w:val="25"/>
        </w:rPr>
        <w:t>埋点统计</w:t>
      </w:r>
    </w:p>
    <w:p w14:paraId="0D55633A">
      <w:pPr>
        <w:pStyle w:val="16"/>
        <w:spacing w:after="60" w:line="276" w:lineRule="auto"/>
      </w:pPr>
      <w:r>
        <w:rPr>
          <w:rFonts w:ascii="微软雅黑" w:hAnsi="微软雅黑" w:eastAsia="微软雅黑"/>
          <w:b/>
          <w:color w:val="2F5597"/>
          <w:sz w:val="20"/>
        </w:rPr>
        <w:t>埋点统计</w:t>
      </w:r>
      <w:r>
        <w:rPr>
          <w:rFonts w:ascii="微软雅黑" w:hAnsi="微软雅黑" w:eastAsia="微软雅黑"/>
          <w:b w:val="0"/>
          <w:sz w:val="20"/>
        </w:rPr>
        <w:t>：用于查看站点埋点事件统计。</w:t>
      </w:r>
    </w:p>
    <w:p w14:paraId="3FAC7D6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：按事件、页面、渠道或时间筛选，查看触发次数和转化数据。</w:t>
      </w:r>
    </w:p>
    <w:p w14:paraId="29164E8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：用于分析页面行为和推广效果，需确认埋点配置已生效。</w:t>
      </w:r>
    </w:p>
    <w:p w14:paraId="62A7254E">
      <w:pPr>
        <w:pStyle w:val="5"/>
        <w:keepNext/>
        <w:spacing w:before="180" w:after="100" w:line="259" w:lineRule="auto"/>
      </w:pPr>
      <w:r>
        <w:rPr>
          <w:rFonts w:ascii="微软雅黑" w:hAnsi="微软雅黑" w:eastAsia="微软雅黑"/>
          <w:b/>
          <w:color w:val="2F5597"/>
          <w:sz w:val="25"/>
        </w:rPr>
        <w:t>会话列表</w:t>
      </w:r>
    </w:p>
    <w:p w14:paraId="343B0883">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：用于查看用户访问或行为会话。</w:t>
      </w:r>
    </w:p>
    <w:p w14:paraId="5CB49EC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：按用户、会话 ID、渠道或时间筛选，查看会话轨迹。</w:t>
      </w:r>
    </w:p>
    <w:p w14:paraId="00BDF11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：排查转化或行为问题时，可结合事件流水一起分析。</w:t>
      </w:r>
    </w:p>
    <w:p w14:paraId="0691814E">
      <w:pPr>
        <w:pStyle w:val="5"/>
        <w:keepNext/>
        <w:spacing w:before="180" w:after="100" w:line="259" w:lineRule="auto"/>
      </w:pPr>
      <w:r>
        <w:rPr>
          <w:rFonts w:ascii="微软雅黑" w:hAnsi="微软雅黑" w:eastAsia="微软雅黑"/>
          <w:b/>
          <w:color w:val="2F5597"/>
          <w:sz w:val="25"/>
        </w:rPr>
        <w:t>事件流水</w:t>
      </w:r>
    </w:p>
    <w:p w14:paraId="13FFCB8C">
      <w:pPr>
        <w:pStyle w:val="16"/>
        <w:spacing w:after="60" w:line="276" w:lineRule="auto"/>
      </w:pPr>
      <w:r>
        <w:rPr>
          <w:rFonts w:ascii="微软雅黑" w:hAnsi="微软雅黑" w:eastAsia="微软雅黑"/>
          <w:b/>
          <w:color w:val="2F5597"/>
          <w:sz w:val="20"/>
        </w:rPr>
        <w:t>事件流水</w:t>
      </w:r>
      <w:r>
        <w:rPr>
          <w:rFonts w:ascii="微软雅黑" w:hAnsi="微软雅黑" w:eastAsia="微软雅黑"/>
          <w:b w:val="0"/>
          <w:sz w:val="20"/>
        </w:rPr>
        <w:t>：用于查看埋点事件明细流水。</w:t>
      </w:r>
    </w:p>
    <w:p w14:paraId="0C95FAE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：按事件、用户、页面或时间筛选，查看单次事件详情。</w:t>
      </w:r>
    </w:p>
    <w:p w14:paraId="44846780">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：用于排查埋点触发、参数上报和用户行为路径。</w:t>
      </w:r>
    </w:p>
    <w:p w14:paraId="14EAE7AC">
      <w:pPr>
        <w:pStyle w:val="3"/>
        <w:keepNext/>
        <w:spacing w:before="360" w:after="240" w:line="276" w:lineRule="auto"/>
      </w:pPr>
      <w:r>
        <w:rPr>
          <w:rFonts w:ascii="微软雅黑" w:hAnsi="微软雅黑" w:eastAsia="微软雅黑"/>
          <w:b/>
          <w:color w:val="17365D"/>
          <w:sz w:val="40"/>
        </w:rPr>
        <w:t>十五、人事中心</w:t>
      </w:r>
    </w:p>
    <w:p w14:paraId="7AC80F8A">
      <w:pPr>
        <w:pStyle w:val="4"/>
        <w:keepNext/>
        <w:spacing w:before="240" w:after="140" w:line="269" w:lineRule="auto"/>
      </w:pPr>
      <w:r>
        <w:rPr>
          <w:rFonts w:ascii="微软雅黑" w:hAnsi="微软雅黑" w:eastAsia="微软雅黑"/>
          <w:b/>
          <w:color w:val="1F4E79"/>
          <w:sz w:val="30"/>
        </w:rPr>
        <w:t>模块定位</w:t>
      </w:r>
    </w:p>
    <w:p w14:paraId="12BC2C1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746668F0">
      <w:pPr>
        <w:pStyle w:val="4"/>
        <w:keepNext/>
        <w:spacing w:before="240" w:after="140" w:line="269" w:lineRule="auto"/>
      </w:pPr>
      <w:r>
        <w:rPr>
          <w:rFonts w:ascii="微软雅黑" w:hAnsi="微软雅黑" w:eastAsia="微软雅黑"/>
          <w:b/>
          <w:color w:val="1F4E79"/>
          <w:sz w:val="30"/>
        </w:rPr>
        <w:t>页面说明</w:t>
      </w:r>
    </w:p>
    <w:p w14:paraId="60DB4134">
      <w:pPr>
        <w:pStyle w:val="5"/>
        <w:keepNext/>
        <w:spacing w:before="180" w:after="100" w:line="259" w:lineRule="auto"/>
      </w:pPr>
      <w:r>
        <w:rPr>
          <w:rFonts w:ascii="微软雅黑" w:hAnsi="微软雅黑" w:eastAsia="微软雅黑"/>
          <w:b/>
          <w:color w:val="2F5597"/>
          <w:sz w:val="25"/>
        </w:rPr>
        <w:t>账号管理</w:t>
      </w:r>
    </w:p>
    <w:p w14:paraId="46360FD6">
      <w:pPr>
        <w:pStyle w:val="16"/>
        <w:spacing w:after="60" w:line="276" w:lineRule="auto"/>
      </w:pPr>
      <w:r>
        <w:rPr>
          <w:rFonts w:ascii="微软雅黑" w:hAnsi="微软雅黑" w:eastAsia="微软雅黑"/>
          <w:b/>
          <w:color w:val="2F5597"/>
          <w:sz w:val="20"/>
        </w:rPr>
        <w:t>账号管理</w:t>
      </w:r>
      <w:r>
        <w:rPr>
          <w:rFonts w:ascii="微软雅黑" w:hAnsi="微软雅黑" w:eastAsia="微软雅黑"/>
          <w:b w:val="0"/>
          <w:sz w:val="20"/>
        </w:rPr>
        <w:t>：用于管理后台账号和角色归属。</w:t>
      </w:r>
    </w:p>
    <w:p w14:paraId="6FC547C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：新增、编辑、启用、停用账号，分配系统预设角色。</w:t>
      </w:r>
    </w:p>
    <w:p w14:paraId="3751F99B">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：账号权限影响后台可见菜单和操作范围，调整前需确认职责。</w:t>
      </w:r>
    </w:p>
    <w:p w14:paraId="3F94B793">
      <w:pPr>
        <w:pStyle w:val="5"/>
        <w:keepNext/>
        <w:spacing w:before="180" w:after="100" w:line="259" w:lineRule="auto"/>
      </w:pPr>
      <w:r>
        <w:rPr>
          <w:rFonts w:ascii="微软雅黑" w:hAnsi="微软雅黑" w:eastAsia="微软雅黑"/>
          <w:b/>
          <w:color w:val="2F5597"/>
          <w:sz w:val="25"/>
        </w:rPr>
        <w:t>日志管理</w:t>
      </w:r>
    </w:p>
    <w:p w14:paraId="60076406">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日志管理用于查看后台账号登录、操作和系统异常相关记录。</w:t>
      </w:r>
    </w:p>
    <w:p w14:paraId="0E6C1E1E">
      <w:pPr>
        <w:pStyle w:val="5"/>
        <w:keepNext/>
        <w:spacing w:before="180" w:after="100" w:line="259" w:lineRule="auto"/>
      </w:pPr>
      <w:r>
        <w:rPr>
          <w:rFonts w:ascii="微软雅黑" w:hAnsi="微软雅黑" w:eastAsia="微软雅黑"/>
          <w:b/>
          <w:color w:val="2F5597"/>
          <w:sz w:val="25"/>
        </w:rPr>
        <w:t>管理员登录日志</w:t>
      </w:r>
    </w:p>
    <w:p w14:paraId="2BD5E249">
      <w:pPr>
        <w:pStyle w:val="16"/>
        <w:spacing w:after="60" w:line="276" w:lineRule="auto"/>
      </w:pPr>
      <w:r>
        <w:rPr>
          <w:rFonts w:ascii="微软雅黑" w:hAnsi="微软雅黑" w:eastAsia="微软雅黑"/>
          <w:b/>
          <w:color w:val="2F5597"/>
          <w:sz w:val="20"/>
        </w:rPr>
        <w:t>管理员登录日志</w:t>
      </w:r>
      <w:r>
        <w:rPr>
          <w:rFonts w:ascii="微软雅黑" w:hAnsi="微软雅黑" w:eastAsia="微软雅黑"/>
          <w:b w:val="0"/>
          <w:sz w:val="20"/>
        </w:rPr>
        <w:t>：用于查看后台管理员登录记录。</w:t>
      </w:r>
    </w:p>
    <w:p w14:paraId="204C081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：按账号、IP、时间或状态筛选，查看登录结果。</w:t>
      </w:r>
    </w:p>
    <w:p w14:paraId="7AEC321F">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：排查账号安全或异常登录时优先查看本页面。</w:t>
      </w:r>
    </w:p>
    <w:p w14:paraId="2608BA6D">
      <w:pPr>
        <w:pStyle w:val="5"/>
        <w:keepNext/>
        <w:spacing w:before="180" w:after="100" w:line="259" w:lineRule="auto"/>
      </w:pPr>
      <w:r>
        <w:rPr>
          <w:rFonts w:ascii="微软雅黑" w:hAnsi="微软雅黑" w:eastAsia="微软雅黑"/>
          <w:b/>
          <w:color w:val="2F5597"/>
          <w:sz w:val="25"/>
        </w:rPr>
        <w:t>管理员操作日志</w:t>
      </w:r>
    </w:p>
    <w:p w14:paraId="01BD4412">
      <w:pPr>
        <w:pStyle w:val="16"/>
        <w:spacing w:after="60" w:line="276" w:lineRule="auto"/>
      </w:pPr>
      <w:r>
        <w:rPr>
          <w:rFonts w:ascii="微软雅黑" w:hAnsi="微软雅黑" w:eastAsia="微软雅黑"/>
          <w:b/>
          <w:color w:val="2F5597"/>
          <w:sz w:val="20"/>
        </w:rPr>
        <w:t>管理员操作日志</w:t>
      </w:r>
      <w:r>
        <w:rPr>
          <w:rFonts w:ascii="微软雅黑" w:hAnsi="微软雅黑" w:eastAsia="微软雅黑"/>
          <w:b w:val="0"/>
          <w:sz w:val="20"/>
        </w:rPr>
        <w:t>：用于查看后台关键操作记录。</w:t>
      </w:r>
    </w:p>
    <w:p w14:paraId="19C6307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：按账号、模块、操作类型或时间筛选，查看操作详情。</w:t>
      </w:r>
    </w:p>
    <w:p w14:paraId="77DB7B4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：追溯误操作时结合操作时间、操作人和业务页面记录核对。</w:t>
      </w:r>
    </w:p>
    <w:p w14:paraId="2F0E95FE">
      <w:pPr>
        <w:pStyle w:val="5"/>
        <w:keepNext/>
        <w:spacing w:before="180" w:after="100" w:line="259" w:lineRule="auto"/>
      </w:pPr>
      <w:r>
        <w:rPr>
          <w:rFonts w:ascii="微软雅黑" w:hAnsi="微软雅黑" w:eastAsia="微软雅黑"/>
          <w:b/>
          <w:color w:val="2F5597"/>
          <w:sz w:val="25"/>
        </w:rPr>
        <w:t>系统异常日志</w:t>
      </w:r>
    </w:p>
    <w:p w14:paraId="2D46A050">
      <w:pPr>
        <w:pStyle w:val="16"/>
        <w:spacing w:after="60" w:line="276" w:lineRule="auto"/>
      </w:pPr>
      <w:r>
        <w:rPr>
          <w:rFonts w:ascii="微软雅黑" w:hAnsi="微软雅黑" w:eastAsia="微软雅黑"/>
          <w:b/>
          <w:color w:val="2F5597"/>
          <w:sz w:val="20"/>
        </w:rPr>
        <w:t>系统异常日志</w:t>
      </w:r>
      <w:r>
        <w:rPr>
          <w:rFonts w:ascii="微软雅黑" w:hAnsi="微软雅黑" w:eastAsia="微软雅黑"/>
          <w:b w:val="0"/>
          <w:sz w:val="20"/>
        </w:rPr>
        <w:t>：用于查看后台系统异常和接口错误记录。</w:t>
      </w:r>
    </w:p>
    <w:p w14:paraId="0E2DA1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：按时间、模块或异常类型筛选，查看错误信息和处理状态。</w:t>
      </w:r>
    </w:p>
    <w:p w14:paraId="177BEA7D">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：用于定位系统问题，必要时将异常信息提供给技术人员排查。</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spacing w:after="40" w:line="276" w:lineRule="auto"/>
      </w:pPr>
      <w:r>
        <w:rPr>
          <w:rFonts w:ascii="微软雅黑" w:hAnsi="微软雅黑" w:eastAsia="微软雅黑"/>
          <w:b w:val="0"/>
          <w:sz w:val="20"/>
        </w:rPr>
        <w:t>进入优惠活动，创建或编辑活动规则。</w:t>
      </w:r>
    </w:p>
    <w:p w14:paraId="6A3597AD">
      <w:pPr>
        <w:pStyle w:val="14"/>
        <w:spacing w:after="40" w:line="276" w:lineRule="auto"/>
      </w:pPr>
      <w:r>
        <w:rPr>
          <w:rFonts w:ascii="微软雅黑" w:hAnsi="微软雅黑" w:eastAsia="微软雅黑"/>
          <w:b w:val="0"/>
          <w:sz w:val="20"/>
        </w:rPr>
        <w:t>检查活动展示入口、票券或任务关联、预算、领取限制和目标人群。</w:t>
      </w:r>
    </w:p>
    <w:p w14:paraId="5CFFB797">
      <w:pPr>
        <w:pStyle w:val="14"/>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spacing w:after="40" w:line="276" w:lineRule="auto"/>
      </w:pPr>
      <w:r>
        <w:rPr>
          <w:rFonts w:ascii="微软雅黑" w:hAnsi="微软雅黑" w:eastAsia="微软雅黑"/>
          <w:b w:val="0"/>
          <w:sz w:val="20"/>
        </w:rPr>
        <w:t>进入财务中心的提现订单列表，筛选待审核或处理中订单。</w:t>
      </w:r>
    </w:p>
    <w:p w14:paraId="3679A577">
      <w:pPr>
        <w:pStyle w:val="14"/>
        <w:spacing w:after="40" w:line="276" w:lineRule="auto"/>
      </w:pPr>
      <w:r>
        <w:rPr>
          <w:rFonts w:ascii="微软雅黑" w:hAnsi="微软雅黑" w:eastAsia="微软雅黑"/>
          <w:b w:val="0"/>
          <w:sz w:val="20"/>
        </w:rPr>
        <w:t>核对会员、金额、账户、打码、风控提示和历史资金记录。</w:t>
      </w:r>
    </w:p>
    <w:p w14:paraId="0A17D8AB">
      <w:pPr>
        <w:pStyle w:val="14"/>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spacing w:after="40" w:line="276" w:lineRule="auto"/>
      </w:pPr>
      <w:r>
        <w:rPr>
          <w:rFonts w:ascii="微软雅黑" w:hAnsi="微软雅黑" w:eastAsia="微软雅黑"/>
          <w:b w:val="0"/>
          <w:sz w:val="20"/>
        </w:rPr>
        <w:t>固定活动名称、统计时间和渠道范围。</w:t>
      </w:r>
    </w:p>
    <w:p w14:paraId="26F69E7F">
      <w:pPr>
        <w:pStyle w:val="14"/>
        <w:spacing w:after="40" w:line="276" w:lineRule="auto"/>
      </w:pPr>
      <w:r>
        <w:rPr>
          <w:rFonts w:ascii="微软雅黑" w:hAnsi="微软雅黑" w:eastAsia="微软雅黑"/>
          <w:b w:val="0"/>
          <w:sz w:val="20"/>
        </w:rPr>
        <w:t>查看优惠活动、数据报表中的活动相关报表。</w:t>
      </w:r>
    </w:p>
    <w:p w14:paraId="65D27FAC">
      <w:pPr>
        <w:pStyle w:val="14"/>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5956E55"/>
    <w:rsid w:val="068766C3"/>
    <w:rsid w:val="0FFB4C2D"/>
    <w:rsid w:val="101C69A6"/>
    <w:rsid w:val="15F63412"/>
    <w:rsid w:val="17F0696C"/>
    <w:rsid w:val="183B3024"/>
    <w:rsid w:val="18FA3DCE"/>
    <w:rsid w:val="1E20265C"/>
    <w:rsid w:val="1EBC22D2"/>
    <w:rsid w:val="259865AB"/>
    <w:rsid w:val="274033B7"/>
    <w:rsid w:val="29C87436"/>
    <w:rsid w:val="2F885AC1"/>
    <w:rsid w:val="308E051A"/>
    <w:rsid w:val="368F18C6"/>
    <w:rsid w:val="38A20FFB"/>
    <w:rsid w:val="398E654D"/>
    <w:rsid w:val="3AEF22C6"/>
    <w:rsid w:val="428608CB"/>
    <w:rsid w:val="449F4114"/>
    <w:rsid w:val="48E318B7"/>
    <w:rsid w:val="4E892E94"/>
    <w:rsid w:val="4F407994"/>
    <w:rsid w:val="578C750D"/>
    <w:rsid w:val="58CF0BA1"/>
    <w:rsid w:val="59C16051"/>
    <w:rsid w:val="5DB26AD9"/>
    <w:rsid w:val="5F465A0D"/>
    <w:rsid w:val="61DB474F"/>
    <w:rsid w:val="65674A25"/>
    <w:rsid w:val="6AD35998"/>
    <w:rsid w:val="6E1353FB"/>
    <w:rsid w:val="6E5F3FAE"/>
    <w:rsid w:val="6E8D0303"/>
    <w:rsid w:val="6F374E0B"/>
    <w:rsid w:val="72EE6907"/>
    <w:rsid w:val="79F022DC"/>
    <w:rsid w:val="7C724E24"/>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4" Type="http://schemas.openxmlformats.org/officeDocument/2006/relationships/fontTable" Target="fontTable.xml"/><Relationship Id="rId113" Type="http://schemas.openxmlformats.org/officeDocument/2006/relationships/customXml" Target="../customXml/item1.xml"/><Relationship Id="rId112" Type="http://schemas.openxmlformats.org/officeDocument/2006/relationships/numbering" Target="numbering.xml"/><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113</Pages>
  <Words>20441</Words>
  <Characters>21298</Characters>
  <Lines>0</Lines>
  <Paragraphs>0</Paragraphs>
  <TotalTime>157</TotalTime>
  <ScaleCrop>false</ScaleCrop>
  <LinksUpToDate>false</LinksUpToDate>
  <CharactersWithSpaces>21511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2026-06-11T11:07:12Z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