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54061"/>
          <w:sz w:val="30"/>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54061"/>
          <w:sz w:val="30"/>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54061"/>
          <w:sz w:val="30"/>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54061"/>
          <w:sz w:val="30"/>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54061"/>
          <w:sz w:val="30"/>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54061"/>
          <w:sz w:val="30"/>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ilvl w:val="0"/>
          <w:numId w:val="0"/>
        </w:numPr>
        <w:spacing w:after="60" w:line="276" w:lineRule="auto"/>
        <w:ind w:leftChars="0"/>
        <w:rPr>
          <w:rFonts w:hint="eastAsia"/>
          <w:b/>
          <w:i w:val="0"/>
          <w:color w:val="2F5597"/>
          <w:sz w:val="25"/>
          <w:lang w:val="en-US" w:eastAsia="zh-CN"/>
        </w:rPr>
      </w:pPr>
    </w:p>
    <w:p w14:paraId="385CD164">
      <w:pPr>
        <w:pStyle w:val="4"/>
        <w:keepNext/>
        <w:numPr>
          <w:ilvl w:val="0"/>
          <w:numId w:val="0"/>
        </w:numPr>
        <w:spacing w:before="240" w:after="140" w:line="269" w:lineRule="auto"/>
        <w:ind w:leftChars="0"/>
        <w:rPr>
          <w:rFonts w:hint="default" w:eastAsia="微软雅黑"/>
          <w:lang w:val="en-US" w:eastAsia="zh-CN"/>
        </w:rPr>
      </w:pPr>
      <w:r>
        <w:rPr>
          <w:rFonts w:hint="eastAsia" w:ascii="微软雅黑" w:hAnsi="微软雅黑" w:eastAsia="微软雅黑"/>
          <w:b/>
          <w:i w:val="0"/>
          <w:color w:val="2F5597"/>
          <w:sz w:val="25"/>
          <w:lang w:val="en-US" w:eastAsia="zh-CN"/>
        </w:rPr>
        <w:t>兑换码中心</w:t>
      </w:r>
    </w:p>
    <w:p w14:paraId="050EA961">
      <w:pPr>
        <w:spacing w:after="60" w:line="276" w:lineRule="auto"/>
      </w:pPr>
      <w:r>
        <w:rPr>
          <w:rFonts w:ascii="微软雅黑" w:hAnsi="微软雅黑" w:eastAsia="微软雅黑"/>
          <w:b w:val="0"/>
          <w:sz w:val="20"/>
        </w:rPr>
        <w:t>兑换码中心用于创建和管理活动兑换码，向指定玩家发放奖励，并追踪兑换码的生成数量、领取状态、有效期和实际使用记录。</w:t>
      </w:r>
    </w:p>
    <w:p w14:paraId="36F8C9DE">
      <w:pPr>
        <w:pStyle w:val="6"/>
        <w:keepNext/>
        <w:spacing w:before="120" w:after="60" w:line="252" w:lineRule="auto"/>
      </w:pPr>
      <w:r>
        <w:rPr>
          <w:rFonts w:ascii="微软雅黑" w:hAnsi="微软雅黑" w:eastAsia="微软雅黑"/>
          <w:b/>
          <w:i w:val="0"/>
          <w:color w:val="2F5597"/>
          <w:sz w:val="21"/>
        </w:rPr>
        <w:t>兑换码列表</w:t>
      </w:r>
    </w:p>
    <w:p w14:paraId="7C2B5C45">
      <w:pPr>
        <w:spacing w:after="60" w:line="276" w:lineRule="auto"/>
      </w:pPr>
      <w:r>
        <w:rPr>
          <w:rFonts w:ascii="微软雅黑" w:hAnsi="微软雅黑" w:eastAsia="微软雅黑"/>
          <w:b w:val="0"/>
          <w:sz w:val="20"/>
        </w:rPr>
        <w:t>兑换码列表集中展示一次性码和复用码，可按名称、兑换码、使用对象、兑换码类型和状态进行查询，并从列表进入编辑、记录、禁用或删除操作。</w:t>
      </w:r>
    </w:p>
    <w:p w14:paraId="512B7A39">
      <w:pPr>
        <w:spacing w:after="40"/>
        <w:jc w:val="center"/>
      </w:pPr>
      <w:r>
        <w:drawing>
          <wp:inline distT="0" distB="0" distL="114300" distR="114300">
            <wp:extent cx="5943600" cy="157226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62"/>
                    <a:stretch>
                      <a:fillRect/>
                    </a:stretch>
                  </pic:blipFill>
                  <pic:spPr>
                    <a:xfrm>
                      <a:off x="0" y="0"/>
                      <a:ext cx="5943600" cy="1572554"/>
                    </a:xfrm>
                    <a:prstGeom prst="rect">
                      <a:avLst/>
                    </a:prstGeom>
                  </pic:spPr>
                </pic:pic>
              </a:graphicData>
            </a:graphic>
          </wp:inline>
        </w:drawing>
      </w:r>
    </w:p>
    <w:p w14:paraId="150AEF58">
      <w:pPr>
        <w:pStyle w:val="15"/>
        <w:spacing w:after="120" w:line="276" w:lineRule="auto"/>
        <w:jc w:val="center"/>
      </w:pPr>
      <w:r>
        <w:rPr>
          <w:rFonts w:ascii="微软雅黑" w:hAnsi="微软雅黑" w:eastAsia="微软雅黑"/>
          <w:b w:val="0"/>
          <w:color w:val="707E92"/>
          <w:sz w:val="18"/>
        </w:rPr>
        <w:t>图：兑换码列表，用于查询兑换码配置、查看领取进度和状态，并执行编辑、记录、禁用或删除操作。</w:t>
      </w:r>
    </w:p>
    <w:p w14:paraId="7B784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：支持按兑换码名称、兑换码、使用对象、兑换码类型和状态筛选；点击“搜索”执行查询，点击“重置”清空当前条件。</w:t>
      </w:r>
    </w:p>
    <w:p w14:paraId="75EA96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：列表展示兑换码名称、兑换码、使用对象、适用范围、兑换码类型、奖励金额、打码量倍数、已用/总次数、过期时间、状态、创建时间和操作入口。</w:t>
      </w:r>
    </w:p>
    <w:p w14:paraId="7F974071">
      <w:pPr>
        <w:pStyle w:val="16"/>
        <w:spacing w:after="60" w:line="276" w:lineRule="auto"/>
      </w:pPr>
      <w:r>
        <w:rPr>
          <w:rFonts w:ascii="微软雅黑" w:hAnsi="微软雅黑" w:eastAsia="微软雅黑"/>
          <w:b/>
          <w:color w:val="2F5597"/>
          <w:sz w:val="20"/>
        </w:rPr>
        <w:t>类型与数量</w:t>
      </w:r>
      <w:r>
        <w:rPr>
          <w:rFonts w:ascii="微软雅黑" w:hAnsi="微软雅黑" w:eastAsia="微软雅黑"/>
          <w:b w:val="0"/>
          <w:sz w:val="20"/>
        </w:rPr>
        <w:t>：复用码直接显示具体兑换码，总次数可设为不限；一次性码在兑换码列显示“查看”和生成数量，并通过“已用/总次数”核对领取进度。</w:t>
      </w:r>
    </w:p>
    <w:p w14:paraId="5173BA9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：启用表示兑换码当前可正常使用；已领取表示一次性码额度已经全部使用；已过期表示已超过设置的有效时间。</w:t>
      </w:r>
    </w:p>
    <w:p w14:paraId="5DFA959C">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点击“新增兑换码”创建新配置；点击“历史记录”查看兑换明细；行内“编辑”用于调整配置，“记录”用于查看该项使用记录，“禁用”用于停止继续兑换，“删除”用于移除记录。操作前应先确认活动是否仍在投放。</w:t>
      </w:r>
    </w:p>
    <w:p w14:paraId="4138DF6D">
      <w:pPr>
        <w:pStyle w:val="6"/>
        <w:keepNext/>
        <w:spacing w:before="120" w:after="60" w:line="252" w:lineRule="auto"/>
      </w:pPr>
      <w:r>
        <w:rPr>
          <w:rFonts w:ascii="微软雅黑" w:hAnsi="微软雅黑" w:eastAsia="微软雅黑"/>
          <w:b/>
          <w:i w:val="0"/>
          <w:color w:val="2F5597"/>
          <w:sz w:val="21"/>
        </w:rPr>
        <w:t>新增兑换码</w:t>
      </w:r>
    </w:p>
    <w:p w14:paraId="6B637333">
      <w:pPr>
        <w:spacing w:after="60" w:line="276" w:lineRule="auto"/>
      </w:pPr>
      <w:r>
        <w:rPr>
          <w:rFonts w:ascii="微软雅黑" w:hAnsi="微软雅黑" w:eastAsia="微软雅黑"/>
          <w:b w:val="0"/>
          <w:sz w:val="20"/>
        </w:rPr>
        <w:t>新增兑换码弹窗用于设置兑换码名称、适用玩家、兑换码类型、奖励金额、打码要求、领取限制、使用次数、有效期和启用状态。</w:t>
      </w:r>
    </w:p>
    <w:p w14:paraId="3BB160CF">
      <w:pPr>
        <w:spacing w:after="40"/>
        <w:jc w:val="center"/>
      </w:pPr>
      <w:r>
        <w:drawing>
          <wp:inline distT="0" distB="0" distL="114300" distR="114300">
            <wp:extent cx="4846320" cy="4328160"/>
            <wp:effectExtent l="0" t="0" r="11430" b="1524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63"/>
                    <a:stretch>
                      <a:fillRect/>
                    </a:stretch>
                  </pic:blipFill>
                  <pic:spPr>
                    <a:xfrm>
                      <a:off x="0" y="0"/>
                      <a:ext cx="4846320" cy="4328339"/>
                    </a:xfrm>
                    <a:prstGeom prst="rect">
                      <a:avLst/>
                    </a:prstGeom>
                  </pic:spPr>
                </pic:pic>
              </a:graphicData>
            </a:graphic>
          </wp:inline>
        </w:drawing>
      </w:r>
    </w:p>
    <w:p w14:paraId="2FF803E9">
      <w:pPr>
        <w:pStyle w:val="15"/>
        <w:spacing w:after="120" w:line="276" w:lineRule="auto"/>
        <w:jc w:val="center"/>
      </w:pPr>
      <w:r>
        <w:rPr>
          <w:rFonts w:ascii="微软雅黑" w:hAnsi="微软雅黑" w:eastAsia="微软雅黑"/>
          <w:b w:val="0"/>
          <w:color w:val="707E92"/>
          <w:sz w:val="18"/>
        </w:rPr>
        <w:t>图：新增兑换码弹窗，用于设置兑换码规则、奖励条件、有效期和启用状态。</w:t>
      </w:r>
    </w:p>
    <w:p w14:paraId="0093968A">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：兑换码名称为必填项，用于后台识别活动批次；使用对象用于确定可兑换玩家；兑换码类型可选择复用码或一次性码。</w:t>
      </w:r>
    </w:p>
    <w:p w14:paraId="7C9573BE">
      <w:pPr>
        <w:pStyle w:val="16"/>
        <w:spacing w:after="60" w:line="276" w:lineRule="auto"/>
      </w:pPr>
      <w:r>
        <w:rPr>
          <w:rFonts w:ascii="微软雅黑" w:hAnsi="微软雅黑" w:eastAsia="微软雅黑"/>
          <w:b/>
          <w:color w:val="2F5597"/>
          <w:sz w:val="20"/>
        </w:rPr>
        <w:t>兑换码</w:t>
      </w:r>
      <w:r>
        <w:rPr>
          <w:rFonts w:ascii="微软雅黑" w:hAnsi="微软雅黑" w:eastAsia="微软雅黑"/>
          <w:b w:val="0"/>
          <w:sz w:val="20"/>
        </w:rPr>
        <w:t>：复用码可在输入框中填写固定兑换码；一次性码会按配置生成独立号码，生成后可在列表的“查看”入口核对。</w:t>
      </w:r>
    </w:p>
    <w:p w14:paraId="50068FC6">
      <w:pPr>
        <w:pStyle w:val="16"/>
        <w:spacing w:after="60" w:line="276" w:lineRule="auto"/>
      </w:pPr>
      <w:r>
        <w:rPr>
          <w:rFonts w:ascii="微软雅黑" w:hAnsi="微软雅黑" w:eastAsia="微软雅黑"/>
          <w:b/>
          <w:color w:val="2F5597"/>
          <w:sz w:val="20"/>
        </w:rPr>
        <w:t>奖励与打码</w:t>
      </w:r>
      <w:r>
        <w:rPr>
          <w:rFonts w:ascii="微软雅黑" w:hAnsi="微软雅黑" w:eastAsia="微软雅黑"/>
          <w:b w:val="0"/>
          <w:sz w:val="20"/>
        </w:rPr>
        <w:t>：奖励金额决定玩家兑换后获得的金额；打码量倍数决定奖励到账后需要完成的流水要求。保存前应复核奖励成本和打码条件是否符合活动方案。</w:t>
      </w:r>
    </w:p>
    <w:p w14:paraId="563E24D9">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：勾选“已完成首充”后，只有完成首次充值的玩家可以兑换；未勾选时不增加该项限制。</w:t>
      </w:r>
    </w:p>
    <w:p w14:paraId="2649BFD6">
      <w:pPr>
        <w:pStyle w:val="16"/>
        <w:spacing w:after="60" w:line="276" w:lineRule="auto"/>
      </w:pPr>
      <w:r>
        <w:rPr>
          <w:rFonts w:ascii="微软雅黑" w:hAnsi="微软雅黑" w:eastAsia="微软雅黑"/>
          <w:b/>
          <w:color w:val="2F5597"/>
          <w:sz w:val="20"/>
        </w:rPr>
        <w:t>可使用次数</w:t>
      </w:r>
      <w:r>
        <w:rPr>
          <w:rFonts w:ascii="微软雅黑" w:hAnsi="微软雅黑" w:eastAsia="微软雅黑"/>
          <w:b w:val="0"/>
          <w:sz w:val="20"/>
        </w:rPr>
        <w:t>：填写 0 表示不限次数，但每个玩家仍只能领取一次；设置具体次数时，应结合活动预算确认总发放上限。</w:t>
      </w:r>
    </w:p>
    <w:p w14:paraId="490B19C6">
      <w:pPr>
        <w:pStyle w:val="16"/>
        <w:spacing w:after="60" w:line="276" w:lineRule="auto"/>
      </w:pPr>
      <w:r>
        <w:rPr>
          <w:rFonts w:ascii="微软雅黑" w:hAnsi="微软雅黑" w:eastAsia="微软雅黑"/>
          <w:b/>
          <w:color w:val="2F5597"/>
          <w:sz w:val="20"/>
        </w:rPr>
        <w:t>有效期与状态</w:t>
      </w:r>
      <w:r>
        <w:rPr>
          <w:rFonts w:ascii="微软雅黑" w:hAnsi="微软雅黑" w:eastAsia="微软雅黑"/>
          <w:b w:val="0"/>
          <w:sz w:val="20"/>
        </w:rPr>
        <w:t>：有效期可选择长期或指定时间；“是否启用”决定保存后能否立即兑换。活动尚未准备完成时可先关闭，确认投放时间后再启用。</w:t>
      </w:r>
    </w:p>
    <w:p w14:paraId="3A4C319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：填写完成后点击“确定”保存；点击“取消”或右上角关闭按钮会放弃本次新增内容。</w:t>
      </w:r>
    </w:p>
    <w:p w14:paraId="4BAEA234">
      <w:pPr>
        <w:pStyle w:val="6"/>
        <w:keepNext/>
        <w:spacing w:before="120" w:after="60" w:line="252" w:lineRule="auto"/>
      </w:pPr>
      <w:r>
        <w:rPr>
          <w:rFonts w:ascii="微软雅黑" w:hAnsi="微软雅黑" w:eastAsia="微软雅黑"/>
          <w:b/>
          <w:i w:val="0"/>
          <w:color w:val="2F5597"/>
          <w:sz w:val="21"/>
        </w:rPr>
        <w:t>查看兑换码</w:t>
      </w:r>
    </w:p>
    <w:p w14:paraId="4A4106E1">
      <w:pPr>
        <w:spacing w:after="60" w:line="276" w:lineRule="auto"/>
      </w:pPr>
      <w:r>
        <w:rPr>
          <w:rFonts w:ascii="微软雅黑" w:hAnsi="微软雅黑" w:eastAsia="微软雅黑"/>
          <w:b w:val="0"/>
          <w:sz w:val="20"/>
        </w:rPr>
        <w:t>查看兑换码弹窗用于核对一次性兑换码的生成和使用情况，并支持批量复制全部兑换码或已使用兑换码。</w:t>
      </w:r>
    </w:p>
    <w:p w14:paraId="775C4823">
      <w:pPr>
        <w:spacing w:after="40"/>
        <w:jc w:val="center"/>
      </w:pPr>
      <w:r>
        <w:drawing>
          <wp:inline distT="0" distB="0" distL="114300" distR="114300">
            <wp:extent cx="5852160" cy="4314190"/>
            <wp:effectExtent l="0" t="0" r="15240" b="1016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64"/>
                    <a:stretch>
                      <a:fillRect/>
                    </a:stretch>
                  </pic:blipFill>
                  <pic:spPr>
                    <a:xfrm>
                      <a:off x="0" y="0"/>
                      <a:ext cx="5852160" cy="4314729"/>
                    </a:xfrm>
                    <a:prstGeom prst="rect">
                      <a:avLst/>
                    </a:prstGeom>
                  </pic:spPr>
                </pic:pic>
              </a:graphicData>
            </a:graphic>
          </wp:inline>
        </w:drawing>
      </w:r>
    </w:p>
    <w:p w14:paraId="001CA2FE">
      <w:pPr>
        <w:pStyle w:val="15"/>
        <w:spacing w:after="120" w:line="276" w:lineRule="auto"/>
        <w:jc w:val="center"/>
      </w:pPr>
      <w:r>
        <w:rPr>
          <w:rFonts w:ascii="微软雅黑" w:hAnsi="微软雅黑" w:eastAsia="微软雅黑"/>
          <w:b w:val="0"/>
          <w:color w:val="707E92"/>
          <w:sz w:val="18"/>
        </w:rPr>
        <w:t>图：查看兑换码弹窗，用于查看全部兑换码、已使用兑换码及完成数量。</w:t>
      </w:r>
    </w:p>
    <w:p w14:paraId="302D3932">
      <w:pPr>
        <w:pStyle w:val="16"/>
        <w:spacing w:after="60" w:line="276" w:lineRule="auto"/>
      </w:pPr>
      <w:r>
        <w:rPr>
          <w:rFonts w:ascii="微软雅黑" w:hAnsi="微软雅黑" w:eastAsia="微软雅黑"/>
          <w:b/>
          <w:color w:val="2F5597"/>
          <w:sz w:val="20"/>
        </w:rPr>
        <w:t>完成情况</w:t>
      </w:r>
      <w:r>
        <w:rPr>
          <w:rFonts w:ascii="微软雅黑" w:hAnsi="微软雅黑" w:eastAsia="微软雅黑"/>
          <w:b w:val="0"/>
          <w:sz w:val="20"/>
        </w:rPr>
        <w:t>：顶部显示兑换码总数和已使用数量，用于快速判断当前批次的领取进度。</w:t>
      </w:r>
    </w:p>
    <w:p w14:paraId="21A48BFD">
      <w:pPr>
        <w:pStyle w:val="16"/>
        <w:spacing w:after="60" w:line="276" w:lineRule="auto"/>
      </w:pPr>
      <w:r>
        <w:rPr>
          <w:rFonts w:ascii="微软雅黑" w:hAnsi="微软雅黑" w:eastAsia="微软雅黑"/>
          <w:b/>
          <w:color w:val="2F5597"/>
          <w:sz w:val="20"/>
        </w:rPr>
        <w:t>全部兑换码</w:t>
      </w:r>
      <w:r>
        <w:rPr>
          <w:rFonts w:ascii="微软雅黑" w:hAnsi="微软雅黑" w:eastAsia="微软雅黑"/>
          <w:b w:val="0"/>
          <w:sz w:val="20"/>
        </w:rPr>
        <w:t>：左侧展示本批次生成的全部兑换码；已使用号码会显示“已使用”标记，便于与未使用号码区分。</w:t>
      </w:r>
    </w:p>
    <w:p w14:paraId="40807891">
      <w:pPr>
        <w:pStyle w:val="16"/>
        <w:spacing w:after="60" w:line="276" w:lineRule="auto"/>
      </w:pPr>
      <w:r>
        <w:rPr>
          <w:rFonts w:ascii="微软雅黑" w:hAnsi="微软雅黑" w:eastAsia="微软雅黑"/>
          <w:b/>
          <w:color w:val="2F5597"/>
          <w:sz w:val="20"/>
        </w:rPr>
        <w:t>已使用兑换码</w:t>
      </w:r>
      <w:r>
        <w:rPr>
          <w:rFonts w:ascii="微软雅黑" w:hAnsi="微软雅黑" w:eastAsia="微软雅黑"/>
          <w:b w:val="0"/>
          <w:sz w:val="20"/>
        </w:rPr>
        <w:t>：右侧单独汇总已经兑换的号码，适合运营或客服快速核对已消耗的兑换码。</w:t>
      </w:r>
    </w:p>
    <w:p w14:paraId="49734B9E">
      <w:pPr>
        <w:pStyle w:val="16"/>
        <w:spacing w:after="60" w:line="276" w:lineRule="auto"/>
      </w:pPr>
      <w:r>
        <w:rPr>
          <w:rFonts w:ascii="微软雅黑" w:hAnsi="微软雅黑" w:eastAsia="微软雅黑"/>
          <w:b/>
          <w:color w:val="2F5597"/>
          <w:sz w:val="20"/>
        </w:rPr>
        <w:t>复制操作</w:t>
      </w:r>
      <w:r>
        <w:rPr>
          <w:rFonts w:ascii="微软雅黑" w:hAnsi="微软雅黑" w:eastAsia="微软雅黑"/>
          <w:b w:val="0"/>
          <w:sz w:val="20"/>
        </w:rPr>
        <w:t>：点击“复制全部”可复制完整号码清单，点击“复制已使用”只复制已兑换号码。向外发送前应确认复制范围，避免泄露尚未投放的兑换码。</w:t>
      </w:r>
    </w:p>
    <w:p w14:paraId="43B599EC">
      <w:pPr>
        <w:pStyle w:val="6"/>
        <w:keepNext/>
        <w:spacing w:before="120" w:after="60" w:line="252" w:lineRule="auto"/>
      </w:pPr>
      <w:r>
        <w:rPr>
          <w:rFonts w:ascii="微软雅黑" w:hAnsi="微软雅黑" w:eastAsia="微软雅黑"/>
          <w:b/>
          <w:i w:val="0"/>
          <w:color w:val="2F5597"/>
          <w:sz w:val="21"/>
        </w:rPr>
        <w:t>兑换码使用记录</w:t>
      </w:r>
    </w:p>
    <w:p w14:paraId="3C071874">
      <w:pPr>
        <w:spacing w:after="60" w:line="276" w:lineRule="auto"/>
      </w:pPr>
      <w:r>
        <w:rPr>
          <w:rFonts w:ascii="微软雅黑" w:hAnsi="微软雅黑" w:eastAsia="微软雅黑"/>
          <w:b w:val="0"/>
          <w:sz w:val="20"/>
        </w:rPr>
        <w:t>兑换码使用记录用于按玩家、兑换码和时间范围追踪实际兑换明细，可从页面历史记录或单条兑换码的记录入口进入。</w:t>
      </w:r>
    </w:p>
    <w:p w14:paraId="383D1024">
      <w:pPr>
        <w:spacing w:after="40"/>
        <w:jc w:val="center"/>
      </w:pPr>
      <w:r>
        <w:drawing>
          <wp:inline distT="0" distB="0" distL="114300" distR="114300">
            <wp:extent cx="5852160" cy="3357880"/>
            <wp:effectExtent l="0" t="0" r="15240" b="1397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65"/>
                    <a:stretch>
                      <a:fillRect/>
                    </a:stretch>
                  </pic:blipFill>
                  <pic:spPr>
                    <a:xfrm>
                      <a:off x="0" y="0"/>
                      <a:ext cx="5852160" cy="3358248"/>
                    </a:xfrm>
                    <a:prstGeom prst="rect">
                      <a:avLst/>
                    </a:prstGeom>
                  </pic:spPr>
                </pic:pic>
              </a:graphicData>
            </a:graphic>
          </wp:inline>
        </w:drawing>
      </w:r>
    </w:p>
    <w:p w14:paraId="5E2B52AD">
      <w:pPr>
        <w:pStyle w:val="15"/>
        <w:spacing w:after="120" w:line="276" w:lineRule="auto"/>
        <w:jc w:val="center"/>
      </w:pPr>
      <w:r>
        <w:rPr>
          <w:rFonts w:ascii="微软雅黑" w:hAnsi="微软雅黑" w:eastAsia="微软雅黑"/>
          <w:b w:val="0"/>
          <w:color w:val="707E92"/>
          <w:sz w:val="18"/>
        </w:rPr>
        <w:t>图：兑换码使用记录，用于查询玩家兑换时间、账号、渠道、兑换码类型和奖励信息。</w:t>
      </w:r>
    </w:p>
    <w:p w14:paraId="54722D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ID、兑换码名称、兑换码、兑换码类型和兑换时间范围查询；点击“搜索”执行筛选，点击“重置”恢复默认条件。</w:t>
      </w:r>
    </w:p>
    <w:p w14:paraId="6A65790A">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：列表展示兑换时间、会员 ID、账号、渠道、兑换码名称、兑换码、兑换码类型和奖励金额等信息，用于确认奖励由谁在何时领取。</w:t>
      </w:r>
    </w:p>
    <w:p w14:paraId="3DA9202E">
      <w:pPr>
        <w:pStyle w:val="16"/>
        <w:spacing w:after="60" w:line="276" w:lineRule="auto"/>
      </w:pPr>
      <w:r>
        <w:rPr>
          <w:rFonts w:ascii="微软雅黑" w:hAnsi="微软雅黑" w:eastAsia="微软雅黑"/>
          <w:b/>
          <w:color w:val="2F5597"/>
          <w:sz w:val="20"/>
        </w:rPr>
        <w:t>查询方式</w:t>
      </w:r>
      <w:r>
        <w:rPr>
          <w:rFonts w:ascii="微软雅黑" w:hAnsi="微软雅黑" w:eastAsia="微软雅黑"/>
          <w:b w:val="0"/>
          <w:sz w:val="20"/>
        </w:rPr>
        <w:t>：排查单个玩家时优先使用会员 ID 或账号关联信息；核对活动批次时使用兑换码名称和类型；处理时间争议时按兑换时间范围缩小结果。</w:t>
      </w:r>
    </w:p>
    <w:p w14:paraId="77D65B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：记录结果应与列表中的已用次数、奖励金额和兑换码状态交叉核对；如发现次数或奖励不一致，应进一步检查对应玩家账变记录和活动配置。</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6"/>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54061"/>
          <w:sz w:val="30"/>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0"/>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1"/>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2"/>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bookmarkStart w:id="0" w:name="_GoBack"/>
      <w:r>
        <w:rPr>
          <w:rFonts w:ascii="微软雅黑" w:hAnsi="微软雅黑" w:eastAsia="微软雅黑"/>
          <w:b/>
          <w:i w:val="0"/>
          <w:color w:val="2F5597"/>
          <w:sz w:val="21"/>
        </w:rPr>
        <w:t>提现参数设置</w:t>
      </w:r>
    </w:p>
    <w:bookmarkEnd w:id="0"/>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6400165" cy="5469890"/>
            <wp:effectExtent l="0" t="0" r="635" b="1651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73"/>
                    <a:stretch>
                      <a:fillRect/>
                    </a:stretch>
                  </pic:blipFill>
                  <pic:spPr>
                    <a:xfrm>
                      <a:off x="0" y="0"/>
                      <a:ext cx="6400165" cy="5469890"/>
                    </a:xfrm>
                    <a:prstGeom prst="rect">
                      <a:avLst/>
                    </a:prstGeom>
                    <a:noFill/>
                    <a:ln>
                      <a:noFill/>
                    </a:ln>
                  </pic:spPr>
                </pic:pic>
              </a:graphicData>
            </a:graphic>
          </wp:inline>
        </w:drawing>
      </w:r>
    </w:p>
    <w:p w14:paraId="6E429ED6">
      <w:pPr>
        <w:pStyle w:val="15"/>
        <w:spacing w:after="120" w:line="276" w:lineRule="auto"/>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ascii="微软雅黑" w:hAnsi="微软雅黑" w:eastAsia="微软雅黑"/>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4"/>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5"/>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6"/>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7"/>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8"/>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9"/>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0"/>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1"/>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2"/>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3"/>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4"/>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5"/>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6"/>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7"/>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8"/>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9"/>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0"/>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1"/>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2"/>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3"/>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4"/>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5"/>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6"/>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7"/>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8"/>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9"/>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0"/>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54061"/>
          <w:sz w:val="30"/>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1"/>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w:t>
      </w:r>
      <w:r>
        <w:rPr>
          <w:rFonts w:hint="eastAsia" w:ascii="微软雅黑" w:hAnsi="微软雅黑" w:eastAsia="微软雅黑"/>
          <w:b/>
          <w:i w:val="0"/>
          <w:color w:val="2F5597"/>
          <w:sz w:val="25"/>
          <w:lang w:val="en-US" w:eastAsia="zh-CN"/>
        </w:rPr>
        <w:t>报</w:t>
      </w:r>
      <w:r>
        <w:rPr>
          <w:rFonts w:ascii="微软雅黑" w:hAnsi="微软雅黑" w:eastAsia="微软雅黑"/>
          <w:b/>
          <w:i w:val="0"/>
          <w:color w:val="2F5597"/>
          <w:sz w:val="25"/>
        </w:rPr>
        <w:t>表</w:t>
      </w:r>
    </w:p>
    <w:p w14:paraId="110029F9">
      <w:pPr>
        <w:spacing w:after="60" w:line="276" w:lineRule="auto"/>
      </w:pPr>
      <w:r>
        <w:rPr>
          <w:rFonts w:ascii="微软雅黑" w:hAnsi="微软雅黑" w:eastAsia="微软雅黑"/>
          <w:b w:val="0"/>
          <w:sz w:val="20"/>
        </w:rPr>
        <w:t>游戏人数</w:t>
      </w:r>
      <w:r>
        <w:rPr>
          <w:rFonts w:hint="eastAsia"/>
          <w:b w:val="0"/>
          <w:sz w:val="20"/>
          <w:lang w:val="en-US" w:eastAsia="zh-CN"/>
        </w:rPr>
        <w:t>报</w:t>
      </w:r>
      <w:r>
        <w:rPr>
          <w:rFonts w:ascii="微软雅黑" w:hAnsi="微软雅黑" w:eastAsia="微软雅黑"/>
          <w:b w:val="0"/>
          <w:sz w:val="20"/>
        </w:rPr>
        <w:t>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2"/>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54061"/>
          <w:sz w:val="30"/>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8"/>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9"/>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0"/>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1"/>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2"/>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3"/>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4"/>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5"/>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6"/>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54061"/>
          <w:sz w:val="30"/>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7"/>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8"/>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9"/>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0"/>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1"/>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2"/>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before="180" w:after="100" w:line="259" w:lineRule="auto"/>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23"/>
                    <a:stretch>
                      <a:fillRect/>
                    </a:stretch>
                  </pic:blipFill>
                  <pic:spPr>
                    <a:xfrm>
                      <a:off x="0" y="0"/>
                      <a:ext cx="5852160" cy="2906418"/>
                    </a:xfrm>
                    <a:prstGeom prst="rect">
                      <a:avLst/>
                    </a:prstGeom>
                  </pic:spPr>
                </pic:pic>
              </a:graphicData>
            </a:graphic>
          </wp:inline>
        </w:drawing>
      </w:r>
    </w:p>
    <w:p w14:paraId="39700F48">
      <w:pPr>
        <w:pStyle w:val="15"/>
        <w:spacing w:after="120" w:line="276" w:lineRule="auto"/>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4"/>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5"/>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6"/>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7"/>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8"/>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9"/>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54061"/>
          <w:sz w:val="30"/>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0"/>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1"/>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2"/>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3"/>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投放管理</w:t>
      </w:r>
    </w:p>
    <w:p w14:paraId="409CA573">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广告消耗数据</w:t>
      </w:r>
    </w:p>
    <w:p w14:paraId="36378202">
      <w:pPr>
        <w:spacing w:after="60" w:line="276" w:lineRule="auto"/>
      </w:pPr>
      <w:r>
        <w:rPr>
          <w:rFonts w:ascii="微软雅黑" w:hAnsi="微软雅黑" w:eastAsia="微软雅黑"/>
          <w:b w:val="0"/>
          <w:sz w:val="20"/>
        </w:rPr>
        <w:t>广告消耗数据用于录入和核对各投放渠道的实际消耗，为投放报表中的成本、注册成本和充值成本提供基础数据。</w:t>
      </w:r>
    </w:p>
    <w:p w14:paraId="0B711540">
      <w:pPr>
        <w:spacing w:after="40"/>
        <w:jc w:val="center"/>
      </w:pPr>
      <w:r>
        <w:drawing>
          <wp:inline distT="0" distB="0" distL="114300" distR="114300">
            <wp:extent cx="5852160" cy="1259840"/>
            <wp:effectExtent l="0" t="0" r="15240" b="165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pic:cNvPicPr>
                      <a:picLocks noChangeAspect="1"/>
                    </pic:cNvPicPr>
                  </pic:nvPicPr>
                  <pic:blipFill>
                    <a:blip r:embed="rId134"/>
                    <a:stretch>
                      <a:fillRect/>
                    </a:stretch>
                  </pic:blipFill>
                  <pic:spPr>
                    <a:xfrm>
                      <a:off x="0" y="0"/>
                      <a:ext cx="5852160" cy="1260034"/>
                    </a:xfrm>
                    <a:prstGeom prst="rect">
                      <a:avLst/>
                    </a:prstGeom>
                  </pic:spPr>
                </pic:pic>
              </a:graphicData>
            </a:graphic>
          </wp:inline>
        </w:drawing>
      </w:r>
    </w:p>
    <w:p w14:paraId="601F0496">
      <w:pPr>
        <w:pStyle w:val="15"/>
        <w:spacing w:after="120"/>
        <w:jc w:val="center"/>
      </w:pPr>
      <w:r>
        <w:rPr>
          <w:rFonts w:ascii="微软雅黑" w:hAnsi="微软雅黑" w:eastAsia="微软雅黑"/>
          <w:b w:val="0"/>
          <w:color w:val="707E92"/>
          <w:sz w:val="18"/>
        </w:rPr>
        <w:t>图：广告消耗数据列表，用于查看渠道每日消耗记录。</w:t>
      </w:r>
    </w:p>
    <w:p w14:paraId="2264890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：可按开始日期、结束日期和渠道筛选消耗记录；点击“搜索”执行查询，点击“重置”清空条件并恢复默认列表。</w:t>
      </w:r>
    </w:p>
    <w:p w14:paraId="0CA72B8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：列表展示消耗日期、渠道名称、渠道编码、消耗金额（USDT）、备注、操作人和最后更新时间，便于核对录入来源、金额和更新时间。</w:t>
      </w:r>
    </w:p>
    <w:p w14:paraId="2DB88B8A">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消耗日期表示广告成本归属的自然日；渠道名称和渠道编码用于关联渠道报表；消耗金额（USDT）是广告平台实际成本；备注记录账单编号、投放活动或异常调整原因；操作人和最后更新时间用于追溯录入及修改记录。</w:t>
      </w:r>
    </w:p>
    <w:p w14:paraId="1E9C8816">
      <w:pPr>
        <w:spacing w:after="40"/>
        <w:jc w:val="center"/>
      </w:pPr>
      <w:r>
        <w:drawing>
          <wp:inline distT="0" distB="0" distL="114300" distR="114300">
            <wp:extent cx="5852160" cy="4655185"/>
            <wp:effectExtent l="0" t="0" r="15240" b="1206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pic:cNvPicPr>
                      <a:picLocks noChangeAspect="1"/>
                    </pic:cNvPicPr>
                  </pic:nvPicPr>
                  <pic:blipFill>
                    <a:blip r:embed="rId135"/>
                    <a:stretch>
                      <a:fillRect/>
                    </a:stretch>
                  </pic:blipFill>
                  <pic:spPr>
                    <a:xfrm>
                      <a:off x="0" y="0"/>
                      <a:ext cx="5852160" cy="4655718"/>
                    </a:xfrm>
                    <a:prstGeom prst="rect">
                      <a:avLst/>
                    </a:prstGeom>
                  </pic:spPr>
                </pic:pic>
              </a:graphicData>
            </a:graphic>
          </wp:inline>
        </w:drawing>
      </w:r>
    </w:p>
    <w:p w14:paraId="5C752DF8">
      <w:pPr>
        <w:pStyle w:val="15"/>
        <w:spacing w:after="120"/>
        <w:jc w:val="center"/>
      </w:pPr>
      <w:r>
        <w:rPr>
          <w:rFonts w:ascii="微软雅黑" w:hAnsi="微软雅黑" w:eastAsia="微软雅黑"/>
          <w:b w:val="0"/>
          <w:color w:val="707E92"/>
          <w:sz w:val="18"/>
        </w:rPr>
        <w:t>图：新增渠道消耗弹窗，用于补录指定日期和渠道的消耗金额。</w:t>
      </w:r>
    </w:p>
    <w:p w14:paraId="41A10B3E">
      <w:pPr>
        <w:pStyle w:val="16"/>
        <w:spacing w:after="60" w:line="276" w:lineRule="auto"/>
      </w:pPr>
      <w:r>
        <w:rPr>
          <w:rFonts w:ascii="微软雅黑" w:hAnsi="微软雅黑" w:eastAsia="微软雅黑"/>
          <w:b/>
          <w:color w:val="2F5597"/>
          <w:sz w:val="20"/>
        </w:rPr>
        <w:t>新增消耗</w:t>
      </w:r>
      <w:r>
        <w:rPr>
          <w:rFonts w:ascii="微软雅黑" w:hAnsi="微软雅黑" w:eastAsia="微软雅黑"/>
          <w:b w:val="0"/>
          <w:sz w:val="20"/>
        </w:rPr>
        <w:t>：点击“新增渠道消耗”，在弹窗中选择渠道名称，系统带出或校验渠道编码，再填写消耗金额（USDT）、消耗日期和备注后提交。渠道名称、渠道编码、金额和日期为必填项，备注最多 100 个字符，用于记录投放活动或对账说明。</w:t>
      </w:r>
    </w:p>
    <w:p w14:paraId="0FACC37F">
      <w:pPr>
        <w:spacing w:after="40"/>
        <w:jc w:val="center"/>
      </w:pPr>
      <w:r>
        <w:drawing>
          <wp:inline distT="0" distB="0" distL="114300" distR="114300">
            <wp:extent cx="5852160" cy="4681220"/>
            <wp:effectExtent l="0" t="0" r="15240" b="508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a:picLocks noChangeAspect="1"/>
                    </pic:cNvPicPr>
                  </pic:nvPicPr>
                  <pic:blipFill>
                    <a:blip r:embed="rId136"/>
                    <a:stretch>
                      <a:fillRect/>
                    </a:stretch>
                  </pic:blipFill>
                  <pic:spPr>
                    <a:xfrm>
                      <a:off x="0" y="0"/>
                      <a:ext cx="5852160" cy="4681728"/>
                    </a:xfrm>
                    <a:prstGeom prst="rect">
                      <a:avLst/>
                    </a:prstGeom>
                  </pic:spPr>
                </pic:pic>
              </a:graphicData>
            </a:graphic>
          </wp:inline>
        </w:drawing>
      </w:r>
    </w:p>
    <w:p w14:paraId="32F1E0CB">
      <w:pPr>
        <w:pStyle w:val="15"/>
        <w:spacing w:after="120"/>
        <w:jc w:val="center"/>
      </w:pPr>
      <w:r>
        <w:rPr>
          <w:rFonts w:ascii="微软雅黑" w:hAnsi="微软雅黑" w:eastAsia="微软雅黑"/>
          <w:b w:val="0"/>
          <w:color w:val="707E92"/>
          <w:sz w:val="18"/>
        </w:rPr>
        <w:t>图：编辑渠道消耗弹窗，用于修正已有消耗记录。</w:t>
      </w:r>
    </w:p>
    <w:p w14:paraId="1B7A43FD">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：点击行内“编辑”可修正日期、渠道、金额或备注；点击“删除”前应确认该记录尚未用于结算或报表分析，删除后相关成本指标会重新计算。</w:t>
      </w:r>
    </w:p>
    <w:p w14:paraId="075A5C9F">
      <w:pPr>
        <w:pStyle w:val="16"/>
        <w:spacing w:after="60" w:line="276" w:lineRule="auto"/>
      </w:pPr>
      <w:r>
        <w:rPr>
          <w:rFonts w:ascii="微软雅黑" w:hAnsi="微软雅黑" w:eastAsia="微软雅黑"/>
          <w:b/>
          <w:color w:val="2F5597"/>
          <w:sz w:val="20"/>
        </w:rPr>
        <w:t>分页与使用要点</w:t>
      </w:r>
      <w:r>
        <w:rPr>
          <w:rFonts w:ascii="微软雅黑" w:hAnsi="微软雅黑" w:eastAsia="微软雅黑"/>
          <w:b w:val="0"/>
          <w:sz w:val="20"/>
        </w:rPr>
        <w:t>：列表支持切换每页 20 条或 50 条并使用首页、上一页、下一页、尾页翻页。消耗金额以 USDT 录入，投放数据报表会按本地币汇率换算展示；同一渠道同一日期应避免重复录入，修改后需重新核对投放报表的成本和 ROI。</w:t>
      </w:r>
    </w:p>
    <w:p w14:paraId="58A00AE1">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投放数据报表</w:t>
      </w:r>
    </w:p>
    <w:p w14:paraId="3FAA9F3E">
      <w:pPr>
        <w:spacing w:after="60" w:line="276" w:lineRule="auto"/>
      </w:pPr>
      <w:r>
        <w:rPr>
          <w:rFonts w:ascii="微软雅黑" w:hAnsi="微软雅黑" w:eastAsia="微软雅黑"/>
          <w:b w:val="0"/>
          <w:sz w:val="20"/>
        </w:rPr>
        <w:t>投放数据报表按日期汇总投放成本、注册、充值和回收表现，用于评估投放效率和不同回收周期的 ROI。</w:t>
      </w:r>
    </w:p>
    <w:p w14:paraId="035E8935">
      <w:pPr>
        <w:spacing w:after="40"/>
        <w:jc w:val="center"/>
      </w:pPr>
      <w:r>
        <w:drawing>
          <wp:inline distT="0" distB="0" distL="114300" distR="114300">
            <wp:extent cx="5852160" cy="2331720"/>
            <wp:effectExtent l="0" t="0" r="15240" b="1143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a:picLocks noChangeAspect="1"/>
                    </pic:cNvPicPr>
                  </pic:nvPicPr>
                  <pic:blipFill>
                    <a:blip r:embed="rId137"/>
                    <a:stretch>
                      <a:fillRect/>
                    </a:stretch>
                  </pic:blipFill>
                  <pic:spPr>
                    <a:xfrm>
                      <a:off x="0" y="0"/>
                      <a:ext cx="5852160" cy="2332305"/>
                    </a:xfrm>
                    <a:prstGeom prst="rect">
                      <a:avLst/>
                    </a:prstGeom>
                  </pic:spPr>
                </pic:pic>
              </a:graphicData>
            </a:graphic>
          </wp:inline>
        </w:drawing>
      </w:r>
    </w:p>
    <w:p w14:paraId="0A1E51B0">
      <w:pPr>
        <w:pStyle w:val="15"/>
        <w:spacing w:after="120"/>
        <w:jc w:val="center"/>
      </w:pPr>
      <w:r>
        <w:rPr>
          <w:rFonts w:ascii="微软雅黑" w:hAnsi="微软雅黑" w:eastAsia="微软雅黑"/>
          <w:b w:val="0"/>
          <w:color w:val="707E92"/>
          <w:sz w:val="18"/>
        </w:rPr>
        <w:t>图：投放数据报表，用于按日期查看投放成本、转化和回收指标。</w:t>
      </w:r>
    </w:p>
    <w:p w14:paraId="51E8B71B">
      <w:pPr>
        <w:pStyle w:val="16"/>
        <w:spacing w:after="60" w:line="276" w:lineRule="auto"/>
      </w:pPr>
      <w:r>
        <w:rPr>
          <w:rFonts w:ascii="微软雅黑" w:hAnsi="微软雅黑" w:eastAsia="微软雅黑"/>
          <w:b/>
          <w:color w:val="2F5597"/>
          <w:sz w:val="20"/>
        </w:rPr>
        <w:t>查询与导出</w:t>
      </w:r>
      <w:r>
        <w:rPr>
          <w:rFonts w:ascii="微软雅黑" w:hAnsi="微软雅黑" w:eastAsia="微软雅黑"/>
          <w:b w:val="0"/>
          <w:sz w:val="20"/>
        </w:rPr>
        <w:t>：选择开始日期和结束日期后点击“搜索”查看区间数据；“重置”恢复默认日期范围；点击“导出表格”导出当前查询结果，导出前应确认日期和数据更新时间。</w:t>
      </w:r>
    </w:p>
    <w:p w14:paraId="38BF1022">
      <w:pPr>
        <w:pStyle w:val="16"/>
        <w:spacing w:after="60" w:line="276" w:lineRule="auto"/>
      </w:pPr>
      <w:r>
        <w:rPr>
          <w:rFonts w:ascii="微软雅黑" w:hAnsi="微软雅黑" w:eastAsia="微软雅黑"/>
          <w:b/>
          <w:color w:val="2F5597"/>
          <w:sz w:val="20"/>
        </w:rPr>
        <w:t>核心字段</w:t>
      </w:r>
      <w:r>
        <w:rPr>
          <w:rFonts w:ascii="微软雅黑" w:hAnsi="微软雅黑" w:eastAsia="微软雅黑"/>
          <w:b w:val="0"/>
          <w:sz w:val="20"/>
        </w:rPr>
        <w:t>：表格包含日期、消耗金额（本地币）、注册人数、当日注册充值人数、新增充值人数、注册成本、充值成本、累计充值金额、累计提现金额、当日 ROI、3 日 ROI、7 日 ROI、15 日 ROI 和 30 日 ROI，用于比较每日获客和不同回收周期的表现。</w:t>
      </w:r>
    </w:p>
    <w:p w14:paraId="02F0B4C2">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注册人数表示当日完成注册的用户数；当日注册充值人数表示当日注册且发生充值的用户数；新增充值人数表示截至当前时间的首充人数汇总，不要求用户必须在注册当天完成首充；累计充值金额和累计提现金额用于观察投放用户的资金回收；各 ROI 字段分别对应当日、3 日、7 日、15 日和 30 日观察窗口。</w:t>
      </w:r>
    </w:p>
    <w:p w14:paraId="1943FF3B">
      <w:pPr>
        <w:pStyle w:val="16"/>
        <w:spacing w:after="60" w:line="276" w:lineRule="auto"/>
      </w:pPr>
      <w:r>
        <w:rPr>
          <w:rFonts w:ascii="微软雅黑" w:hAnsi="微软雅黑" w:eastAsia="微软雅黑"/>
          <w:b/>
          <w:color w:val="2F5597"/>
          <w:sz w:val="20"/>
        </w:rPr>
        <w:t>成本口径</w:t>
      </w:r>
      <w:r>
        <w:rPr>
          <w:rFonts w:ascii="微软雅黑" w:hAnsi="微软雅黑" w:eastAsia="微软雅黑"/>
          <w:b w:val="0"/>
          <w:sz w:val="20"/>
        </w:rPr>
        <w:t>：消耗金额按已录入的 USDT 成本和本地币汇率换算；注册成本=消耗金额/当日注册人数，充值成本=消耗金额/新增充值人数，分母为 0 时不应据此判断渠道效果。</w:t>
      </w:r>
    </w:p>
    <w:p w14:paraId="0DDF49C3">
      <w:pPr>
        <w:pStyle w:val="16"/>
        <w:spacing w:after="60" w:line="276" w:lineRule="auto"/>
      </w:pPr>
      <w:r>
        <w:rPr>
          <w:rFonts w:ascii="微软雅黑" w:hAnsi="微软雅黑" w:eastAsia="微软雅黑"/>
          <w:b/>
          <w:color w:val="2F5597"/>
          <w:sz w:val="20"/>
        </w:rPr>
        <w:t>ROI 口径</w:t>
      </w:r>
      <w:r>
        <w:rPr>
          <w:rFonts w:ascii="微软雅黑" w:hAnsi="微软雅黑" w:eastAsia="微软雅黑"/>
          <w:b w:val="0"/>
          <w:sz w:val="20"/>
        </w:rPr>
        <w:t>：当日 ROI 按（投放当日累计充值金额-投放当日累计提现金额）/消耗金额计算；3 日、7 日、15 日和 30 日 ROI 分别按投放后对应周期内的累计充值与累计提现计算，未达到回收周期时显示“--”。表头问号可查看当前指标的计算提示。</w:t>
      </w:r>
    </w:p>
    <w:p w14:paraId="15A0D88C">
      <w:pPr>
        <w:pStyle w:val="16"/>
        <w:spacing w:after="60" w:line="276" w:lineRule="auto"/>
      </w:pPr>
      <w:r>
        <w:rPr>
          <w:rFonts w:ascii="微软雅黑" w:hAnsi="微软雅黑" w:eastAsia="微软雅黑"/>
          <w:b/>
          <w:color w:val="2F5597"/>
          <w:sz w:val="20"/>
        </w:rPr>
        <w:t>数据说明</w:t>
      </w:r>
      <w:r>
        <w:rPr>
          <w:rFonts w:ascii="微软雅黑" w:hAnsi="微软雅黑" w:eastAsia="微软雅黑"/>
          <w:b w:val="0"/>
          <w:sz w:val="20"/>
        </w:rPr>
        <w:t>：总计数据为查询结果的直接汇总，不做去重；页面显示实时更新时间。分析时应结合广告消耗数据的录入时间，避免将尚未达到回收周期的数据与完整周期数据直接比较。</w:t>
      </w:r>
    </w:p>
    <w:p w14:paraId="6B69458B">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w:t>
      </w:r>
    </w:p>
    <w:p w14:paraId="3A3B7E66">
      <w:pPr>
        <w:spacing w:after="60" w:line="276" w:lineRule="auto"/>
      </w:pPr>
      <w:r>
        <w:rPr>
          <w:rFonts w:ascii="微软雅黑" w:hAnsi="微软雅黑" w:eastAsia="微软雅黑"/>
          <w:b w:val="0"/>
          <w:sz w:val="20"/>
        </w:rPr>
        <w:t>渠道报表按渠道汇总访问、注册、首充和复充表现，用于比较渠道质量并定位需要进一步拆分的媒体或广告链接。</w:t>
      </w:r>
    </w:p>
    <w:p w14:paraId="7C965CD6">
      <w:pPr>
        <w:spacing w:after="40"/>
        <w:jc w:val="center"/>
      </w:pPr>
      <w:r>
        <w:drawing>
          <wp:inline distT="0" distB="0" distL="114300" distR="114300">
            <wp:extent cx="5852160" cy="2632710"/>
            <wp:effectExtent l="0" t="0" r="15240" b="1524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pic:cNvPicPr>
                      <a:picLocks noChangeAspect="1"/>
                    </pic:cNvPicPr>
                  </pic:nvPicPr>
                  <pic:blipFill>
                    <a:blip r:embed="rId138"/>
                    <a:stretch>
                      <a:fillRect/>
                    </a:stretch>
                  </pic:blipFill>
                  <pic:spPr>
                    <a:xfrm>
                      <a:off x="0" y="0"/>
                      <a:ext cx="5852160" cy="2633119"/>
                    </a:xfrm>
                    <a:prstGeom prst="rect">
                      <a:avLst/>
                    </a:prstGeom>
                  </pic:spPr>
                </pic:pic>
              </a:graphicData>
            </a:graphic>
          </wp:inline>
        </w:drawing>
      </w:r>
    </w:p>
    <w:p w14:paraId="0E525136">
      <w:pPr>
        <w:pStyle w:val="15"/>
        <w:spacing w:after="120"/>
        <w:jc w:val="center"/>
      </w:pPr>
      <w:r>
        <w:rPr>
          <w:rFonts w:ascii="微软雅黑" w:hAnsi="微软雅黑" w:eastAsia="微软雅黑"/>
          <w:b w:val="0"/>
          <w:color w:val="707E92"/>
          <w:sz w:val="18"/>
        </w:rPr>
        <w:t>图：渠道报表，用于按渠道汇总流量、注册、充值和复充指标。</w:t>
      </w:r>
    </w:p>
    <w:p w14:paraId="646CF9A1">
      <w:pPr>
        <w:pStyle w:val="16"/>
        <w:spacing w:after="60" w:line="276" w:lineRule="auto"/>
      </w:pPr>
      <w:r>
        <w:rPr>
          <w:rFonts w:ascii="微软雅黑" w:hAnsi="微软雅黑" w:eastAsia="微软雅黑"/>
          <w:b/>
          <w:color w:val="2F5597"/>
          <w:sz w:val="20"/>
        </w:rPr>
        <w:t>筛选与导出</w:t>
      </w:r>
      <w:r>
        <w:rPr>
          <w:rFonts w:ascii="微软雅黑" w:hAnsi="微软雅黑" w:eastAsia="微软雅黑"/>
          <w:b w:val="0"/>
          <w:sz w:val="20"/>
        </w:rPr>
        <w:t>：选择日期范围后，可按渠道、媒体和广告链接筛选；点击“查询”加载结果，“重置”清空筛选条件，“导出数据”导出当前汇总结果。</w:t>
      </w:r>
    </w:p>
    <w:p w14:paraId="1B168590">
      <w:pPr>
        <w:pStyle w:val="16"/>
        <w:spacing w:after="60" w:line="276" w:lineRule="auto"/>
      </w:pPr>
      <w:r>
        <w:rPr>
          <w:rFonts w:ascii="微软雅黑" w:hAnsi="微软雅黑" w:eastAsia="微软雅黑"/>
          <w:b/>
          <w:color w:val="2F5597"/>
          <w:sz w:val="20"/>
        </w:rPr>
        <w:t>筛选字段</w:t>
      </w:r>
      <w:r>
        <w:rPr>
          <w:rFonts w:ascii="微软雅黑" w:hAnsi="微软雅黑" w:eastAsia="微软雅黑"/>
          <w:b w:val="0"/>
          <w:sz w:val="20"/>
        </w:rPr>
        <w:t>：渠道用于定位推广渠道主体，媒体用于区分 Facebook、TikTok、Google 等投放媒体，广告链接用于进一步区分具体落地页或广告素材链接；三类条件可组合使用，适合从总渠道逐级定位到具体投放链接。</w:t>
      </w:r>
    </w:p>
    <w:p w14:paraId="19B992F0">
      <w:pPr>
        <w:pStyle w:val="16"/>
        <w:spacing w:after="60" w:line="276" w:lineRule="auto"/>
      </w:pPr>
      <w:r>
        <w:rPr>
          <w:rFonts w:ascii="微软雅黑" w:hAnsi="微软雅黑" w:eastAsia="微软雅黑"/>
          <w:b/>
          <w:color w:val="2F5597"/>
          <w:sz w:val="20"/>
        </w:rPr>
        <w:t>流量与注册字段</w:t>
      </w:r>
      <w:r>
        <w:rPr>
          <w:rFonts w:ascii="微软雅黑" w:hAnsi="微软雅黑" w:eastAsia="微软雅黑"/>
          <w:b w:val="0"/>
          <w:sz w:val="20"/>
        </w:rPr>
        <w:t>：访问人数、 新增、累计注册和注册转化率反映渠道的引流和注册能力；注册转化率=新增/访问人数，需结合日期范围判断。</w:t>
      </w:r>
    </w:p>
    <w:p w14:paraId="31973E1E">
      <w:pPr>
        <w:pStyle w:val="16"/>
        <w:spacing w:after="60" w:line="276" w:lineRule="auto"/>
      </w:pPr>
      <w:r>
        <w:rPr>
          <w:rFonts w:ascii="微软雅黑" w:hAnsi="微软雅黑" w:eastAsia="微软雅黑"/>
          <w:b/>
          <w:color w:val="2F5597"/>
          <w:sz w:val="20"/>
        </w:rPr>
        <w:t>充值字段</w:t>
      </w:r>
      <w:r>
        <w:rPr>
          <w:rFonts w:ascii="微软雅黑" w:hAnsi="微软雅黑" w:eastAsia="微软雅黑"/>
          <w:b w:val="0"/>
          <w:sz w:val="20"/>
        </w:rPr>
        <w:t>：PWA 安装数、首充人数、首充金额、访问-首充转化率、注册-首充转化率、充值人数、充值转化率、充值金额和充值次数用于衡量注册后的付费转化；访问-首充转化率=首充人数/访问人数，注册-首充转化率=首充人数/新增，充值转化率按页面提示口径计算。</w:t>
      </w:r>
    </w:p>
    <w:p w14:paraId="107DE48E">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：人均充值、提现金额、提现次数、充提差和有效投注额用于评估用户后续价值；人均充值反映单个充值用户的平均贡献，充提差用于比较充值与提现差额，有效投注额用于观察真实投注规模。</w:t>
      </w:r>
    </w:p>
    <w:p w14:paraId="38EA549C">
      <w:pPr>
        <w:pStyle w:val="16"/>
        <w:spacing w:after="60" w:line="276" w:lineRule="auto"/>
      </w:pPr>
      <w:r>
        <w:rPr>
          <w:rFonts w:ascii="微软雅黑" w:hAnsi="微软雅黑" w:eastAsia="微软雅黑"/>
          <w:b/>
          <w:color w:val="2F5597"/>
          <w:sz w:val="20"/>
        </w:rPr>
        <w:t>复充字段</w:t>
      </w:r>
      <w:r>
        <w:rPr>
          <w:rFonts w:ascii="微软雅黑" w:hAnsi="微软雅黑" w:eastAsia="微软雅黑"/>
          <w:b w:val="0"/>
          <w:sz w:val="20"/>
        </w:rPr>
        <w:t>：次日、3 日和 7 日复充占比按首充用户在对应周期内再次充值的人数占比计算；周期未完成时应结合数据更新时间谨慎解读。</w:t>
      </w:r>
    </w:p>
    <w:p w14:paraId="53E3050E">
      <w:pPr>
        <w:pStyle w:val="16"/>
        <w:spacing w:after="60" w:line="276" w:lineRule="auto"/>
      </w:pPr>
      <w:r>
        <w:rPr>
          <w:rFonts w:ascii="微软雅黑" w:hAnsi="微软雅黑" w:eastAsia="微软雅黑"/>
          <w:b/>
          <w:color w:val="2F5597"/>
          <w:sz w:val="20"/>
        </w:rPr>
        <w:t>查看明细</w:t>
      </w:r>
      <w:r>
        <w:rPr>
          <w:rFonts w:ascii="微软雅黑" w:hAnsi="微软雅黑" w:eastAsia="微软雅黑"/>
          <w:b w:val="0"/>
          <w:sz w:val="20"/>
        </w:rPr>
        <w:t>：点击操作列进入渠道报表明细，可按同一日期范围查看该渠道每日表现；从汇总页进入明细后，应核对渠道、媒体和广告链接上下文是否一致。</w:t>
      </w:r>
    </w:p>
    <w:p w14:paraId="6082D7B2">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渠道报表明细</w:t>
      </w:r>
    </w:p>
    <w:p w14:paraId="11D03645">
      <w:pPr>
        <w:spacing w:after="60" w:line="276" w:lineRule="auto"/>
      </w:pPr>
      <w:r>
        <w:rPr>
          <w:rFonts w:ascii="微软雅黑" w:hAnsi="微软雅黑" w:eastAsia="微软雅黑"/>
          <w:b w:val="0"/>
          <w:sz w:val="20"/>
        </w:rPr>
        <w:t>渠道报表明细用于查看单个渠道按日期拆分的流量、注册、充值、提现和投注数据，适合定位渠道表现波动并与渠道汇总结果交叉核对。</w:t>
      </w:r>
    </w:p>
    <w:p w14:paraId="138DB3F5">
      <w:pPr>
        <w:spacing w:after="40"/>
        <w:jc w:val="center"/>
      </w:pPr>
      <w:r>
        <w:drawing>
          <wp:inline distT="0" distB="0" distL="114300" distR="114300">
            <wp:extent cx="5852160" cy="2411730"/>
            <wp:effectExtent l="0" t="0" r="15240" b="762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pic:cNvPicPr>
                      <a:picLocks noChangeAspect="1"/>
                    </pic:cNvPicPr>
                  </pic:nvPicPr>
                  <pic:blipFill>
                    <a:blip r:embed="rId139"/>
                    <a:stretch>
                      <a:fillRect/>
                    </a:stretch>
                  </pic:blipFill>
                  <pic:spPr>
                    <a:xfrm>
                      <a:off x="0" y="0"/>
                      <a:ext cx="5852160" cy="2412206"/>
                    </a:xfrm>
                    <a:prstGeom prst="rect">
                      <a:avLst/>
                    </a:prstGeom>
                  </pic:spPr>
                </pic:pic>
              </a:graphicData>
            </a:graphic>
          </wp:inline>
        </w:drawing>
      </w:r>
    </w:p>
    <w:p w14:paraId="6B9CD304">
      <w:pPr>
        <w:pStyle w:val="15"/>
        <w:spacing w:after="120"/>
        <w:jc w:val="center"/>
      </w:pPr>
      <w:r>
        <w:rPr>
          <w:rFonts w:ascii="微软雅黑" w:hAnsi="微软雅黑" w:eastAsia="微软雅黑"/>
          <w:b w:val="0"/>
          <w:color w:val="707E92"/>
          <w:sz w:val="18"/>
        </w:rPr>
        <w:t>图：渠道报表明细，用于查看指定渠道每日投放和业务指标。</w:t>
      </w:r>
    </w:p>
    <w:p w14:paraId="7A0D499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：选择日期范围、渠道、媒体和广告链接后点击“查询”；“重置”恢复默认条件；点击“返回汇总”回到渠道报表。</w:t>
      </w:r>
    </w:p>
    <w:p w14:paraId="15A8D689">
      <w:pPr>
        <w:pStyle w:val="16"/>
        <w:spacing w:after="60" w:line="276" w:lineRule="auto"/>
      </w:pPr>
      <w:r>
        <w:rPr>
          <w:rFonts w:ascii="微软雅黑" w:hAnsi="微软雅黑" w:eastAsia="微软雅黑"/>
          <w:b/>
          <w:color w:val="2F5597"/>
          <w:sz w:val="20"/>
        </w:rPr>
        <w:t>上下文确认</w:t>
      </w:r>
      <w:r>
        <w:rPr>
          <w:rFonts w:ascii="微软雅黑" w:hAnsi="微软雅黑" w:eastAsia="微软雅黑"/>
          <w:b w:val="0"/>
          <w:sz w:val="20"/>
        </w:rPr>
        <w:t>：页面顶部展示渠道来源、媒体来源、广告链接和日期范围。查看明细或导出前，应先确认这些条件与要分析的投放批次一致。</w:t>
      </w:r>
    </w:p>
    <w:p w14:paraId="57B4CFEE">
      <w:pPr>
        <w:pStyle w:val="16"/>
        <w:spacing w:after="60" w:line="276" w:lineRule="auto"/>
      </w:pPr>
      <w:r>
        <w:rPr>
          <w:rFonts w:ascii="微软雅黑" w:hAnsi="微软雅黑" w:eastAsia="微软雅黑"/>
          <w:b/>
          <w:color w:val="2F5597"/>
          <w:sz w:val="20"/>
        </w:rPr>
        <w:t>字段说明</w:t>
      </w:r>
      <w:r>
        <w:rPr>
          <w:rFonts w:ascii="微软雅黑" w:hAnsi="微软雅黑" w:eastAsia="微软雅黑"/>
          <w:b w:val="0"/>
          <w:sz w:val="20"/>
        </w:rPr>
        <w:t>：日期是指标归属日；访问人数是进入投放链路的访问量；新增和累计注册分别表示区间内新增注册与累计注册；PWA 安装数表示完成 PWA 安装的用户数；首充人数和首充金额反映首次付费；充值人数、充值金额和充值次数反映后续充值规模；人均充值用于比较单用户贡献；提现金额反映资金流出；有效投注额反映完成有效投注的规模。</w:t>
      </w:r>
    </w:p>
    <w:p w14:paraId="0548D9EB">
      <w:pPr>
        <w:pStyle w:val="16"/>
        <w:spacing w:after="60" w:line="276" w:lineRule="auto"/>
      </w:pPr>
      <w:r>
        <w:rPr>
          <w:rFonts w:ascii="微软雅黑" w:hAnsi="微软雅黑" w:eastAsia="微软雅黑"/>
          <w:b/>
          <w:color w:val="2F5597"/>
          <w:sz w:val="20"/>
        </w:rPr>
        <w:t>每日指标</w:t>
      </w:r>
      <w:r>
        <w:rPr>
          <w:rFonts w:ascii="微软雅黑" w:hAnsi="微软雅黑" w:eastAsia="微软雅黑"/>
          <w:b w:val="0"/>
          <w:sz w:val="20"/>
        </w:rPr>
        <w:t>：明细按日期展示访问人数、新增、注册转化率、PWA 安装数、首充人数、首充金额、访问-首充转化率、注册-首充转化率、次日复充占比、3 日复充占比和 7 日复充占比，便于定位具体日期的转化变化。</w:t>
      </w:r>
    </w:p>
    <w:p w14:paraId="76FDA693">
      <w:pPr>
        <w:pStyle w:val="16"/>
        <w:spacing w:after="60" w:line="276" w:lineRule="auto"/>
      </w:pPr>
      <w:r>
        <w:rPr>
          <w:rFonts w:ascii="微软雅黑" w:hAnsi="微软雅黑" w:eastAsia="微软雅黑"/>
          <w:b/>
          <w:color w:val="2F5597"/>
          <w:sz w:val="20"/>
        </w:rPr>
        <w:t>资金与投注字段</w:t>
      </w:r>
      <w:r>
        <w:rPr>
          <w:rFonts w:ascii="微软雅黑" w:hAnsi="微软雅黑" w:eastAsia="微软雅黑"/>
          <w:b w:val="0"/>
          <w:sz w:val="20"/>
        </w:rPr>
        <w:t>：明细同时展示充值人数、充值金额、充值次数、人均充值、提现金额、充提差和有效投注额，反映渠道用户的后续价值；充提差用于比较充值与提现差额，不能替代完整结算口径。</w:t>
      </w:r>
    </w:p>
    <w:p w14:paraId="6C2E3AD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：次日、3 日、7 日复充占比需要等待对应观察周期完成；当明细与汇总页不一致时，先核对日期范围、渠道筛选、数据更新时间和汇总是否包含未完成周期数据。</w:t>
      </w:r>
    </w:p>
    <w:p w14:paraId="67E9896D">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keepNext/>
        <w:spacing w:before="120" w:after="60" w:line="252" w:lineRule="auto"/>
      </w:pPr>
      <w:r>
        <w:rPr>
          <w:rFonts w:ascii="微软雅黑" w:hAnsi="微软雅黑" w:eastAsia="微软雅黑"/>
          <w:b/>
          <w:i w:val="0"/>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40"/>
                    <a:stretch>
                      <a:fillRect/>
                    </a:stretch>
                  </pic:blipFill>
                  <pic:spPr>
                    <a:xfrm>
                      <a:off x="0" y="0"/>
                      <a:ext cx="5852160" cy="2104694"/>
                    </a:xfrm>
                    <a:prstGeom prst="rect">
                      <a:avLst/>
                    </a:prstGeom>
                  </pic:spPr>
                </pic:pic>
              </a:graphicData>
            </a:graphic>
          </wp:inline>
        </w:drawing>
      </w:r>
    </w:p>
    <w:p w14:paraId="2DE58824">
      <w:pPr>
        <w:pStyle w:val="15"/>
        <w:spacing w:after="120" w:line="276" w:lineRule="auto"/>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keepNext/>
        <w:spacing w:before="120" w:after="60" w:line="252" w:lineRule="auto"/>
      </w:pPr>
      <w:r>
        <w:rPr>
          <w:rFonts w:ascii="微软雅黑" w:hAnsi="微软雅黑" w:eastAsia="微软雅黑"/>
          <w:b/>
          <w:i w:val="0"/>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41"/>
                    <a:stretch>
                      <a:fillRect/>
                    </a:stretch>
                  </pic:blipFill>
                  <pic:spPr>
                    <a:xfrm>
                      <a:off x="0" y="0"/>
                      <a:ext cx="5852160" cy="3545184"/>
                    </a:xfrm>
                    <a:prstGeom prst="rect">
                      <a:avLst/>
                    </a:prstGeom>
                  </pic:spPr>
                </pic:pic>
              </a:graphicData>
            </a:graphic>
          </wp:inline>
        </w:drawing>
      </w:r>
    </w:p>
    <w:p w14:paraId="4FEA2FBB">
      <w:pPr>
        <w:pStyle w:val="15"/>
        <w:spacing w:after="120" w:line="276" w:lineRule="auto"/>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keepNext/>
        <w:spacing w:before="120" w:after="60" w:line="252" w:lineRule="auto"/>
      </w:pPr>
      <w:r>
        <w:rPr>
          <w:rFonts w:ascii="微软雅黑" w:hAnsi="微软雅黑" w:eastAsia="微软雅黑"/>
          <w:b/>
          <w:i w:val="0"/>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42"/>
                    <a:stretch>
                      <a:fillRect/>
                    </a:stretch>
                  </pic:blipFill>
                  <pic:spPr>
                    <a:xfrm>
                      <a:off x="0" y="0"/>
                      <a:ext cx="5852160" cy="996112"/>
                    </a:xfrm>
                    <a:prstGeom prst="rect">
                      <a:avLst/>
                    </a:prstGeom>
                  </pic:spPr>
                </pic:pic>
              </a:graphicData>
            </a:graphic>
          </wp:inline>
        </w:drawing>
      </w:r>
    </w:p>
    <w:p w14:paraId="6B0288B8">
      <w:pPr>
        <w:pStyle w:val="15"/>
        <w:spacing w:after="120" w:line="276" w:lineRule="auto"/>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keepNext/>
        <w:spacing w:before="120" w:after="60" w:line="252" w:lineRule="auto"/>
      </w:pPr>
      <w:r>
        <w:rPr>
          <w:rFonts w:ascii="微软雅黑" w:hAnsi="微软雅黑" w:eastAsia="微软雅黑"/>
          <w:b/>
          <w:i w:val="0"/>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43"/>
                    <a:stretch>
                      <a:fillRect/>
                    </a:stretch>
                  </pic:blipFill>
                  <pic:spPr>
                    <a:xfrm>
                      <a:off x="0" y="0"/>
                      <a:ext cx="5852160" cy="4205838"/>
                    </a:xfrm>
                    <a:prstGeom prst="rect">
                      <a:avLst/>
                    </a:prstGeom>
                  </pic:spPr>
                </pic:pic>
              </a:graphicData>
            </a:graphic>
          </wp:inline>
        </w:drawing>
      </w:r>
    </w:p>
    <w:p w14:paraId="734A6839">
      <w:pPr>
        <w:pStyle w:val="15"/>
        <w:spacing w:after="120" w:line="276" w:lineRule="auto"/>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keepNext/>
        <w:spacing w:before="120" w:after="60" w:line="252" w:lineRule="auto"/>
      </w:pPr>
      <w:r>
        <w:rPr>
          <w:rFonts w:ascii="微软雅黑" w:hAnsi="微软雅黑" w:eastAsia="微软雅黑"/>
          <w:b/>
          <w:i w:val="0"/>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44"/>
                    <a:stretch>
                      <a:fillRect/>
                    </a:stretch>
                  </pic:blipFill>
                  <pic:spPr>
                    <a:xfrm>
                      <a:off x="0" y="0"/>
                      <a:ext cx="5852160" cy="2079197"/>
                    </a:xfrm>
                    <a:prstGeom prst="rect">
                      <a:avLst/>
                    </a:prstGeom>
                  </pic:spPr>
                </pic:pic>
              </a:graphicData>
            </a:graphic>
          </wp:inline>
        </w:drawing>
      </w:r>
    </w:p>
    <w:p w14:paraId="2E84FC54">
      <w:pPr>
        <w:pStyle w:val="15"/>
        <w:spacing w:after="120" w:line="276" w:lineRule="auto"/>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keepNext/>
        <w:spacing w:before="120" w:after="60" w:line="252" w:lineRule="auto"/>
      </w:pPr>
      <w:r>
        <w:rPr>
          <w:rFonts w:ascii="微软雅黑" w:hAnsi="微软雅黑" w:eastAsia="微软雅黑"/>
          <w:b/>
          <w:i w:val="0"/>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45"/>
                    <a:stretch>
                      <a:fillRect/>
                    </a:stretch>
                  </pic:blipFill>
                  <pic:spPr>
                    <a:xfrm>
                      <a:off x="0" y="0"/>
                      <a:ext cx="5852160" cy="2281112"/>
                    </a:xfrm>
                    <a:prstGeom prst="rect">
                      <a:avLst/>
                    </a:prstGeom>
                  </pic:spPr>
                </pic:pic>
              </a:graphicData>
            </a:graphic>
          </wp:inline>
        </w:drawing>
      </w:r>
    </w:p>
    <w:p w14:paraId="58B494B7">
      <w:pPr>
        <w:pStyle w:val="15"/>
        <w:spacing w:after="120" w:line="276" w:lineRule="auto"/>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keepNext/>
        <w:spacing w:before="120" w:after="60" w:line="252" w:lineRule="auto"/>
      </w:pPr>
      <w:r>
        <w:rPr>
          <w:rFonts w:ascii="微软雅黑" w:hAnsi="微软雅黑" w:eastAsia="微软雅黑"/>
          <w:b/>
          <w:i w:val="0"/>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46"/>
                    <a:stretch>
                      <a:fillRect/>
                    </a:stretch>
                  </pic:blipFill>
                  <pic:spPr>
                    <a:xfrm>
                      <a:off x="0" y="0"/>
                      <a:ext cx="5852160" cy="1933945"/>
                    </a:xfrm>
                    <a:prstGeom prst="rect">
                      <a:avLst/>
                    </a:prstGeom>
                  </pic:spPr>
                </pic:pic>
              </a:graphicData>
            </a:graphic>
          </wp:inline>
        </w:drawing>
      </w:r>
    </w:p>
    <w:p w14:paraId="281023EF">
      <w:pPr>
        <w:pStyle w:val="15"/>
        <w:spacing w:after="120" w:line="276" w:lineRule="auto"/>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keepNext/>
        <w:spacing w:before="120" w:after="60" w:line="252" w:lineRule="auto"/>
      </w:pPr>
      <w:r>
        <w:rPr>
          <w:rFonts w:ascii="微软雅黑" w:hAnsi="微软雅黑" w:eastAsia="微软雅黑"/>
          <w:b/>
          <w:i w:val="0"/>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47"/>
                    <a:stretch>
                      <a:fillRect/>
                    </a:stretch>
                  </pic:blipFill>
                  <pic:spPr>
                    <a:xfrm>
                      <a:off x="0" y="0"/>
                      <a:ext cx="5852160" cy="2714045"/>
                    </a:xfrm>
                    <a:prstGeom prst="rect">
                      <a:avLst/>
                    </a:prstGeom>
                  </pic:spPr>
                </pic:pic>
              </a:graphicData>
            </a:graphic>
          </wp:inline>
        </w:drawing>
      </w:r>
    </w:p>
    <w:p w14:paraId="25737975">
      <w:pPr>
        <w:pStyle w:val="15"/>
        <w:spacing w:after="120" w:line="276" w:lineRule="auto"/>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i w:val="0"/>
          <w:color w:val="254061"/>
          <w:sz w:val="30"/>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48"/>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49"/>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50"/>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51"/>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52"/>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53"/>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54"/>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55"/>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56"/>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57"/>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54061"/>
          <w:sz w:val="30"/>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58"/>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59"/>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60"/>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61"/>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54061"/>
          <w:sz w:val="30"/>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62"/>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63"/>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54061"/>
          <w:sz w:val="30"/>
        </w:rPr>
        <w:t>十六、典型业务流程</w:t>
      </w:r>
    </w:p>
    <w:p w14:paraId="70BB498F">
      <w:pPr>
        <w:pStyle w:val="4"/>
        <w:keepNext/>
        <w:spacing w:before="240" w:after="140" w:line="269" w:lineRule="auto"/>
      </w:pPr>
      <w:r>
        <w:rPr>
          <w:rFonts w:ascii="微软雅黑" w:hAnsi="微软雅黑" w:eastAsia="微软雅黑"/>
          <w:b/>
          <w:i w:val="0"/>
          <w:color w:val="2F5597"/>
          <w:sz w:val="25"/>
        </w:rPr>
        <w:t>新站点上线流程</w:t>
      </w:r>
    </w:p>
    <w:p w14:paraId="1BAF8B9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60" w:line="276" w:lineRule="auto"/>
      </w:pPr>
      <w:r>
        <w:rPr>
          <w:rFonts w:ascii="微软雅黑" w:hAnsi="微软雅黑" w:eastAsia="微软雅黑"/>
          <w:b w:val="0"/>
          <w:sz w:val="20"/>
        </w:rPr>
        <w:t>检查首页、登录、充值、客服、活动入口和分享入口。</w:t>
      </w:r>
    </w:p>
    <w:p w14:paraId="168AB731">
      <w:pPr>
        <w:pStyle w:val="14"/>
        <w:spacing w:after="6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i w:val="0"/>
          <w:color w:val="2F5597"/>
          <w:sz w:val="25"/>
        </w:rPr>
        <w:t>发布活动流程</w:t>
      </w:r>
    </w:p>
    <w:p w14:paraId="4774C0F3">
      <w:pPr>
        <w:pStyle w:val="14"/>
        <w:numPr>
          <w:ilvl w:val="0"/>
          <w:numId w:val="8"/>
        </w:numPr>
        <w:spacing w:after="6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6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6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i w:val="0"/>
          <w:color w:val="2F5597"/>
          <w:sz w:val="25"/>
        </w:rPr>
        <w:t>处理提现流程</w:t>
      </w:r>
    </w:p>
    <w:p w14:paraId="5C660526">
      <w:pPr>
        <w:pStyle w:val="14"/>
        <w:numPr>
          <w:ilvl w:val="0"/>
          <w:numId w:val="9"/>
        </w:numPr>
        <w:spacing w:after="6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6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6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i w:val="0"/>
          <w:color w:val="2F5597"/>
          <w:sz w:val="25"/>
        </w:rPr>
        <w:t>排查用户资金问题</w:t>
      </w:r>
    </w:p>
    <w:p w14:paraId="702E2197">
      <w:pPr>
        <w:pStyle w:val="14"/>
        <w:numPr>
          <w:ilvl w:val="0"/>
          <w:numId w:val="10"/>
        </w:numPr>
        <w:spacing w:after="6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6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6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i w:val="0"/>
          <w:color w:val="2F5597"/>
          <w:sz w:val="25"/>
        </w:rPr>
        <w:t>查看活动效果</w:t>
      </w:r>
    </w:p>
    <w:p w14:paraId="5E594233">
      <w:pPr>
        <w:pStyle w:val="14"/>
        <w:numPr>
          <w:ilvl w:val="0"/>
          <w:numId w:val="11"/>
        </w:numPr>
        <w:spacing w:after="6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6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54061"/>
          <w:sz w:val="30"/>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44B8F"/>
    <w:rsid w:val="0029639D"/>
    <w:rsid w:val="00326F90"/>
    <w:rsid w:val="00953B0B"/>
    <w:rsid w:val="00AA1D8D"/>
    <w:rsid w:val="00B47730"/>
    <w:rsid w:val="00CB0664"/>
    <w:rsid w:val="00F83D16"/>
    <w:rsid w:val="00FC693F"/>
    <w:rsid w:val="01414E86"/>
    <w:rsid w:val="01B946DA"/>
    <w:rsid w:val="02814DF0"/>
    <w:rsid w:val="02FA25DD"/>
    <w:rsid w:val="037D56E7"/>
    <w:rsid w:val="046225D4"/>
    <w:rsid w:val="04EB48D3"/>
    <w:rsid w:val="05956E55"/>
    <w:rsid w:val="068766C3"/>
    <w:rsid w:val="07320DB8"/>
    <w:rsid w:val="0A5D486A"/>
    <w:rsid w:val="0C2706CA"/>
    <w:rsid w:val="0FE06DEA"/>
    <w:rsid w:val="0FFB4C2D"/>
    <w:rsid w:val="101C69A6"/>
    <w:rsid w:val="101F1033"/>
    <w:rsid w:val="125E4B0E"/>
    <w:rsid w:val="14A60D00"/>
    <w:rsid w:val="152B4B8D"/>
    <w:rsid w:val="15F63412"/>
    <w:rsid w:val="16921052"/>
    <w:rsid w:val="16F51B55"/>
    <w:rsid w:val="17F0696C"/>
    <w:rsid w:val="183B3024"/>
    <w:rsid w:val="18A063E0"/>
    <w:rsid w:val="18FA3DCE"/>
    <w:rsid w:val="1E20265C"/>
    <w:rsid w:val="1EBC22D2"/>
    <w:rsid w:val="259865AB"/>
    <w:rsid w:val="25E47275"/>
    <w:rsid w:val="274033B7"/>
    <w:rsid w:val="278C2CA5"/>
    <w:rsid w:val="27952750"/>
    <w:rsid w:val="292E4107"/>
    <w:rsid w:val="29C87436"/>
    <w:rsid w:val="2E532A1D"/>
    <w:rsid w:val="2F067A90"/>
    <w:rsid w:val="2F885AC1"/>
    <w:rsid w:val="2F9F1E86"/>
    <w:rsid w:val="308E051A"/>
    <w:rsid w:val="30956DDA"/>
    <w:rsid w:val="35773495"/>
    <w:rsid w:val="368F18C6"/>
    <w:rsid w:val="37092813"/>
    <w:rsid w:val="38A20FFB"/>
    <w:rsid w:val="398E654D"/>
    <w:rsid w:val="39F42038"/>
    <w:rsid w:val="3AEF22C6"/>
    <w:rsid w:val="3B62700C"/>
    <w:rsid w:val="412B4769"/>
    <w:rsid w:val="428608CB"/>
    <w:rsid w:val="43330444"/>
    <w:rsid w:val="449F4114"/>
    <w:rsid w:val="452B5AB9"/>
    <w:rsid w:val="455B5419"/>
    <w:rsid w:val="482B7710"/>
    <w:rsid w:val="48E318B7"/>
    <w:rsid w:val="49BA49B4"/>
    <w:rsid w:val="4B5A0B07"/>
    <w:rsid w:val="4B6605E7"/>
    <w:rsid w:val="4E892E94"/>
    <w:rsid w:val="4F407994"/>
    <w:rsid w:val="50083210"/>
    <w:rsid w:val="5069664D"/>
    <w:rsid w:val="507C3DBA"/>
    <w:rsid w:val="52307FE4"/>
    <w:rsid w:val="53085448"/>
    <w:rsid w:val="53F35F85"/>
    <w:rsid w:val="55E05DF0"/>
    <w:rsid w:val="578C750D"/>
    <w:rsid w:val="57C3279B"/>
    <w:rsid w:val="57E51EF8"/>
    <w:rsid w:val="58B57261"/>
    <w:rsid w:val="58CF0BA1"/>
    <w:rsid w:val="5965538A"/>
    <w:rsid w:val="59C16051"/>
    <w:rsid w:val="5A42010F"/>
    <w:rsid w:val="5DB26AD9"/>
    <w:rsid w:val="5F465A0D"/>
    <w:rsid w:val="60BD3BA3"/>
    <w:rsid w:val="61CD7A3C"/>
    <w:rsid w:val="61DB474F"/>
    <w:rsid w:val="62C54933"/>
    <w:rsid w:val="63155CA2"/>
    <w:rsid w:val="65674A25"/>
    <w:rsid w:val="656D1A8A"/>
    <w:rsid w:val="68845FAE"/>
    <w:rsid w:val="69765236"/>
    <w:rsid w:val="6AD35998"/>
    <w:rsid w:val="6E1353FB"/>
    <w:rsid w:val="6E5F3FAE"/>
    <w:rsid w:val="6E8D0303"/>
    <w:rsid w:val="6F374E0B"/>
    <w:rsid w:val="70546B19"/>
    <w:rsid w:val="72EE6907"/>
    <w:rsid w:val="74FE2F66"/>
    <w:rsid w:val="79F022DC"/>
    <w:rsid w:val="7BEB3862"/>
    <w:rsid w:val="7C036EFB"/>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54061"/>
      <w:sz w:val="3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6" Type="http://schemas.openxmlformats.org/officeDocument/2006/relationships/fontTable" Target="fontTable.xml"/><Relationship Id="rId165" Type="http://schemas.openxmlformats.org/officeDocument/2006/relationships/customXml" Target="../customXml/item1.xml"/><Relationship Id="rId164" Type="http://schemas.openxmlformats.org/officeDocument/2006/relationships/numbering" Target="numbering.xml"/><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155</Pages>
  <Words>20433</Words>
  <Characters>21380</Characters>
  <Lines>0</Lines>
  <Paragraphs>0</Paragraphs>
  <TotalTime>1127</TotalTime>
  <ScaleCrop>false</ScaleCrop>
  <LinksUpToDate>false</LinksUpToDate>
  <CharactersWithSpaces>21635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2026-07-15T02:16:20Z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