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5715000" cy="1696085"/>
            <wp:effectExtent l="0" t="0" r="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15000" cy="1696641"/>
                    </a:xfrm>
                    <a:prstGeom prst="rect">
                      <a:avLst/>
                    </a:prstGeom>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5715000" cy="23215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15000" cy="2321719"/>
                    </a:xfrm>
                    <a:prstGeom prst="rect">
                      <a:avLst/>
                    </a:prstGeom>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18A3F270">
      <w:pPr>
        <w:pStyle w:val="16"/>
        <w:spacing w:after="40" w:line="276" w:lineRule="auto"/>
      </w:pPr>
      <w:r>
        <w:rPr>
          <w:rFonts w:ascii="微软雅黑" w:hAnsi="微软雅黑" w:eastAsia="微软雅黑"/>
          <w:b/>
          <w:color w:val="254061"/>
          <w:sz w:val="20"/>
        </w:rPr>
        <w:t>新增：</w:t>
      </w:r>
      <w:r>
        <w:rPr>
          <w:rFonts w:ascii="微软雅黑" w:hAnsi="微软雅黑" w:eastAsia="微软雅黑"/>
          <w:b w:val="0"/>
          <w:sz w:val="20"/>
        </w:rPr>
        <w:t>点击右上角新增创建新的侧滑入口，填写名称、路由、排序并上传图标。</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5715000" cy="23215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15000" cy="2321719"/>
                    </a:xfrm>
                    <a:prstGeom prst="rect">
                      <a:avLst/>
                    </a:prstGeom>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通过新增、编辑、删除维护入口列表；保存前检查路由、图标和排序。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5715000" cy="1875155"/>
            <wp:effectExtent l="0" t="0" r="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15000" cy="1875234"/>
                    </a:xfrm>
                    <a:prstGeom prst="rect">
                      <a:avLst/>
                    </a:prstGeom>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2"/>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5806440" cy="2889885"/>
            <wp:effectExtent l="0" t="0" r="381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5806440" cy="2890083"/>
                    </a:xfrm>
                    <a:prstGeom prst="rect">
                      <a:avLst/>
                    </a:prstGeom>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5897880" cy="2672715"/>
            <wp:effectExtent l="0" t="0" r="7620"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stretch>
                      <a:fillRect/>
                    </a:stretch>
                  </pic:blipFill>
                  <pic:spPr>
                    <a:xfrm>
                      <a:off x="0" y="0"/>
                      <a:ext cx="5897880" cy="2673140"/>
                    </a:xfrm>
                    <a:prstGeom prst="rect">
                      <a:avLst/>
                    </a:prstGeom>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5120640" cy="6169660"/>
            <wp:effectExtent l="0" t="0" r="381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a:stretch>
                      <a:fillRect/>
                    </a:stretch>
                  </pic:blipFill>
                  <pic:spPr>
                    <a:xfrm>
                      <a:off x="0" y="0"/>
                      <a:ext cx="5120640" cy="6169891"/>
                    </a:xfrm>
                    <a:prstGeom prst="rect">
                      <a:avLst/>
                    </a:prstGeom>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EC66326">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2EB46B84">
      <w:pPr>
        <w:jc w:val="center"/>
      </w:pPr>
      <w:r>
        <w:drawing>
          <wp:inline distT="0" distB="0" distL="114300" distR="114300">
            <wp:extent cx="5806440" cy="1687830"/>
            <wp:effectExtent l="0" t="0" r="381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5806440" cy="1688000"/>
                    </a:xfrm>
                    <a:prstGeom prst="rect">
                      <a:avLst/>
                    </a:prstGeom>
                  </pic:spPr>
                </pic:pic>
              </a:graphicData>
            </a:graphic>
          </wp:inline>
        </w:drawing>
      </w:r>
    </w:p>
    <w:p w14:paraId="4A646741">
      <w:pPr>
        <w:jc w:val="center"/>
      </w:pPr>
      <w:r>
        <w:rPr>
          <w:rFonts w:ascii="微软雅黑" w:hAnsi="微软雅黑" w:eastAsia="微软雅黑"/>
          <w:b w:val="0"/>
          <w:color w:val="707E92"/>
          <w:sz w:val="18"/>
        </w:rPr>
        <w:t>图：支付通道配置列表。</w:t>
      </w:r>
    </w:p>
    <w:p w14:paraId="648DF0AE">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02ACE695">
      <w:pPr>
        <w:jc w:val="center"/>
      </w:pPr>
      <w:r>
        <w:drawing>
          <wp:inline distT="0" distB="0" distL="114300" distR="114300">
            <wp:extent cx="5806440" cy="6962140"/>
            <wp:effectExtent l="0" t="0" r="3810" b="1016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5806440" cy="6962225"/>
                    </a:xfrm>
                    <a:prstGeom prst="rect">
                      <a:avLst/>
                    </a:prstGeom>
                  </pic:spPr>
                </pic:pic>
              </a:graphicData>
            </a:graphic>
          </wp:inline>
        </w:drawing>
      </w:r>
    </w:p>
    <w:p w14:paraId="234EC68D">
      <w:pPr>
        <w:jc w:val="center"/>
      </w:pPr>
      <w:r>
        <w:rPr>
          <w:rFonts w:ascii="微软雅黑" w:hAnsi="微软雅黑" w:eastAsia="微软雅黑"/>
          <w:b w:val="0"/>
          <w:color w:val="707E92"/>
          <w:sz w:val="18"/>
        </w:rPr>
        <w:t>图：新增在线支付平台参数配置。</w:t>
      </w:r>
    </w:p>
    <w:p w14:paraId="02554A87">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5CBC41E1">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7E420AE6">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79075BAD">
      <w:pPr>
        <w:pStyle w:val="16"/>
      </w:pPr>
      <w:r>
        <w:rPr>
          <w:rFonts w:ascii="微软雅黑" w:hAnsi="微软雅黑" w:eastAsia="微软雅黑"/>
          <w:b/>
          <w:color w:val="2F5597"/>
          <w:sz w:val="20"/>
        </w:rPr>
        <w:t>常用操作：</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7EB4EF9">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3"/>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pPr>
        <w:spacing w:after="60" w:line="276" w:lineRule="auto"/>
      </w:pPr>
      <w:r>
        <w:rPr>
          <w:rFonts w:ascii="微软雅黑" w:hAnsi="微软雅黑" w:eastAsia="微软雅黑"/>
          <w:b w:val="0"/>
          <w:sz w:val="20"/>
        </w:rPr>
        <w:t>平台公告用于查看平台发布的公告、通知和站内消息。</w:t>
      </w:r>
    </w:p>
    <w:p>
      <w:pPr>
        <w:spacing w:after="40"/>
        <w:jc w:val="center"/>
      </w:pPr>
      <w:r>
        <w:drawing>
          <wp:inline xmlns:a="http://schemas.openxmlformats.org/drawingml/2006/main" xmlns:pic="http://schemas.openxmlformats.org/drawingml/2006/picture">
            <wp:extent cx="5943600" cy="2228850"/>
            <wp:docPr id="45" name="Picture 4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943600" cy="2228850"/>
                    </a:xfrm>
                    <a:prstGeom prst="rect"/>
                  </pic:spPr>
                </pic:pic>
              </a:graphicData>
            </a:graphic>
          </wp:inline>
        </w:drawing>
      </w:r>
    </w:p>
    <w:p>
      <w:pPr>
        <w:pStyle w:val="15"/>
        <w:spacing w:after="120"/>
        <w:jc w:val="center"/>
      </w:pPr>
      <w:r>
        <w:rPr>
          <w:rFonts w:ascii="微软雅黑" w:hAnsi="微软雅黑" w:eastAsia="微软雅黑"/>
          <w:b w:val="0"/>
          <w:color w:val="707E92"/>
          <w:sz w:val="18"/>
        </w:rPr>
        <w:t>图：平台公告列表，用于查看公告通知和站内消息。</w:t>
      </w:r>
    </w:p>
    <w:p>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pPr>
        <w:pStyle w:val="16"/>
        <w:spacing w:after="60" w:line="276" w:lineRule="auto"/>
      </w:pPr>
      <w:r>
        <w:rPr>
          <w:rFonts w:ascii="微软雅黑" w:hAnsi="微软雅黑" w:eastAsia="微软雅黑"/>
          <w:b/>
          <w:color w:val="2F5597"/>
          <w:sz w:val="20"/>
        </w:rPr>
        <w:t>给平台提建议</w:t>
      </w:r>
      <w:r>
        <w:rPr>
          <w:rFonts w:ascii="微软雅黑" w:hAnsi="微软雅黑" w:eastAsia="微软雅黑"/>
          <w:b w:val="0"/>
          <w:sz w:val="20"/>
        </w:rPr>
        <w:t>：用于向平台提交产品、运营或系统使用建议。</w:t>
      </w:r>
    </w:p>
    <w:p>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：填写建议标题、建议内容和联系方式，提交后在列表查看处理状态。</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：建议内容应描述具体问题、使用场景和期望结果，便于平台跟进。</w:t>
      </w:r>
    </w:p>
    <w:p w14:paraId="239E6456">
      <w:pPr>
        <w:pStyle w:val="5"/>
        <w:keepNext/>
        <w:spacing w:before="180" w:after="100" w:line="259" w:lineRule="auto"/>
      </w:pPr>
      <w:r>
        <w:rPr>
          <w:rFonts w:ascii="微软雅黑" w:hAnsi="微软雅黑" w:eastAsia="微软雅黑"/>
          <w:b/>
          <w:color w:val="2F5597"/>
          <w:sz w:val="25"/>
        </w:rPr>
        <w:t>会员投诉列表</w:t>
      </w:r>
    </w:p>
    <w:p>
      <w:pPr>
        <w:pStyle w:val="16"/>
        <w:spacing w:after="60" w:line="276" w:lineRule="auto"/>
      </w:pPr>
      <w:r>
        <w:rPr>
          <w:rFonts w:ascii="微软雅黑" w:hAnsi="微软雅黑" w:eastAsia="微软雅黑"/>
          <w:b/>
          <w:color w:val="2F5597"/>
          <w:sz w:val="20"/>
        </w:rPr>
        <w:t>会员投诉列表</w:t>
      </w:r>
      <w:r>
        <w:rPr>
          <w:rFonts w:ascii="微软雅黑" w:hAnsi="微软雅黑" w:eastAsia="微软雅黑"/>
          <w:b w:val="0"/>
          <w:sz w:val="20"/>
        </w:rPr>
        <w:t>：用于查看玩家提交的投诉、意见和处理状态。</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：按会员、状态或时间筛选投诉，查看详情并记录处理结果。</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：处理投诉前先核对会员账号、问题类型和相关订单或活动记录。</w:t>
      </w:r>
    </w:p>
    <w:p w14:paraId="03EC7769">
      <w:pPr>
        <w:pStyle w:val="5"/>
        <w:keepNext/>
        <w:spacing w:before="180" w:after="100" w:line="259" w:lineRule="auto"/>
      </w:pPr>
      <w:r>
        <w:rPr>
          <w:rFonts w:ascii="微软雅黑" w:hAnsi="微软雅黑" w:eastAsia="微软雅黑"/>
          <w:b/>
          <w:color w:val="2F5597"/>
          <w:sz w:val="25"/>
        </w:rPr>
        <w:t>消息推送</w:t>
      </w:r>
    </w:p>
    <w:p>
      <w:pPr>
        <w:spacing w:after="60" w:line="276" w:lineRule="auto"/>
      </w:pPr>
      <w:r>
        <w:rPr>
          <w:rFonts w:ascii="微软雅黑" w:hAnsi="微软雅黑" w:eastAsia="微软雅黑"/>
          <w:b w:val="0"/>
          <w:sz w:val="20"/>
        </w:rPr>
        <w:t>消息推送用于创建和管理面向玩家展示的消息、公告和跑马灯。</w:t>
      </w:r>
    </w:p>
    <w:p>
      <w:pPr>
        <w:spacing w:after="40"/>
        <w:jc w:val="center"/>
      </w:pPr>
      <w:r>
        <w:drawing>
          <wp:inline xmlns:a="http://schemas.openxmlformats.org/drawingml/2006/main" xmlns:pic="http://schemas.openxmlformats.org/drawingml/2006/picture">
            <wp:extent cx="5943600" cy="2515149"/>
            <wp:docPr id="46" name="Picture 46"/>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943600" cy="2515149"/>
                    </a:xfrm>
                    <a:prstGeom prst="rect"/>
                  </pic:spPr>
                </pic:pic>
              </a:graphicData>
            </a:graphic>
          </wp:inline>
        </w:drawing>
      </w:r>
    </w:p>
    <w:p>
      <w:pPr>
        <w:pStyle w:val="15"/>
        <w:spacing w:after="120"/>
        <w:jc w:val="center"/>
      </w:pPr>
      <w:r>
        <w:rPr>
          <w:rFonts w:ascii="微软雅黑" w:hAnsi="微软雅黑" w:eastAsia="微软雅黑"/>
          <w:b w:val="0"/>
          <w:color w:val="707E92"/>
          <w:sz w:val="18"/>
        </w:rPr>
        <w:t>图：消息推送列表，用于管理消息、公告和跑马灯。</w:t>
      </w:r>
    </w:p>
    <w:p>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5"/>
        </w:rPr>
        <w:t>宣传管理</w:t>
      </w:r>
    </w:p>
    <w:p>
      <w:pPr>
        <w:pStyle w:val="16"/>
        <w:spacing w:after="60" w:line="276" w:lineRule="auto"/>
      </w:pPr>
      <w:r>
        <w:rPr>
          <w:rFonts w:ascii="微软雅黑" w:hAnsi="微软雅黑" w:eastAsia="微软雅黑"/>
          <w:b/>
          <w:color w:val="2F5597"/>
          <w:sz w:val="20"/>
        </w:rPr>
        <w:t>宣传管理</w:t>
      </w:r>
      <w:r>
        <w:rPr>
          <w:rFonts w:ascii="微软雅黑" w:hAnsi="微软雅黑" w:eastAsia="微软雅黑"/>
          <w:b w:val="0"/>
          <w:sz w:val="20"/>
        </w:rPr>
        <w:t>：用于维护站点宣传内容、推广素材和展示状态。</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：新增、编辑、上架、下架宣传内容，检查标题、图片和跳转地址。</w:t>
      </w:r>
    </w:p>
    <w:p>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：发布前确认素材清晰、链接有效，内容与当前活动或站点配置一致。</w:t>
      </w:r>
    </w:p>
    <w:p w14:paraId="49D66ED6">
      <w:pPr>
        <w:pStyle w:val="5"/>
        <w:keepNext/>
        <w:spacing w:before="180" w:after="100" w:line="259" w:lineRule="auto"/>
      </w:pPr>
      <w:r>
        <w:rPr>
          <w:rFonts w:ascii="微软雅黑" w:hAnsi="微软雅黑" w:eastAsia="微软雅黑"/>
          <w:b/>
          <w:color w:val="2F5597"/>
          <w:sz w:val="25"/>
        </w:rPr>
        <w:t>客服中心</w:t>
      </w:r>
    </w:p>
    <w:p>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pPr>
        <w:spacing w:after="40"/>
        <w:jc w:val="center"/>
      </w:pPr>
      <w:r>
        <w:drawing>
          <wp:inline xmlns:a="http://schemas.openxmlformats.org/drawingml/2006/main" xmlns:pic="http://schemas.openxmlformats.org/drawingml/2006/picture">
            <wp:extent cx="5897880" cy="2737294"/>
            <wp:docPr id="38" name="Picture 38"/>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897880" cy="2737294"/>
                    </a:xfrm>
                    <a:prstGeom prst="rect"/>
                  </pic:spPr>
                </pic:pic>
              </a:graphicData>
            </a:graphic>
          </wp:inline>
        </w:drawing>
      </w:r>
    </w:p>
    <w:p>
      <w:pPr>
        <w:pStyle w:val="15"/>
        <w:spacing w:after="120"/>
        <w:jc w:val="center"/>
      </w:pPr>
      <w:r>
        <w:rPr>
          <w:rFonts w:ascii="微软雅黑" w:hAnsi="微软雅黑" w:eastAsia="微软雅黑"/>
          <w:b w:val="0"/>
          <w:color w:val="707E92"/>
          <w:sz w:val="18"/>
        </w:rPr>
        <w:t>图：客服中心页面，用于查看会话队列、接入会员咨询并发送客服回复。</w:t>
      </w:r>
    </w:p>
    <w:p>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：问题处理完成后可继续在当前会话反馈结果；如涉及风控、财务或人工审核，需说明已转交并保留会话记录便于跟进。</w:t>
      </w:r>
    </w:p>
    <w:bookmarkEnd w:id="0"/>
    <w:p w14:paraId="353F86C3">
      <w:pPr>
        <w:pStyle w:val="5"/>
        <w:keepNext/>
        <w:spacing w:before="180" w:after="100" w:line="259" w:lineRule="auto"/>
      </w:pPr>
      <w:r>
        <w:rPr>
          <w:rFonts w:ascii="微软雅黑" w:hAnsi="微软雅黑" w:eastAsia="微软雅黑"/>
          <w:b/>
          <w:color w:val="2F5597"/>
          <w:sz w:val="25"/>
        </w:rPr>
        <w:t>任务中心</w:t>
      </w:r>
    </w:p>
    <w:p>
      <w:pPr>
        <w:pStyle w:val="16"/>
        <w:spacing w:after="60" w:line="276" w:lineRule="auto"/>
      </w:pPr>
      <w:r>
        <w:rPr>
          <w:rFonts w:ascii="微软雅黑" w:hAnsi="微软雅黑" w:eastAsia="微软雅黑"/>
          <w:b/>
          <w:color w:val="2F5597"/>
          <w:sz w:val="20"/>
        </w:rPr>
        <w:t>任务中心</w:t>
      </w:r>
      <w:r>
        <w:rPr>
          <w:rFonts w:ascii="微软雅黑" w:hAnsi="微软雅黑" w:eastAsia="微软雅黑"/>
          <w:b w:val="0"/>
          <w:sz w:val="20"/>
        </w:rPr>
        <w:t>：用于配置玩家任务、查看任务状态和管理任务奖励。</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：新增或编辑任务，设置任务条件、奖励、时间范围和启停状态。</w:t>
      </w:r>
    </w:p>
    <w:p>
      <w:pPr>
        <w:pStyle w:val="16"/>
        <w:spacing w:after="60" w:line="276" w:lineRule="auto"/>
      </w:pPr>
      <w:r>
        <w:rPr>
          <w:rFonts w:ascii="微软雅黑" w:hAnsi="微软雅黑" w:eastAsia="微软雅黑"/>
          <w:b/>
          <w:color w:val="2F5597"/>
          <w:sz w:val="20"/>
        </w:rPr>
        <w:t>上线前检查</w:t>
      </w:r>
      <w:r>
        <w:rPr>
          <w:rFonts w:ascii="微软雅黑" w:hAnsi="微软雅黑" w:eastAsia="微软雅黑"/>
          <w:b w:val="0"/>
          <w:sz w:val="20"/>
        </w:rPr>
        <w:t>：上线前确认任务条件、奖励发放规则和活动时间，避免重复奖励或无法完成。</w:t>
      </w:r>
    </w:p>
    <w:p w14:paraId="45A28C8D">
      <w:pPr>
        <w:pStyle w:val="5"/>
        <w:keepNext/>
        <w:spacing w:before="180" w:after="100" w:line="259" w:lineRule="auto"/>
      </w:pPr>
      <w:r>
        <w:rPr>
          <w:rFonts w:ascii="微软雅黑" w:hAnsi="微软雅黑" w:eastAsia="微软雅黑"/>
          <w:b/>
          <w:color w:val="2F5597"/>
          <w:sz w:val="25"/>
        </w:rPr>
        <w:t>落地页管理</w:t>
      </w:r>
    </w:p>
    <w:p>
      <w:pPr>
        <w:pStyle w:val="16"/>
        <w:spacing w:after="60" w:line="276" w:lineRule="auto"/>
      </w:pPr>
      <w:r>
        <w:rPr>
          <w:rFonts w:ascii="微软雅黑" w:hAnsi="微软雅黑" w:eastAsia="微软雅黑"/>
          <w:b/>
          <w:color w:val="2F5597"/>
          <w:sz w:val="20"/>
        </w:rPr>
        <w:t>落地页管理</w:t>
      </w:r>
      <w:r>
        <w:rPr>
          <w:rFonts w:ascii="微软雅黑" w:hAnsi="微软雅黑" w:eastAsia="微软雅黑"/>
          <w:b w:val="0"/>
          <w:sz w:val="20"/>
        </w:rPr>
        <w:t>：用于维护推广落地页、页面模板和投放链接。</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：新增、编辑、预览、启用或停用落地页，配置标题、素材和跳转地址。</w:t>
      </w:r>
    </w:p>
    <w:p>
      <w:pPr>
        <w:pStyle w:val="16"/>
        <w:spacing w:after="60" w:line="276" w:lineRule="auto"/>
      </w:pPr>
      <w:r>
        <w:rPr>
          <w:rFonts w:ascii="微软雅黑" w:hAnsi="微软雅黑" w:eastAsia="微软雅黑"/>
          <w:b/>
          <w:color w:val="2F5597"/>
          <w:sz w:val="20"/>
        </w:rPr>
        <w:t>投放前检查</w:t>
      </w:r>
      <w:r>
        <w:rPr>
          <w:rFonts w:ascii="微软雅黑" w:hAnsi="微软雅黑" w:eastAsia="微软雅黑"/>
          <w:b w:val="0"/>
          <w:sz w:val="20"/>
        </w:rPr>
        <w:t>：投放前检查页面内容、渠道归属和跳转链路，确保推广链接可访问。</w:t>
      </w:r>
    </w:p>
    <w:p w14:paraId="6D87C06F">
      <w:pPr>
        <w:pStyle w:val="5"/>
        <w:keepNext/>
        <w:spacing w:before="180" w:after="100" w:line="259" w:lineRule="auto"/>
      </w:pPr>
      <w:r>
        <w:rPr>
          <w:rFonts w:ascii="微软雅黑" w:hAnsi="微软雅黑" w:eastAsia="微软雅黑"/>
          <w:b/>
          <w:color w:val="2F5597"/>
          <w:sz w:val="25"/>
        </w:rPr>
        <w:t>活动排行统计</w:t>
      </w:r>
    </w:p>
    <w:p>
      <w:pPr>
        <w:pStyle w:val="16"/>
        <w:spacing w:after="60" w:line="276" w:lineRule="auto"/>
      </w:pPr>
      <w:r>
        <w:rPr>
          <w:rFonts w:ascii="微软雅黑" w:hAnsi="微软雅黑" w:eastAsia="微软雅黑"/>
          <w:b/>
          <w:color w:val="2F5597"/>
          <w:sz w:val="20"/>
        </w:rPr>
        <w:t>活动排行统计</w:t>
      </w:r>
      <w:r>
        <w:rPr>
          <w:rFonts w:ascii="微软雅黑" w:hAnsi="微软雅黑" w:eastAsia="微软雅黑"/>
          <w:b w:val="0"/>
          <w:sz w:val="20"/>
        </w:rPr>
        <w:t>：用于查看活动参与、排名和奖励相关统计。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：按活动、时间或玩家筛选数据，查看排行、参与人数和奖励发放情况。</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：统计结果用于活动复盘，需结合活动规则和奖励记录一起核对。</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pPr>
        <w:pStyle w:val="16"/>
        <w:spacing w:after="60" w:line="276" w:lineRule="auto"/>
      </w:pPr>
      <w:r>
        <w:rPr>
          <w:rFonts w:ascii="微软雅黑" w:hAnsi="微软雅黑" w:eastAsia="微软雅黑"/>
          <w:b/>
          <w:color w:val="2F5597"/>
          <w:sz w:val="20"/>
        </w:rPr>
        <w:t>优惠活动列表</w:t>
      </w:r>
      <w:r>
        <w:rPr>
          <w:rFonts w:ascii="微软雅黑" w:hAnsi="微软雅黑" w:eastAsia="微软雅黑"/>
          <w:b w:val="0"/>
          <w:sz w:val="20"/>
        </w:rPr>
        <w:t>：用于管理站点优惠活动和活动状态。</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：查询活动，新增、编辑、复制、启用、停用或查看活动数据。</w:t>
      </w:r>
    </w:p>
    <w:p>
      <w:pPr>
        <w:pStyle w:val="16"/>
        <w:spacing w:after="60" w:line="276" w:lineRule="auto"/>
      </w:pPr>
      <w:r>
        <w:rPr>
          <w:rFonts w:ascii="微软雅黑" w:hAnsi="微软雅黑" w:eastAsia="微软雅黑"/>
          <w:b/>
          <w:color w:val="2F5597"/>
          <w:sz w:val="20"/>
        </w:rPr>
        <w:t>上线前检查</w:t>
      </w:r>
      <w:r>
        <w:rPr>
          <w:rFonts w:ascii="微软雅黑" w:hAnsi="微软雅黑" w:eastAsia="微软雅黑"/>
          <w:b w:val="0"/>
          <w:sz w:val="20"/>
        </w:rPr>
        <w:t>：上线前确认活动时间、参与条件、奖励规则和展示入口。</w:t>
      </w:r>
    </w:p>
    <w:p w14:paraId="4E0C8557">
      <w:pPr>
        <w:pStyle w:val="5"/>
        <w:keepNext/>
        <w:spacing w:before="180" w:after="100" w:line="259" w:lineRule="auto"/>
      </w:pPr>
      <w:r>
        <w:rPr>
          <w:rFonts w:ascii="微软雅黑" w:hAnsi="微软雅黑" w:eastAsia="微软雅黑"/>
          <w:b/>
          <w:color w:val="2F5597"/>
          <w:sz w:val="25"/>
        </w:rPr>
        <w:t>幸运转盘配置</w:t>
      </w:r>
    </w:p>
    <w:p>
      <w:pPr>
        <w:pStyle w:val="16"/>
        <w:spacing w:after="60" w:line="276" w:lineRule="auto"/>
      </w:pPr>
      <w:r>
        <w:rPr>
          <w:rFonts w:ascii="微软雅黑" w:hAnsi="微软雅黑" w:eastAsia="微软雅黑"/>
          <w:b/>
          <w:color w:val="2F5597"/>
          <w:sz w:val="20"/>
        </w:rPr>
        <w:t>幸运转盘配置</w:t>
      </w:r>
      <w:r>
        <w:rPr>
          <w:rFonts w:ascii="微软雅黑" w:hAnsi="微软雅黑" w:eastAsia="微软雅黑"/>
          <w:b w:val="0"/>
          <w:sz w:val="20"/>
        </w:rPr>
        <w:t>：用于配置幸运转盘活动、奖品和抽奖规则。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：设置奖品、中奖概率、参与条件、活动时间和启停状态。</w:t>
      </w:r>
    </w:p>
    <w:p>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：发布前核对奖品库存、概率配置和奖励发放方式。</w:t>
      </w:r>
    </w:p>
    <w:p w14:paraId="736D48AC">
      <w:pPr>
        <w:pStyle w:val="5"/>
        <w:keepNext/>
        <w:spacing w:before="180" w:after="100" w:line="259" w:lineRule="auto"/>
      </w:pPr>
      <w:r>
        <w:rPr>
          <w:rFonts w:ascii="微软雅黑" w:hAnsi="微软雅黑" w:eastAsia="微软雅黑"/>
          <w:b/>
          <w:color w:val="2F5597"/>
          <w:sz w:val="25"/>
        </w:rPr>
        <w:t>新增活动</w:t>
      </w:r>
    </w:p>
    <w:p>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：用于创建新的优惠活动。</w:t>
      </w:r>
    </w:p>
    <w:p>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：选择活动类型，填写活动信息、规则、奖励、展示素材和时间范围。</w:t>
      </w:r>
    </w:p>
    <w:p>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：提交前逐项检查必填字段、奖励条件和前台展示文案。</w:t>
      </w:r>
    </w:p>
    <w:p w14:paraId="0BFA7C18">
      <w:pPr>
        <w:pStyle w:val="5"/>
        <w:keepNext/>
        <w:spacing w:before="180" w:after="100" w:line="259" w:lineRule="auto"/>
      </w:pPr>
      <w:r>
        <w:rPr>
          <w:rFonts w:ascii="微软雅黑" w:hAnsi="微软雅黑" w:eastAsia="微软雅黑"/>
          <w:b/>
          <w:color w:val="2F5597"/>
          <w:sz w:val="25"/>
        </w:rPr>
        <w:t>活动分析</w:t>
      </w:r>
    </w:p>
    <w:p>
      <w:pPr>
        <w:pStyle w:val="16"/>
        <w:spacing w:after="60" w:line="276" w:lineRule="auto"/>
      </w:pPr>
      <w:r>
        <w:rPr>
          <w:rFonts w:ascii="微软雅黑" w:hAnsi="微软雅黑" w:eastAsia="微软雅黑"/>
          <w:b/>
          <w:color w:val="2F5597"/>
          <w:sz w:val="20"/>
        </w:rPr>
        <w:t>活动分析</w:t>
      </w:r>
      <w:r>
        <w:rPr>
          <w:rFonts w:ascii="微软雅黑" w:hAnsi="微软雅黑" w:eastAsia="微软雅黑"/>
          <w:b w:val="0"/>
          <w:sz w:val="20"/>
        </w:rPr>
        <w:t>：用于查看活动效果和玩家参与数据。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：按活动和时间筛选，查看参与人数、领取金额、转化效果等指标。</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：分析时结合活动成本、充值投注表现和奖励发放记录判断效果。</w:t>
      </w:r>
    </w:p>
    <w:p w14:paraId="4888D1C6">
      <w:pPr>
        <w:pStyle w:val="5"/>
        <w:keepNext/>
        <w:spacing w:before="180" w:after="100" w:line="259" w:lineRule="auto"/>
      </w:pPr>
      <w:r>
        <w:rPr>
          <w:rFonts w:ascii="微软雅黑" w:hAnsi="微软雅黑" w:eastAsia="微软雅黑"/>
          <w:b/>
          <w:color w:val="2F5597"/>
          <w:sz w:val="25"/>
        </w:rPr>
        <w:t>优惠数据报表</w:t>
      </w:r>
    </w:p>
    <w:p>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14F5B3AE">
      <w:pPr>
        <w:pStyle w:val="5"/>
        <w:keepNext/>
        <w:spacing w:before="180" w:after="100" w:line="259" w:lineRule="auto"/>
      </w:pPr>
      <w:r>
        <w:rPr>
          <w:rFonts w:ascii="微软雅黑" w:hAnsi="微软雅黑" w:eastAsia="微软雅黑"/>
          <w:b/>
          <w:color w:val="2F5597"/>
          <w:sz w:val="25"/>
        </w:rPr>
        <w:t>票券中心</w:t>
      </w:r>
    </w:p>
    <w:p>
      <w:pPr>
        <w:pStyle w:val="16"/>
        <w:spacing w:after="60" w:line="276" w:lineRule="auto"/>
      </w:pPr>
      <w:r>
        <w:rPr>
          <w:rFonts w:ascii="微软雅黑" w:hAnsi="微软雅黑" w:eastAsia="微软雅黑"/>
          <w:b/>
          <w:color w:val="2F5597"/>
          <w:sz w:val="20"/>
        </w:rPr>
        <w:t>票券中心</w:t>
      </w:r>
      <w:r>
        <w:rPr>
          <w:rFonts w:ascii="微软雅黑" w:hAnsi="微软雅黑" w:eastAsia="微软雅黑"/>
          <w:b w:val="0"/>
          <w:sz w:val="20"/>
        </w:rPr>
        <w:t>：用于管理优惠券、票券模板和发放规则。</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：新增、编辑、启用、停用票券，配置面额、使用门槛和有效期。</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：发券前确认适用范围、有效期和使用限制，避免与活动规则冲突。</w:t>
      </w:r>
    </w:p>
    <w:p w14:paraId="06B5E40D">
      <w:pPr>
        <w:pStyle w:val="5"/>
        <w:keepNext/>
        <w:spacing w:before="180" w:after="100" w:line="259" w:lineRule="auto"/>
      </w:pPr>
      <w:r>
        <w:rPr>
          <w:rFonts w:ascii="微软雅黑" w:hAnsi="微软雅黑" w:eastAsia="微软雅黑"/>
          <w:b/>
          <w:color w:val="2F5597"/>
          <w:sz w:val="25"/>
        </w:rPr>
        <w:t>票券使用记录</w:t>
      </w:r>
    </w:p>
    <w:p>
      <w:pPr>
        <w:pStyle w:val="16"/>
        <w:spacing w:after="60" w:line="276" w:lineRule="auto"/>
      </w:pPr>
      <w:r>
        <w:rPr>
          <w:rFonts w:ascii="微软雅黑" w:hAnsi="微软雅黑" w:eastAsia="微软雅黑"/>
          <w:b/>
          <w:color w:val="2F5597"/>
          <w:sz w:val="20"/>
        </w:rPr>
        <w:t>票券使用记录</w:t>
      </w:r>
      <w:r>
        <w:rPr>
          <w:rFonts w:ascii="微软雅黑" w:hAnsi="微软雅黑" w:eastAsia="微软雅黑"/>
          <w:b w:val="0"/>
          <w:sz w:val="20"/>
        </w:rPr>
        <w:t>：用于查询玩家票券领取和使用记录。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：按玩家、票券、状态或时间筛选，查看使用时间和关联活动。</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：排查奖励问题时可结合票券状态、账变记录和活动记录核对。</w:t>
      </w:r>
    </w:p>
    <w:p w14:paraId="211BE088">
      <w:pPr>
        <w:pStyle w:val="5"/>
        <w:keepNext/>
        <w:spacing w:before="180" w:after="100" w:line="259" w:lineRule="auto"/>
      </w:pPr>
      <w:r>
        <w:rPr>
          <w:rFonts w:ascii="微软雅黑" w:hAnsi="微软雅黑" w:eastAsia="微软雅黑"/>
          <w:b/>
          <w:color w:val="2F5597"/>
          <w:sz w:val="25"/>
        </w:rPr>
        <w:t>全局配置</w:t>
      </w:r>
    </w:p>
    <w:p>
      <w:pPr>
        <w:pStyle w:val="16"/>
        <w:spacing w:after="60" w:line="276" w:lineRule="auto"/>
      </w:pPr>
      <w:r>
        <w:rPr>
          <w:rFonts w:ascii="微软雅黑" w:hAnsi="微软雅黑" w:eastAsia="微软雅黑"/>
          <w:b/>
          <w:color w:val="2F5597"/>
          <w:sz w:val="20"/>
        </w:rPr>
        <w:t>全局配置</w:t>
      </w:r>
      <w:r>
        <w:rPr>
          <w:rFonts w:ascii="微软雅黑" w:hAnsi="微软雅黑" w:eastAsia="微软雅黑"/>
          <w:b w:val="0"/>
          <w:sz w:val="20"/>
        </w:rPr>
        <w:t>：用于维护优惠活动相关的全局规则和默认参数。</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：查看并编辑活动通用开关、限制条件和基础配置。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：全局配置会影响多个活动，保存前需确认影响范围。</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pPr>
      <w:r>
        <w:rPr>
          <w:rFonts w:ascii="微软雅黑" w:hAnsi="微软雅黑" w:eastAsia="微软雅黑"/>
          <w:b/>
          <w:color w:val="2F5597"/>
          <w:sz w:val="25"/>
        </w:rPr>
        <w:t>会员提现设置</w:t>
      </w:r>
    </w:p>
    <w:p>
      <w:pPr>
        <w:pStyle w:val="16"/>
        <w:spacing w:after="60" w:line="276" w:lineRule="auto"/>
      </w:pPr>
      <w:r>
        <w:rPr>
          <w:rFonts w:ascii="微软雅黑" w:hAnsi="微软雅黑" w:eastAsia="微软雅黑"/>
          <w:b/>
          <w:color w:val="2F5597"/>
          <w:sz w:val="20"/>
        </w:rPr>
        <w:t>会员提现设置</w:t>
      </w:r>
      <w:r>
        <w:rPr>
          <w:rFonts w:ascii="微软雅黑" w:hAnsi="微软雅黑" w:eastAsia="微软雅黑"/>
          <w:b w:val="0"/>
          <w:sz w:val="20"/>
        </w:rPr>
        <w:t>：用于配置会员提现规则和限制。</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：设置提现额度、次数、手续费、审核规则和启停状态。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：调整后会影响玩家提现体验，需与风控和财务口径一致。</w:t>
      </w:r>
    </w:p>
    <w:p w14:paraId="233CA22C">
      <w:pPr>
        <w:pStyle w:val="5"/>
        <w:keepNext/>
        <w:spacing w:before="180" w:after="100" w:line="259" w:lineRule="auto"/>
      </w:pPr>
      <w:r>
        <w:rPr>
          <w:rFonts w:ascii="微软雅黑" w:hAnsi="微软雅黑" w:eastAsia="微软雅黑"/>
          <w:b/>
          <w:color w:val="2F5597"/>
          <w:sz w:val="25"/>
        </w:rPr>
        <w:t>会员充值配置</w:t>
      </w:r>
    </w:p>
    <w:p>
      <w:pPr>
        <w:pStyle w:val="16"/>
        <w:spacing w:after="60" w:line="276" w:lineRule="auto"/>
      </w:pPr>
      <w:r>
        <w:rPr>
          <w:rFonts w:ascii="微软雅黑" w:hAnsi="微软雅黑" w:eastAsia="微软雅黑"/>
          <w:b/>
          <w:color w:val="2F5597"/>
          <w:sz w:val="20"/>
        </w:rPr>
        <w:t>会员充值配置</w:t>
      </w:r>
      <w:r>
        <w:rPr>
          <w:rFonts w:ascii="微软雅黑" w:hAnsi="微软雅黑" w:eastAsia="微软雅黑"/>
          <w:b w:val="0"/>
          <w:sz w:val="20"/>
        </w:rPr>
        <w:t>：用于配置会员充值入口、限额和展示规则。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：维护充值金额、通道展示、优惠提示和启停状态。</w:t>
      </w:r>
    </w:p>
    <w:p>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：保存前确认充值通道可用、金额范围合理、前台展示正确。</w:t>
      </w:r>
    </w:p>
    <w:p w14:paraId="1C845537">
      <w:pPr>
        <w:pStyle w:val="5"/>
        <w:keepNext/>
        <w:spacing w:before="180" w:after="100" w:line="259" w:lineRule="auto"/>
      </w:pPr>
      <w:r>
        <w:rPr>
          <w:rFonts w:ascii="微软雅黑" w:hAnsi="微软雅黑" w:eastAsia="微软雅黑"/>
          <w:b/>
          <w:color w:val="2F5597"/>
          <w:sz w:val="25"/>
        </w:rPr>
        <w:t>充值订单列表</w:t>
      </w:r>
    </w:p>
    <w:p>
      <w:pPr>
        <w:pStyle w:val="16"/>
        <w:spacing w:after="60" w:line="276" w:lineRule="auto"/>
      </w:pPr>
      <w:r>
        <w:rPr>
          <w:rFonts w:ascii="微软雅黑" w:hAnsi="微软雅黑" w:eastAsia="微软雅黑"/>
          <w:b/>
          <w:color w:val="2F5597"/>
          <w:sz w:val="20"/>
        </w:rPr>
        <w:t>充值订单列表</w:t>
      </w:r>
      <w:r>
        <w:rPr>
          <w:rFonts w:ascii="微软雅黑" w:hAnsi="微软雅黑" w:eastAsia="微软雅黑"/>
          <w:b w:val="0"/>
          <w:sz w:val="20"/>
        </w:rPr>
        <w:t>：用于查询会员充值订单和订单状态。</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：按会员、订单号、通道、状态或时间筛选，查看订单详情。</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：处理充值问题时应核对支付状态、到账状态和账变记录。</w:t>
      </w:r>
    </w:p>
    <w:p w14:paraId="55C231D4">
      <w:pPr>
        <w:pStyle w:val="5"/>
        <w:keepNext/>
        <w:spacing w:before="180" w:after="100" w:line="259" w:lineRule="auto"/>
      </w:pPr>
      <w:r>
        <w:rPr>
          <w:rFonts w:ascii="微软雅黑" w:hAnsi="微软雅黑" w:eastAsia="微软雅黑"/>
          <w:b/>
          <w:color w:val="2F5597"/>
          <w:sz w:val="25"/>
        </w:rPr>
        <w:t>提现订单列表</w:t>
      </w:r>
    </w:p>
    <w:p>
      <w:pPr>
        <w:pStyle w:val="16"/>
        <w:spacing w:after="60" w:line="276" w:lineRule="auto"/>
      </w:pPr>
      <w:r>
        <w:rPr>
          <w:rFonts w:ascii="微软雅黑" w:hAnsi="微软雅黑" w:eastAsia="微软雅黑"/>
          <w:b/>
          <w:color w:val="2F5597"/>
          <w:sz w:val="20"/>
        </w:rPr>
        <w:t>提现订单列表</w:t>
      </w:r>
      <w:r>
        <w:rPr>
          <w:rFonts w:ascii="微软雅黑" w:hAnsi="微软雅黑" w:eastAsia="微软雅黑"/>
          <w:b w:val="0"/>
          <w:sz w:val="20"/>
        </w:rPr>
        <w:t>：用于查询会员提现订单和处理进度。</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：按会员、订单号、状态或时间筛选，查看审核和出款信息。</w:t>
      </w:r>
    </w:p>
    <w:p>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：处理前核对账户信息、风控结果和资金状态。</w:t>
      </w:r>
    </w:p>
    <w:p w14:paraId="738BC6AE">
      <w:pPr>
        <w:pStyle w:val="5"/>
        <w:keepNext/>
        <w:spacing w:before="180" w:after="100" w:line="259" w:lineRule="auto"/>
      </w:pPr>
      <w:r>
        <w:rPr>
          <w:rFonts w:ascii="微软雅黑" w:hAnsi="微软雅黑" w:eastAsia="微软雅黑"/>
          <w:b/>
          <w:color w:val="2F5597"/>
          <w:sz w:val="25"/>
        </w:rPr>
        <w:t>提现风控审核</w:t>
      </w:r>
    </w:p>
    <w:p>
      <w:pPr>
        <w:pStyle w:val="16"/>
        <w:spacing w:after="60" w:line="276" w:lineRule="auto"/>
      </w:pPr>
      <w:r>
        <w:rPr>
          <w:rFonts w:ascii="微软雅黑" w:hAnsi="微软雅黑" w:eastAsia="微软雅黑"/>
          <w:b/>
          <w:color w:val="2F5597"/>
          <w:sz w:val="20"/>
        </w:rPr>
        <w:t>提现风控审核</w:t>
      </w:r>
      <w:r>
        <w:rPr>
          <w:rFonts w:ascii="微软雅黑" w:hAnsi="微软雅黑" w:eastAsia="微软雅黑"/>
          <w:b w:val="0"/>
          <w:sz w:val="20"/>
        </w:rPr>
        <w:t>：用于处理触发风控的提现订单。</w:t>
      </w:r>
    </w:p>
    <w:p>
      <w:pPr>
        <w:pStyle w:val="16"/>
        <w:spacing w:after="60" w:line="276" w:lineRule="auto"/>
      </w:pPr>
      <w:r>
        <w:rPr>
          <w:rFonts w:ascii="微软雅黑" w:hAnsi="微软雅黑" w:eastAsia="微软雅黑"/>
          <w:b/>
          <w:color w:val="2F5597"/>
          <w:sz w:val="20"/>
        </w:rPr>
        <w:t>详情查看</w:t>
      </w:r>
      <w:r>
        <w:rPr>
          <w:rFonts w:ascii="微软雅黑" w:hAnsi="微软雅黑" w:eastAsia="微软雅黑"/>
          <w:b w:val="0"/>
          <w:sz w:val="20"/>
        </w:rPr>
        <w:t>：查看风控原因、会员信息和订单详情，执行通过、拒绝或补充审核。</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：审核结果会影响资金出款，需按风控规则和财务要求处理。</w:t>
      </w:r>
    </w:p>
    <w:p w14:paraId="0761347B">
      <w:pPr>
        <w:pStyle w:val="5"/>
        <w:keepNext/>
        <w:spacing w:before="180" w:after="100" w:line="259" w:lineRule="auto"/>
      </w:pPr>
      <w:r>
        <w:rPr>
          <w:rFonts w:ascii="微软雅黑" w:hAnsi="微软雅黑" w:eastAsia="微软雅黑"/>
          <w:b/>
          <w:color w:val="2F5597"/>
          <w:sz w:val="25"/>
        </w:rPr>
        <w:t>支付通道数据</w:t>
      </w:r>
    </w:p>
    <w:p>
      <w:pPr>
        <w:pStyle w:val="16"/>
        <w:spacing w:after="60" w:line="276" w:lineRule="auto"/>
      </w:pPr>
      <w:r>
        <w:rPr>
          <w:rFonts w:ascii="微软雅黑" w:hAnsi="微软雅黑" w:eastAsia="微软雅黑"/>
          <w:b/>
          <w:color w:val="2F5597"/>
          <w:sz w:val="20"/>
        </w:rPr>
        <w:t>支付通道数据</w:t>
      </w:r>
      <w:r>
        <w:rPr>
          <w:rFonts w:ascii="微软雅黑" w:hAnsi="微软雅黑" w:eastAsia="微软雅黑"/>
          <w:b w:val="0"/>
          <w:sz w:val="20"/>
        </w:rPr>
        <w:t>：用于查看支付通道的交易和成功率数据。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：按通道、时间或状态筛选，查看充值笔数、金额和成功率。</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：用于判断通道质量，异常时联系通道配置或财务人员处理。</w:t>
      </w:r>
    </w:p>
    <w:p w14:paraId="0CF38EB6">
      <w:pPr>
        <w:pStyle w:val="5"/>
        <w:keepNext/>
        <w:spacing w:before="180" w:after="100" w:line="259" w:lineRule="auto"/>
      </w:pPr>
      <w:r>
        <w:rPr>
          <w:rFonts w:ascii="微软雅黑" w:hAnsi="微软雅黑" w:eastAsia="微软雅黑"/>
          <w:b/>
          <w:color w:val="2F5597"/>
          <w:sz w:val="25"/>
        </w:rPr>
        <w:t>人工加扣款</w:t>
      </w:r>
    </w:p>
    <w:p>
      <w:pPr>
        <w:pStyle w:val="16"/>
        <w:spacing w:after="60" w:line="276" w:lineRule="auto"/>
      </w:pPr>
      <w:r>
        <w:rPr>
          <w:rFonts w:ascii="微软雅黑" w:hAnsi="微软雅黑" w:eastAsia="微软雅黑"/>
          <w:b/>
          <w:color w:val="2F5597"/>
          <w:sz w:val="20"/>
        </w:rPr>
        <w:t>人工加扣款</w:t>
      </w:r>
      <w:r>
        <w:rPr>
          <w:rFonts w:ascii="微软雅黑" w:hAnsi="微软雅黑" w:eastAsia="微软雅黑"/>
          <w:b w:val="0"/>
          <w:sz w:val="20"/>
        </w:rPr>
        <w:t>：用于对会员账户执行人工加款或扣款。</w:t>
      </w:r>
    </w:p>
    <w:p>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：填写会员、金额、类型和备注，提交后查看处理结果。</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：此操作直接影响会员余额，提交前必须核对会员和金额。</w:t>
      </w:r>
    </w:p>
    <w:p w14:paraId="53760425">
      <w:pPr>
        <w:pStyle w:val="5"/>
        <w:keepNext/>
        <w:spacing w:before="180" w:after="100" w:line="259" w:lineRule="auto"/>
      </w:pPr>
      <w:r>
        <w:rPr>
          <w:rFonts w:ascii="微软雅黑" w:hAnsi="微软雅黑" w:eastAsia="微软雅黑"/>
          <w:b/>
          <w:color w:val="2F5597"/>
          <w:sz w:val="25"/>
        </w:rPr>
        <w:t>账变记录</w:t>
      </w:r>
    </w:p>
    <w:p>
      <w:pPr>
        <w:pStyle w:val="16"/>
        <w:spacing w:after="60" w:line="276" w:lineRule="auto"/>
      </w:pPr>
      <w:r>
        <w:rPr>
          <w:rFonts w:ascii="微软雅黑" w:hAnsi="微软雅黑" w:eastAsia="微软雅黑"/>
          <w:b/>
          <w:color w:val="2F5597"/>
          <w:sz w:val="20"/>
        </w:rPr>
        <w:t>账变记录</w:t>
      </w:r>
      <w:r>
        <w:rPr>
          <w:rFonts w:ascii="微软雅黑" w:hAnsi="微软雅黑" w:eastAsia="微软雅黑"/>
          <w:b w:val="0"/>
          <w:sz w:val="20"/>
        </w:rPr>
        <w:t>：用于查询会员资金变动明细。</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：按会员、账变类型、订单号或时间筛选，查看余额变化。</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：排查资金问题时优先结合订单、活动和人工加扣款记录核对。</w:t>
      </w:r>
    </w:p>
    <w:p w14:paraId="124545B9">
      <w:pPr>
        <w:pStyle w:val="5"/>
        <w:keepNext/>
        <w:spacing w:before="180" w:after="100" w:line="259" w:lineRule="auto"/>
      </w:pPr>
      <w:r>
        <w:rPr>
          <w:rFonts w:ascii="微软雅黑" w:hAnsi="微软雅黑" w:eastAsia="微软雅黑"/>
          <w:b/>
          <w:color w:val="2F5597"/>
          <w:sz w:val="25"/>
        </w:rPr>
        <w:t>资金账变类型</w:t>
      </w:r>
    </w:p>
    <w:p>
      <w:pPr>
        <w:pStyle w:val="16"/>
        <w:spacing w:after="60" w:line="276" w:lineRule="auto"/>
      </w:pPr>
      <w:r>
        <w:rPr>
          <w:rFonts w:ascii="微软雅黑" w:hAnsi="微软雅黑" w:eastAsia="微软雅黑"/>
          <w:b/>
          <w:color w:val="2F5597"/>
          <w:sz w:val="20"/>
        </w:rPr>
        <w:t>资金账变类型</w:t>
      </w:r>
      <w:r>
        <w:rPr>
          <w:rFonts w:ascii="微软雅黑" w:hAnsi="微软雅黑" w:eastAsia="微软雅黑"/>
          <w:b w:val="0"/>
          <w:sz w:val="20"/>
        </w:rPr>
        <w:t>：用于维护资金账变类型和展示名称。</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：查看、启用、停用或调整账变类型配置。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：类型配置会影响账变筛选和前后台展示，调整前需确认口径。</w:t>
      </w:r>
    </w:p>
    <w:p w14:paraId="3E3C5FA6">
      <w:pPr>
        <w:pStyle w:val="5"/>
        <w:keepNext/>
        <w:spacing w:before="180" w:after="100" w:line="259" w:lineRule="auto"/>
      </w:pPr>
      <w:r>
        <w:rPr>
          <w:rFonts w:ascii="微软雅黑" w:hAnsi="微软雅黑" w:eastAsia="微软雅黑"/>
          <w:b/>
          <w:color w:val="2F5597"/>
          <w:sz w:val="25"/>
        </w:rPr>
        <w:t>打码管理</w:t>
      </w:r>
    </w:p>
    <w:p>
      <w:pPr>
        <w:pStyle w:val="16"/>
        <w:spacing w:after="60" w:line="276" w:lineRule="auto"/>
      </w:pPr>
      <w:r>
        <w:rPr>
          <w:rFonts w:ascii="微软雅黑" w:hAnsi="微软雅黑" w:eastAsia="微软雅黑"/>
          <w:b/>
          <w:color w:val="2F5597"/>
          <w:sz w:val="20"/>
        </w:rPr>
        <w:t>打码管理</w:t>
      </w:r>
      <w:r>
        <w:rPr>
          <w:rFonts w:ascii="微软雅黑" w:hAnsi="微软雅黑" w:eastAsia="微软雅黑"/>
          <w:b w:val="0"/>
          <w:sz w:val="20"/>
        </w:rPr>
        <w:t>：用于查看和管理会员打码量要求。</w:t>
      </w:r>
    </w:p>
    <w:p>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：查询会员打码进度，核对活动、充值或人工调整产生的打码要求。</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：处理提现或活动问题时，应结合打码完成情况判断。</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pPr>
        <w:pStyle w:val="16"/>
        <w:spacing w:after="60" w:line="276" w:lineRule="auto"/>
      </w:pPr>
      <w:r>
        <w:rPr>
          <w:rFonts w:ascii="微软雅黑" w:hAnsi="微软雅黑" w:eastAsia="微软雅黑"/>
          <w:b/>
          <w:color w:val="2F5597"/>
          <w:sz w:val="20"/>
        </w:rPr>
        <w:t>综合数据报表</w:t>
      </w:r>
      <w:r>
        <w:rPr>
          <w:rFonts w:ascii="微软雅黑" w:hAnsi="微软雅黑" w:eastAsia="微软雅黑"/>
          <w:b w:val="0"/>
          <w:sz w:val="20"/>
        </w:rPr>
        <w:t>：用于查看站点综合运营数据。</w:t>
      </w:r>
    </w:p>
    <w:p>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：按时间筛选充值、提现、投注、输赢、会员等关键指标。</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：用于日常经营看板和趋势分析，需注意筛选时间口径。</w:t>
      </w:r>
    </w:p>
    <w:p w14:paraId="2D9CF65D">
      <w:pPr>
        <w:pStyle w:val="5"/>
        <w:keepNext/>
        <w:spacing w:before="180" w:after="100" w:line="259" w:lineRule="auto"/>
      </w:pPr>
      <w:r>
        <w:rPr>
          <w:rFonts w:ascii="微软雅黑" w:hAnsi="微软雅黑" w:eastAsia="微软雅黑"/>
          <w:b/>
          <w:color w:val="2F5597"/>
          <w:sz w:val="25"/>
        </w:rPr>
        <w:t>游戏人数据表</w:t>
      </w:r>
    </w:p>
    <w:p>
      <w:pPr>
        <w:pStyle w:val="16"/>
        <w:spacing w:after="60" w:line="276" w:lineRule="auto"/>
      </w:pPr>
      <w:r>
        <w:rPr>
          <w:rFonts w:ascii="微软雅黑" w:hAnsi="微软雅黑" w:eastAsia="微软雅黑"/>
          <w:b/>
          <w:color w:val="2F5597"/>
          <w:sz w:val="20"/>
        </w:rPr>
        <w:t>游戏人数据表</w:t>
      </w:r>
      <w:r>
        <w:rPr>
          <w:rFonts w:ascii="微软雅黑" w:hAnsi="微软雅黑" w:eastAsia="微软雅黑"/>
          <w:b w:val="0"/>
          <w:sz w:val="20"/>
        </w:rPr>
        <w:t>：用于查看游戏维度的玩家人数数据。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：按时间、游戏或渠道筛选，查看活跃、投注和参与人数。</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：用于判断游戏热度和玩家分布，分析时结合投注报表。</w:t>
      </w:r>
    </w:p>
    <w:p w14:paraId="4F380F61">
      <w:pPr>
        <w:pStyle w:val="5"/>
        <w:keepNext/>
        <w:spacing w:before="180" w:after="100" w:line="259" w:lineRule="auto"/>
      </w:pPr>
      <w:r>
        <w:rPr>
          <w:rFonts w:ascii="微软雅黑" w:hAnsi="微软雅黑" w:eastAsia="微软雅黑"/>
          <w:b/>
          <w:color w:val="2F5597"/>
          <w:sz w:val="25"/>
        </w:rPr>
        <w:t>优惠数据报表</w:t>
      </w:r>
    </w:p>
    <w:p>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pPr>
      <w:r>
        <w:rPr>
          <w:rFonts w:ascii="微软雅黑" w:hAnsi="微软雅黑" w:eastAsia="微软雅黑"/>
          <w:b/>
          <w:color w:val="2F5597"/>
          <w:sz w:val="25"/>
        </w:rPr>
        <w:t>充值留存报表</w:t>
      </w:r>
    </w:p>
    <w:p>
      <w:pPr>
        <w:pStyle w:val="16"/>
        <w:spacing w:after="60" w:line="276" w:lineRule="auto"/>
      </w:pPr>
      <w:r>
        <w:rPr>
          <w:rFonts w:ascii="微软雅黑" w:hAnsi="微软雅黑" w:eastAsia="微软雅黑"/>
          <w:b/>
          <w:color w:val="2F5597"/>
          <w:sz w:val="20"/>
        </w:rPr>
        <w:t>充值留存报表</w:t>
      </w:r>
      <w:r>
        <w:rPr>
          <w:rFonts w:ascii="微软雅黑" w:hAnsi="微软雅黑" w:eastAsia="微软雅黑"/>
          <w:b w:val="0"/>
          <w:sz w:val="20"/>
        </w:rPr>
        <w:t>：用于查看充值用户后续留存情况。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：按首充日期、渠道或站点筛选，查看次日、多日留存。</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：用于评估充值用户质量和运营活动效果。</w:t>
      </w:r>
    </w:p>
    <w:p w14:paraId="6B51C8CF">
      <w:pPr>
        <w:pStyle w:val="5"/>
        <w:keepNext/>
        <w:spacing w:before="180" w:after="100" w:line="259" w:lineRule="auto"/>
      </w:pPr>
      <w:r>
        <w:rPr>
          <w:rFonts w:ascii="微软雅黑" w:hAnsi="微软雅黑" w:eastAsia="微软雅黑"/>
          <w:b/>
          <w:color w:val="2F5597"/>
          <w:sz w:val="25"/>
        </w:rPr>
        <w:t>代理结算明细</w:t>
      </w:r>
    </w:p>
    <w:p>
      <w:pPr>
        <w:pStyle w:val="16"/>
        <w:spacing w:after="60" w:line="276" w:lineRule="auto"/>
      </w:pPr>
      <w:r>
        <w:rPr>
          <w:rFonts w:ascii="微软雅黑" w:hAnsi="微软雅黑" w:eastAsia="微软雅黑"/>
          <w:b/>
          <w:color w:val="2F5597"/>
          <w:sz w:val="20"/>
        </w:rPr>
        <w:t>代理结算明细</w:t>
      </w:r>
      <w:r>
        <w:rPr>
          <w:rFonts w:ascii="微软雅黑" w:hAnsi="微软雅黑" w:eastAsia="微软雅黑"/>
          <w:b w:val="0"/>
          <w:sz w:val="20"/>
        </w:rPr>
        <w:t>：用于查看代理结算明细和结算结果。</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：按代理、结算周期或状态筛选，查看佣金、返水和调整项。</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：结算前需核对代理配置、会员数据和异常调整。</w:t>
      </w:r>
    </w:p>
    <w:p w14:paraId="028AA85F">
      <w:pPr>
        <w:pStyle w:val="5"/>
        <w:keepNext/>
        <w:spacing w:before="180" w:after="100" w:line="259" w:lineRule="auto"/>
      </w:pPr>
      <w:r>
        <w:rPr>
          <w:rFonts w:ascii="微软雅黑" w:hAnsi="微软雅黑" w:eastAsia="微软雅黑"/>
          <w:b/>
          <w:color w:val="2F5597"/>
          <w:sz w:val="25"/>
        </w:rPr>
        <w:t>VIP数据统计</w:t>
      </w:r>
    </w:p>
    <w:p>
      <w:pPr>
        <w:pStyle w:val="16"/>
        <w:spacing w:after="60" w:line="276" w:lineRule="auto"/>
      </w:pPr>
      <w:r>
        <w:rPr>
          <w:rFonts w:ascii="微软雅黑" w:hAnsi="微软雅黑" w:eastAsia="微软雅黑"/>
          <w:b/>
          <w:color w:val="2F5597"/>
          <w:sz w:val="20"/>
        </w:rPr>
        <w:t>VIP数据统计</w:t>
      </w:r>
      <w:r>
        <w:rPr>
          <w:rFonts w:ascii="微软雅黑" w:hAnsi="微软雅黑" w:eastAsia="微软雅黑"/>
          <w:b w:val="0"/>
          <w:sz w:val="20"/>
        </w:rPr>
        <w:t>：用于统计各 VIP 等级会员数据。</w:t>
      </w:r>
    </w:p>
    <w:p>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：按时间或等级查看会员数量、充值、投注和升降级情况。</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 VIP 结构和高价值会员运营效果。</w:t>
      </w:r>
    </w:p>
    <w:p w14:paraId="0928B106">
      <w:pPr>
        <w:pStyle w:val="5"/>
        <w:keepNext/>
        <w:spacing w:before="180" w:after="100" w:line="259" w:lineRule="auto"/>
      </w:pPr>
      <w:r>
        <w:rPr>
          <w:rFonts w:ascii="微软雅黑" w:hAnsi="微软雅黑" w:eastAsia="微软雅黑"/>
          <w:b/>
          <w:color w:val="2F5597"/>
          <w:sz w:val="25"/>
        </w:rPr>
        <w:t>数据排行</w:t>
      </w:r>
    </w:p>
    <w:p>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pPr>
      <w:r>
        <w:rPr>
          <w:rFonts w:ascii="微软雅黑" w:hAnsi="微软雅黑" w:eastAsia="微软雅黑"/>
          <w:b/>
          <w:color w:val="2F5597"/>
          <w:sz w:val="25"/>
        </w:rPr>
        <w:t>游戏记录</w:t>
      </w:r>
    </w:p>
    <w:p>
      <w:pPr>
        <w:pStyle w:val="16"/>
        <w:spacing w:after="60" w:line="276" w:lineRule="auto"/>
      </w:pPr>
      <w:r>
        <w:rPr>
          <w:rFonts w:ascii="微软雅黑" w:hAnsi="微软雅黑" w:eastAsia="微软雅黑"/>
          <w:b/>
          <w:color w:val="2F5597"/>
          <w:sz w:val="20"/>
        </w:rPr>
        <w:t>游戏记录</w:t>
      </w:r>
      <w:r>
        <w:rPr>
          <w:rFonts w:ascii="微软雅黑" w:hAnsi="微软雅黑" w:eastAsia="微软雅黑"/>
          <w:b w:val="0"/>
          <w:sz w:val="20"/>
        </w:rPr>
        <w:t>：用于查询玩家游戏投注记录。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：按玩家、游戏、订单号、状态或时间筛选，查看投注明细。</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：排查输赢争议时应结合游戏记录、账变和订单状态。</w:t>
      </w:r>
    </w:p>
    <w:p w14:paraId="4782256E">
      <w:pPr>
        <w:pStyle w:val="5"/>
        <w:keepNext/>
        <w:spacing w:before="180" w:after="100" w:line="259" w:lineRule="auto"/>
      </w:pPr>
      <w:r>
        <w:rPr>
          <w:rFonts w:ascii="微软雅黑" w:hAnsi="微软雅黑" w:eastAsia="微软雅黑"/>
          <w:b/>
          <w:color w:val="2F5597"/>
          <w:sz w:val="25"/>
        </w:rPr>
        <w:t>用户留存</w:t>
      </w:r>
    </w:p>
    <w:p>
      <w:pPr>
        <w:pStyle w:val="16"/>
        <w:spacing w:after="60" w:line="276" w:lineRule="auto"/>
      </w:pPr>
      <w:r>
        <w:rPr>
          <w:rFonts w:ascii="微软雅黑" w:hAnsi="微软雅黑" w:eastAsia="微软雅黑"/>
          <w:b/>
          <w:color w:val="2F5597"/>
          <w:sz w:val="20"/>
        </w:rPr>
        <w:t>用户留存</w:t>
      </w:r>
      <w:r>
        <w:rPr>
          <w:rFonts w:ascii="微软雅黑" w:hAnsi="微软雅黑" w:eastAsia="微软雅黑"/>
          <w:b w:val="0"/>
          <w:sz w:val="20"/>
        </w:rPr>
        <w:t>：用于查看注册或活跃用户的留存情况。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：按日期、渠道或用户分组筛选，查看留存比例。</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：留存分析用于评估渠道质量和运营活动效果。</w:t>
      </w:r>
    </w:p>
    <w:p w14:paraId="7F4FB0CF">
      <w:pPr>
        <w:pStyle w:val="5"/>
        <w:keepNext/>
        <w:spacing w:before="180" w:after="100" w:line="259" w:lineRule="auto"/>
      </w:pPr>
      <w:r>
        <w:rPr>
          <w:rFonts w:ascii="微软雅黑" w:hAnsi="微软雅黑" w:eastAsia="微软雅黑"/>
          <w:b/>
          <w:color w:val="2F5597"/>
          <w:sz w:val="25"/>
        </w:rPr>
        <w:t>用户分析</w:t>
      </w:r>
    </w:p>
    <w:p>
      <w:pPr>
        <w:pStyle w:val="16"/>
        <w:spacing w:after="60" w:line="276" w:lineRule="auto"/>
      </w:pPr>
      <w:r>
        <w:rPr>
          <w:rFonts w:ascii="微软雅黑" w:hAnsi="微软雅黑" w:eastAsia="微软雅黑"/>
          <w:b/>
          <w:color w:val="2F5597"/>
          <w:sz w:val="20"/>
        </w:rPr>
        <w:t>用户分析</w:t>
      </w:r>
      <w:r>
        <w:rPr>
          <w:rFonts w:ascii="微软雅黑" w:hAnsi="微软雅黑" w:eastAsia="微软雅黑"/>
          <w:b w:val="0"/>
          <w:sz w:val="20"/>
        </w:rPr>
        <w:t>：用于分析用户结构、活跃和行为数据。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：按时间、渠道或用户类型筛选，查看新增、活跃、充值等指标。</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：用于用户运营决策，需结合留存、充值和活动数据判断。</w:t>
      </w:r>
    </w:p>
    <w:p w14:paraId="6E8DFB1B">
      <w:pPr>
        <w:pStyle w:val="5"/>
        <w:keepNext/>
        <w:spacing w:before="180" w:after="100" w:line="259" w:lineRule="auto"/>
      </w:pPr>
      <w:r>
        <w:rPr>
          <w:rFonts w:ascii="微软雅黑" w:hAnsi="微软雅黑" w:eastAsia="微软雅黑"/>
          <w:b/>
          <w:color w:val="2F5597"/>
          <w:sz w:val="25"/>
        </w:rPr>
        <w:t>LTV</w:t>
      </w:r>
    </w:p>
    <w:p>
      <w:pPr>
        <w:pStyle w:val="16"/>
        <w:spacing w:after="60" w:line="276" w:lineRule="auto"/>
      </w:pPr>
      <w:r>
        <w:rPr>
          <w:rFonts w:ascii="微软雅黑" w:hAnsi="微软雅黑" w:eastAsia="微软雅黑"/>
          <w:b/>
          <w:color w:val="2F5597"/>
          <w:sz w:val="20"/>
        </w:rPr>
        <w:t>LTV</w:t>
      </w:r>
      <w:r>
        <w:rPr>
          <w:rFonts w:ascii="微软雅黑" w:hAnsi="微软雅黑" w:eastAsia="微软雅黑"/>
          <w:b w:val="0"/>
          <w:sz w:val="20"/>
        </w:rPr>
        <w:t>：用于查看用户生命周期价值数据。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：按注册日期、渠道或用户分组筛选，查看不同周期价值表现。</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：用于评估投放回收和用户质量，需与渠道成本结合分析。</w:t>
      </w:r>
    </w:p>
    <w:p w14:paraId="72DD9253">
      <w:pPr>
        <w:pStyle w:val="5"/>
        <w:keepNext/>
        <w:spacing w:before="180" w:after="100" w:line="259" w:lineRule="auto"/>
      </w:pPr>
      <w:r>
        <w:rPr>
          <w:rFonts w:ascii="微软雅黑" w:hAnsi="微软雅黑" w:eastAsia="微软雅黑"/>
          <w:b/>
          <w:color w:val="2F5597"/>
          <w:sz w:val="25"/>
        </w:rPr>
        <w:t>活动统计报表</w:t>
      </w:r>
    </w:p>
    <w:p>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59DE9601">
      <w:pPr>
        <w:pStyle w:val="5"/>
        <w:keepNext/>
        <w:spacing w:before="180" w:after="100" w:line="259" w:lineRule="auto"/>
      </w:pPr>
      <w:r>
        <w:rPr>
          <w:rFonts w:ascii="微软雅黑" w:hAnsi="微软雅黑" w:eastAsia="微软雅黑"/>
          <w:b/>
          <w:color w:val="2F5597"/>
          <w:sz w:val="25"/>
        </w:rPr>
        <w:t>用户分群查询</w:t>
      </w:r>
    </w:p>
    <w:p>
      <w:pPr>
        <w:pStyle w:val="16"/>
        <w:spacing w:after="60" w:line="276" w:lineRule="auto"/>
      </w:pPr>
      <w:r>
        <w:rPr>
          <w:rFonts w:ascii="微软雅黑" w:hAnsi="微软雅黑" w:eastAsia="微软雅黑"/>
          <w:b/>
          <w:color w:val="2F5597"/>
          <w:sz w:val="20"/>
        </w:rPr>
        <w:t>用户分群查询</w:t>
      </w:r>
      <w:r>
        <w:rPr>
          <w:rFonts w:ascii="微软雅黑" w:hAnsi="微软雅黑" w:eastAsia="微软雅黑"/>
          <w:b w:val="0"/>
          <w:sz w:val="20"/>
        </w:rPr>
        <w:t>：用于查询用户分群结果和分群成员。</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：按分群条件、标签或会员信息筛选，查看命中用户。</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：分群结果可用于活动、消息推送和精细化运营。</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pPr>
        <w:pStyle w:val="16"/>
        <w:spacing w:after="60" w:line="276" w:lineRule="auto"/>
      </w:pPr>
      <w:r>
        <w:rPr>
          <w:rFonts w:ascii="微软雅黑" w:hAnsi="微软雅黑" w:eastAsia="微软雅黑"/>
          <w:b/>
          <w:color w:val="2F5597"/>
          <w:sz w:val="20"/>
        </w:rPr>
        <w:t>推荐频道管理</w:t>
      </w:r>
      <w:r>
        <w:rPr>
          <w:rFonts w:ascii="微软雅黑" w:hAnsi="微软雅黑" w:eastAsia="微软雅黑"/>
          <w:b w:val="0"/>
          <w:sz w:val="20"/>
        </w:rPr>
        <w:t>：用于维护前台推荐频道和展示内容。</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：新增、编辑、排序、启用或停用推荐频道。</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：调整前确认频道内容、排序和前台展示效果。</w:t>
      </w:r>
    </w:p>
    <w:p w14:paraId="65EA5E4B">
      <w:pPr>
        <w:pStyle w:val="5"/>
        <w:keepNext/>
        <w:spacing w:before="180" w:after="100" w:line="259" w:lineRule="auto"/>
      </w:pPr>
      <w:r>
        <w:rPr>
          <w:rFonts w:ascii="微软雅黑" w:hAnsi="微软雅黑" w:eastAsia="微软雅黑"/>
          <w:b/>
          <w:color w:val="2F5597"/>
          <w:sz w:val="25"/>
        </w:rPr>
        <w:t>游戏类型设置</w:t>
      </w:r>
    </w:p>
    <w:p>
      <w:pPr>
        <w:pStyle w:val="16"/>
        <w:spacing w:after="60" w:line="276" w:lineRule="auto"/>
      </w:pPr>
      <w:r>
        <w:rPr>
          <w:rFonts w:ascii="微软雅黑" w:hAnsi="微软雅黑" w:eastAsia="微软雅黑"/>
          <w:b/>
          <w:color w:val="2F5597"/>
          <w:sz w:val="20"/>
        </w:rPr>
        <w:t>游戏类型设置</w:t>
      </w:r>
      <w:r>
        <w:rPr>
          <w:rFonts w:ascii="微软雅黑" w:hAnsi="微软雅黑" w:eastAsia="微软雅黑"/>
          <w:b w:val="0"/>
          <w:sz w:val="20"/>
        </w:rPr>
        <w:t>：用于维护游戏类型分类。</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：新增、编辑、排序、启用或停用游戏类型。</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：类型配置会影响前台游戏筛选和后台统计归类。</w:t>
      </w:r>
    </w:p>
    <w:p w14:paraId="4B2C4F27">
      <w:pPr>
        <w:pStyle w:val="5"/>
        <w:keepNext/>
        <w:spacing w:before="180" w:after="100" w:line="259" w:lineRule="auto"/>
      </w:pPr>
      <w:r>
        <w:rPr>
          <w:rFonts w:ascii="微软雅黑" w:hAnsi="微软雅黑" w:eastAsia="微软雅黑"/>
          <w:b/>
          <w:color w:val="2F5597"/>
          <w:sz w:val="25"/>
        </w:rPr>
        <w:t>游戏频道管理</w:t>
      </w:r>
    </w:p>
    <w:p>
      <w:pPr>
        <w:pStyle w:val="16"/>
        <w:spacing w:after="60" w:line="276" w:lineRule="auto"/>
      </w:pPr>
      <w:r>
        <w:rPr>
          <w:rFonts w:ascii="微软雅黑" w:hAnsi="微软雅黑" w:eastAsia="微软雅黑"/>
          <w:b/>
          <w:color w:val="2F5597"/>
          <w:sz w:val="20"/>
        </w:rPr>
        <w:t>游戏频道管理</w:t>
      </w:r>
      <w:r>
        <w:rPr>
          <w:rFonts w:ascii="微软雅黑" w:hAnsi="微软雅黑" w:eastAsia="微软雅黑"/>
          <w:b w:val="0"/>
          <w:sz w:val="20"/>
        </w:rPr>
        <w:t>：用于维护游戏频道和频道内游戏展示。</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：配置频道名称、排序、展示游戏和启停状态。</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：保存后需检查前台频道展示和游戏入口是否正确。</w:t>
      </w:r>
    </w:p>
    <w:p w14:paraId="6618AAB0">
      <w:pPr>
        <w:pStyle w:val="5"/>
        <w:keepNext/>
        <w:spacing w:before="180" w:after="100" w:line="259" w:lineRule="auto"/>
      </w:pPr>
      <w:r>
        <w:rPr>
          <w:rFonts w:ascii="微软雅黑" w:hAnsi="微软雅黑" w:eastAsia="微软雅黑"/>
          <w:b/>
          <w:color w:val="2F5597"/>
          <w:sz w:val="25"/>
        </w:rPr>
        <w:t>子游戏列表</w:t>
      </w:r>
    </w:p>
    <w:p>
      <w:pPr>
        <w:pStyle w:val="16"/>
        <w:spacing w:after="60" w:line="276" w:lineRule="auto"/>
      </w:pPr>
      <w:r>
        <w:rPr>
          <w:rFonts w:ascii="微软雅黑" w:hAnsi="微软雅黑" w:eastAsia="微软雅黑"/>
          <w:b/>
          <w:color w:val="2F5597"/>
          <w:sz w:val="20"/>
        </w:rPr>
        <w:t>子游戏列表</w:t>
      </w:r>
      <w:r>
        <w:rPr>
          <w:rFonts w:ascii="微软雅黑" w:hAnsi="微软雅黑" w:eastAsia="微软雅黑"/>
          <w:b w:val="0"/>
          <w:sz w:val="20"/>
        </w:rPr>
        <w:t>：用于查看和管理子游戏信息。</w:t>
      </w:r>
    </w:p>
    <w:p>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：按厂商、类型或状态筛选，启用、停用或调整游戏展示。</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：调整游戏状态会影响玩家进入游戏，操作前需确认影响范围。</w:t>
      </w:r>
    </w:p>
    <w:p w14:paraId="6D89B257">
      <w:pPr>
        <w:pStyle w:val="5"/>
        <w:keepNext/>
        <w:spacing w:before="180" w:after="100" w:line="259" w:lineRule="auto"/>
      </w:pPr>
      <w:r>
        <w:rPr>
          <w:rFonts w:ascii="微软雅黑" w:hAnsi="微软雅黑" w:eastAsia="微软雅黑"/>
          <w:b/>
          <w:color w:val="2F5597"/>
          <w:sz w:val="25"/>
        </w:rPr>
        <w:t>游戏统计</w:t>
      </w:r>
    </w:p>
    <w:p>
      <w:pPr>
        <w:pStyle w:val="16"/>
        <w:spacing w:after="60" w:line="276" w:lineRule="auto"/>
      </w:pPr>
      <w:r>
        <w:rPr>
          <w:rFonts w:ascii="微软雅黑" w:hAnsi="微软雅黑" w:eastAsia="微软雅黑"/>
          <w:b/>
          <w:color w:val="2F5597"/>
          <w:sz w:val="20"/>
        </w:rPr>
        <w:t>游戏统计</w:t>
      </w:r>
      <w:r>
        <w:rPr>
          <w:rFonts w:ascii="微软雅黑" w:hAnsi="微软雅黑" w:eastAsia="微软雅黑"/>
          <w:b w:val="0"/>
          <w:sz w:val="20"/>
        </w:rPr>
        <w:t>：用于查看游戏投注和输赢统计。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：按游戏、厂商或时间筛选，查看投注人数、投注额和输赢。</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：用于分析游戏表现，异常时结合游戏记录核对。</w:t>
      </w:r>
    </w:p>
    <w:p w14:paraId="11EEA7F1">
      <w:pPr>
        <w:pStyle w:val="5"/>
        <w:keepNext/>
        <w:spacing w:before="180" w:after="100" w:line="259" w:lineRule="auto"/>
      </w:pPr>
      <w:r>
        <w:rPr>
          <w:rFonts w:ascii="微软雅黑" w:hAnsi="微软雅黑" w:eastAsia="微软雅黑"/>
          <w:b/>
          <w:color w:val="2F5597"/>
          <w:sz w:val="25"/>
        </w:rPr>
        <w:t>游戏厂商统计</w:t>
      </w:r>
    </w:p>
    <w:p>
      <w:pPr>
        <w:pStyle w:val="16"/>
        <w:spacing w:after="60" w:line="276" w:lineRule="auto"/>
      </w:pPr>
      <w:r>
        <w:rPr>
          <w:rFonts w:ascii="微软雅黑" w:hAnsi="微软雅黑" w:eastAsia="微软雅黑"/>
          <w:b/>
          <w:color w:val="2F5597"/>
          <w:sz w:val="20"/>
        </w:rPr>
        <w:t>游戏厂商统计</w:t>
      </w:r>
      <w:r>
        <w:rPr>
          <w:rFonts w:ascii="微软雅黑" w:hAnsi="微软雅黑" w:eastAsia="微软雅黑"/>
          <w:b w:val="0"/>
          <w:sz w:val="20"/>
        </w:rPr>
        <w:t>：用于查看各游戏厂商数据表现。</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：按厂商和时间筛选，查看投注、输赢和活跃数据。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：用于评估厂商质量和游戏引入效果。</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pPr>
        <w:pStyle w:val="16"/>
        <w:spacing w:after="60" w:line="276" w:lineRule="auto"/>
      </w:pPr>
      <w:r>
        <w:rPr>
          <w:rFonts w:ascii="微软雅黑" w:hAnsi="微软雅黑" w:eastAsia="微软雅黑"/>
          <w:b/>
          <w:color w:val="2F5597"/>
          <w:sz w:val="20"/>
        </w:rPr>
        <w:t>在线玩家列表</w:t>
      </w:r>
      <w:r>
        <w:rPr>
          <w:rFonts w:ascii="微软雅黑" w:hAnsi="微软雅黑" w:eastAsia="微软雅黑"/>
          <w:b w:val="0"/>
          <w:sz w:val="20"/>
        </w:rPr>
        <w:t>：用于查看当前在线玩家。</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：按会员、渠道或状态筛选，查看在线时间、终端和会员信息。</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：用于实时运营观察和异常在线排查。</w:t>
      </w:r>
    </w:p>
    <w:p w14:paraId="7114301A">
      <w:pPr>
        <w:pStyle w:val="5"/>
        <w:keepNext/>
        <w:spacing w:before="180" w:after="100" w:line="259" w:lineRule="auto"/>
      </w:pPr>
      <w:r>
        <w:rPr>
          <w:rFonts w:ascii="微软雅黑" w:hAnsi="微软雅黑" w:eastAsia="微软雅黑"/>
          <w:b/>
          <w:color w:val="2F5597"/>
          <w:sz w:val="25"/>
        </w:rPr>
        <w:t>所有会员</w:t>
      </w:r>
    </w:p>
    <w:p>
      <w:pPr>
        <w:pStyle w:val="16"/>
        <w:spacing w:after="60" w:line="276" w:lineRule="auto"/>
      </w:pPr>
      <w:r>
        <w:rPr>
          <w:rFonts w:ascii="微软雅黑" w:hAnsi="微软雅黑" w:eastAsia="微软雅黑"/>
          <w:b/>
          <w:color w:val="2F5597"/>
          <w:sz w:val="20"/>
        </w:rPr>
        <w:t>所有会员</w:t>
      </w:r>
      <w:r>
        <w:rPr>
          <w:rFonts w:ascii="微软雅黑" w:hAnsi="微软雅黑" w:eastAsia="微软雅黑"/>
          <w:b w:val="0"/>
          <w:sz w:val="20"/>
        </w:rPr>
        <w:t>：用于查询和管理会员基础信息。</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：按会员账号、ID、状态或注册时间筛选，查看资料、余额和行为信息。</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pPr>
      <w:r>
        <w:rPr>
          <w:rFonts w:ascii="微软雅黑" w:hAnsi="微软雅黑" w:eastAsia="微软雅黑"/>
          <w:b/>
          <w:color w:val="2F5597"/>
          <w:sz w:val="25"/>
        </w:rPr>
        <w:t>VIP设置</w:t>
      </w:r>
    </w:p>
    <w:p>
      <w:pPr>
        <w:pStyle w:val="16"/>
        <w:spacing w:after="60" w:line="276" w:lineRule="auto"/>
      </w:pPr>
      <w:r>
        <w:rPr>
          <w:rFonts w:ascii="微软雅黑" w:hAnsi="微软雅黑" w:eastAsia="微软雅黑"/>
          <w:b/>
          <w:color w:val="2F5597"/>
          <w:sz w:val="20"/>
        </w:rPr>
        <w:t>VIP设置</w:t>
      </w:r>
      <w:r>
        <w:rPr>
          <w:rFonts w:ascii="微软雅黑" w:hAnsi="微软雅黑" w:eastAsia="微软雅黑"/>
          <w:b w:val="0"/>
          <w:sz w:val="20"/>
        </w:rPr>
        <w:t>：用于配置 VIP 等级、权益和升级条件。</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：设置等级名称、升级条件、保级条件、奖励和启停状态。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pPr>
      <w:r>
        <w:rPr>
          <w:rFonts w:ascii="微软雅黑" w:hAnsi="微软雅黑" w:eastAsia="微软雅黑"/>
          <w:b/>
          <w:color w:val="2F5597"/>
          <w:sz w:val="25"/>
        </w:rPr>
        <w:t>有奖反馈</w:t>
      </w:r>
    </w:p>
    <w:p>
      <w:pPr>
        <w:pStyle w:val="16"/>
        <w:spacing w:after="60" w:line="276" w:lineRule="auto"/>
      </w:pPr>
      <w:r>
        <w:rPr>
          <w:rFonts w:ascii="微软雅黑" w:hAnsi="微软雅黑" w:eastAsia="微软雅黑"/>
          <w:b/>
          <w:color w:val="2F5597"/>
          <w:sz w:val="20"/>
        </w:rPr>
        <w:t>有奖反馈</w:t>
      </w:r>
      <w:r>
        <w:rPr>
          <w:rFonts w:ascii="微软雅黑" w:hAnsi="微软雅黑" w:eastAsia="微软雅黑"/>
          <w:b w:val="0"/>
          <w:sz w:val="20"/>
        </w:rPr>
        <w:t>：用于查看和处理会员反馈奖励。</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：筛选反馈记录，查看内容、处理状态并发放或拒绝奖励。</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pPr>
        <w:pStyle w:val="16"/>
        <w:spacing w:after="60" w:line="276" w:lineRule="auto"/>
      </w:pPr>
      <w:r>
        <w:rPr>
          <w:rFonts w:ascii="微软雅黑" w:hAnsi="微软雅黑" w:eastAsia="微软雅黑"/>
          <w:b/>
          <w:color w:val="2F5597"/>
          <w:sz w:val="20"/>
        </w:rPr>
        <w:t>代理列表</w:t>
      </w:r>
      <w:r>
        <w:rPr>
          <w:rFonts w:ascii="微软雅黑" w:hAnsi="微软雅黑" w:eastAsia="微软雅黑"/>
          <w:b w:val="0"/>
          <w:sz w:val="20"/>
        </w:rPr>
        <w:t>：用于查询和管理代理账号。</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：按代理账号、状态或时间筛选，查看代理信息和下级数据。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pPr>
        <w:pStyle w:val="16"/>
        <w:spacing w:after="60" w:line="276" w:lineRule="auto"/>
      </w:pPr>
      <w:r>
        <w:rPr>
          <w:rFonts w:ascii="微软雅黑" w:hAnsi="微软雅黑" w:eastAsia="微软雅黑"/>
          <w:b/>
          <w:color w:val="2F5597"/>
          <w:sz w:val="20"/>
        </w:rPr>
        <w:t>代理配置</w:t>
      </w:r>
      <w:r>
        <w:rPr>
          <w:rFonts w:ascii="微软雅黑" w:hAnsi="微软雅黑" w:eastAsia="微软雅黑"/>
          <w:b w:val="0"/>
          <w:sz w:val="20"/>
        </w:rPr>
        <w:t>：用于维护代理返佣、返水和结算规则。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：设置代理等级、比例、结算周期和启停状态。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pPr>
        <w:pStyle w:val="16"/>
        <w:spacing w:after="60" w:line="276" w:lineRule="auto"/>
      </w:pPr>
      <w:r>
        <w:rPr>
          <w:rFonts w:ascii="微软雅黑" w:hAnsi="微软雅黑" w:eastAsia="微软雅黑"/>
          <w:b/>
          <w:color w:val="2F5597"/>
          <w:sz w:val="20"/>
        </w:rPr>
        <w:t>代理领取记录</w:t>
      </w:r>
      <w:r>
        <w:rPr>
          <w:rFonts w:ascii="微软雅黑" w:hAnsi="微软雅黑" w:eastAsia="微软雅黑"/>
          <w:b w:val="0"/>
          <w:sz w:val="20"/>
        </w:rPr>
        <w:t>：用于查看代理奖励或佣金领取记录。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：按代理、状态或时间筛选，查看领取金额和处理结果。</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pPr>
        <w:pStyle w:val="16"/>
        <w:spacing w:after="60" w:line="276" w:lineRule="auto"/>
      </w:pPr>
      <w:r>
        <w:rPr>
          <w:rFonts w:ascii="微软雅黑" w:hAnsi="微软雅黑" w:eastAsia="微软雅黑"/>
          <w:b/>
          <w:color w:val="2F5597"/>
          <w:sz w:val="20"/>
        </w:rPr>
        <w:t>代理数据查询</w:t>
      </w:r>
      <w:r>
        <w:rPr>
          <w:rFonts w:ascii="微软雅黑" w:hAnsi="微软雅黑" w:eastAsia="微软雅黑"/>
          <w:b w:val="0"/>
          <w:sz w:val="20"/>
        </w:rPr>
        <w:t>：用于查询代理维度的运营数据。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：按代理和时间筛选，查看下级会员、充值、投注和佣金数据。</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pPr>
        <w:pStyle w:val="16"/>
        <w:spacing w:after="60" w:line="276" w:lineRule="auto"/>
      </w:pPr>
      <w:r>
        <w:rPr>
          <w:rFonts w:ascii="微软雅黑" w:hAnsi="微软雅黑" w:eastAsia="微软雅黑"/>
          <w:b/>
          <w:color w:val="2F5597"/>
          <w:sz w:val="20"/>
        </w:rPr>
        <w:t>商户信息</w:t>
      </w:r>
      <w:r>
        <w:rPr>
          <w:rFonts w:ascii="微软雅黑" w:hAnsi="微软雅黑" w:eastAsia="微软雅黑"/>
          <w:b w:val="0"/>
          <w:sz w:val="20"/>
        </w:rPr>
        <w:t>：用于查看商户基础资料和账户状态。</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：查看商户名称、账号信息、联系方式和状态配置。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pPr>
        <w:pStyle w:val="16"/>
        <w:spacing w:after="60" w:line="276" w:lineRule="auto"/>
      </w:pPr>
      <w:r>
        <w:rPr>
          <w:rFonts w:ascii="微软雅黑" w:hAnsi="微软雅黑" w:eastAsia="微软雅黑"/>
          <w:b/>
          <w:color w:val="2F5597"/>
          <w:sz w:val="20"/>
        </w:rPr>
        <w:t>商户充值</w:t>
      </w:r>
      <w:r>
        <w:rPr>
          <w:rFonts w:ascii="微软雅黑" w:hAnsi="微软雅黑" w:eastAsia="微软雅黑"/>
          <w:b w:val="0"/>
          <w:sz w:val="20"/>
        </w:rPr>
        <w:t>：用于商户账户充值。</w:t>
      </w:r>
    </w:p>
    <w:p>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：选择充值方式，填写金额并提交充值申请。</w:t>
      </w:r>
    </w:p>
    <w:p>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pPr>
        <w:pStyle w:val="16"/>
        <w:spacing w:after="60" w:line="276" w:lineRule="auto"/>
      </w:pPr>
      <w:r>
        <w:rPr>
          <w:rFonts w:ascii="微软雅黑" w:hAnsi="微软雅黑" w:eastAsia="微软雅黑"/>
          <w:b/>
          <w:color w:val="2F5597"/>
          <w:sz w:val="20"/>
        </w:rPr>
        <w:t>充值记录</w:t>
      </w:r>
      <w:r>
        <w:rPr>
          <w:rFonts w:ascii="微软雅黑" w:hAnsi="微软雅黑" w:eastAsia="微软雅黑"/>
          <w:b w:val="0"/>
          <w:sz w:val="20"/>
        </w:rPr>
        <w:t>：用于查询商户充值记录。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：按订单号、状态或时间筛选，查看充值金额和到账状态。</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pPr>
        <w:pStyle w:val="16"/>
        <w:spacing w:after="60" w:line="276" w:lineRule="auto"/>
      </w:pPr>
      <w:r>
        <w:rPr>
          <w:rFonts w:ascii="微软雅黑" w:hAnsi="微软雅黑" w:eastAsia="微软雅黑"/>
          <w:b/>
          <w:color w:val="2F5597"/>
          <w:sz w:val="20"/>
        </w:rPr>
        <w:t>商户账变记录</w:t>
      </w:r>
      <w:r>
        <w:rPr>
          <w:rFonts w:ascii="微软雅黑" w:hAnsi="微软雅黑" w:eastAsia="微软雅黑"/>
          <w:b w:val="0"/>
          <w:sz w:val="20"/>
        </w:rPr>
        <w:t>：用于查看商户账户资金变动。</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：按账变类型、时间或订单号筛选，查看金额变化和余额。</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pPr>
        <w:pStyle w:val="16"/>
        <w:spacing w:after="60" w:line="276" w:lineRule="auto"/>
      </w:pPr>
      <w:r>
        <w:rPr>
          <w:rFonts w:ascii="微软雅黑" w:hAnsi="微软雅黑" w:eastAsia="微软雅黑"/>
          <w:b/>
          <w:color w:val="2F5597"/>
          <w:sz w:val="20"/>
        </w:rPr>
        <w:t>商户账单</w:t>
      </w:r>
      <w:r>
        <w:rPr>
          <w:rFonts w:ascii="微软雅黑" w:hAnsi="微软雅黑" w:eastAsia="微软雅黑"/>
          <w:b w:val="0"/>
          <w:sz w:val="20"/>
        </w:rPr>
        <w:t>：用于查看商户账单和费用结算情况。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：按账期或状态筛选，查看账单金额、费用项目和结算状态。</w:t>
      </w:r>
    </w:p>
    <w:p>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pPr>
        <w:spacing w:after="60" w:line="276" w:lineRule="auto"/>
      </w:pPr>
    </w:p>
    <w:p>
      <w:pPr>
        <w:spacing w:after="100"/>
      </w:pPr>
    </w:p>
    <w:p>
      <w:pPr>
        <w:spacing w:after="40"/>
      </w:pPr>
    </w:p>
    <w:p>
      <w:pPr>
        <w:spacing w:after="120"/>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40"/>
      </w:pPr>
    </w:p>
    <w:p>
      <w:pPr>
        <w:spacing w:after="12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40"/>
      </w:pPr>
    </w:p>
    <w:p>
      <w:pPr>
        <w:spacing w:after="12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8FA3DCE"/>
    <w:rsid w:val="1E20265C"/>
    <w:rsid w:val="259865AB"/>
    <w:rsid w:val="308E051A"/>
    <w:rsid w:val="38A20FFB"/>
    <w:rsid w:val="3AEF22C6"/>
    <w:rsid w:val="4E892E94"/>
    <w:rsid w:val="4F407994"/>
    <w:rsid w:val="578C750D"/>
    <w:rsid w:val="61DB474F"/>
    <w:rsid w:val="6E5F3FAE"/>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numbering" Target="numbering.xml"/><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18216</Words>
  <Characters>19144</Characters>
  <Lines>0</Lines>
  <Paragraphs>0</Paragraphs>
  <TotalTime>7</TotalTime>
  <ScaleCrop>false</ScaleCrop>
  <LinksUpToDate>false</LinksUpToDate>
  <CharactersWithSpaces>19374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2026-06-08T07:32:09Z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