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pPr>
      <w:r>
        <w:rPr>
          <w:rFonts w:ascii="微软雅黑" w:hAnsi="微软雅黑" w:eastAsia="微软雅黑"/>
          <w:b/>
          <w:color w:val="254061"/>
          <w:sz w:val="36"/>
        </w:rPr>
        <w:t>商户后台操作手册</w:t>
      </w:r>
    </w:p>
    <w:p w14:paraId="696FE8DC">
      <w:pPr>
        <w:pStyle w:val="3"/>
        <w:keepNext/>
        <w:spacing w:before="360" w:after="240" w:line="276" w:lineRule="auto"/>
        <w:rPr>
          <w:sz w:val="32"/>
          <w:szCs w:val="32"/>
        </w:rPr>
      </w:pPr>
      <w:r>
        <w:rPr>
          <w:rFonts w:ascii="微软雅黑" w:hAnsi="微软雅黑" w:eastAsia="微软雅黑"/>
          <w:b/>
          <w:color w:val="17365D"/>
          <w:sz w:val="40"/>
          <w:szCs w:val="32"/>
        </w:rPr>
        <w:t>一、手册说明</w:t>
      </w:r>
    </w:p>
    <w:p w14:paraId="3F2BB956">
      <w:pPr>
        <w:pStyle w:val="4"/>
        <w:keepNext/>
        <w:spacing w:before="240" w:after="140" w:line="269" w:lineRule="auto"/>
      </w:pPr>
      <w:r>
        <w:rPr>
          <w:rFonts w:ascii="微软雅黑" w:hAnsi="微软雅黑" w:eastAsia="微软雅黑"/>
          <w:b/>
          <w:color w:val="1F4E79"/>
          <w:sz w:val="30"/>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color w:val="1F4E79"/>
          <w:sz w:val="30"/>
        </w:rPr>
        <w:t>后台角色说明</w:t>
      </w:r>
    </w:p>
    <w:p w14:paraId="71333E6F">
      <w:pPr>
        <w:spacing w:after="60" w:line="276" w:lineRule="auto"/>
      </w:pPr>
      <w:r>
        <w:rPr>
          <w:rFonts w:ascii="微软雅黑" w:hAnsi="微软雅黑" w:eastAsia="微软雅黑"/>
          <w:b w:val="0"/>
          <w:sz w:val="20"/>
        </w:rPr>
        <w:t>商户创建或维护后台账号时，只能选择系统已配置好的角色；不同角色对应不同菜单、按钮和数据范围。若角色权限不满足业务需要，需要联系平台管理员或上级管理方调整。</w:t>
      </w:r>
    </w:p>
    <w:p w14:paraId="45E9A768">
      <w:pPr>
        <w:pStyle w:val="4"/>
        <w:keepNext/>
        <w:spacing w:before="240" w:after="140" w:line="269" w:lineRule="auto"/>
      </w:pPr>
      <w:r>
        <w:rPr>
          <w:rFonts w:ascii="微软雅黑" w:hAnsi="微软雅黑" w:eastAsia="微软雅黑"/>
          <w:b/>
          <w:color w:val="1F4E79"/>
          <w:sz w:val="30"/>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color w:val="1F4E79"/>
          <w:sz w:val="30"/>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color w:val="17365D"/>
          <w:sz w:val="40"/>
        </w:rPr>
        <w:t>二、登录与基础导航</w:t>
      </w:r>
    </w:p>
    <w:p w14:paraId="1E9B3755">
      <w:pPr>
        <w:pStyle w:val="4"/>
        <w:keepNext/>
        <w:spacing w:before="240" w:after="140" w:line="269" w:lineRule="auto"/>
      </w:pPr>
      <w:r>
        <w:rPr>
          <w:rFonts w:ascii="微软雅黑" w:hAnsi="微软雅黑" w:eastAsia="微软雅黑"/>
          <w:b/>
          <w:color w:val="1F4E79"/>
          <w:sz w:val="30"/>
        </w:rPr>
        <w:t>登录</w:t>
      </w:r>
    </w:p>
    <w:p w14:paraId="6DC5364C">
      <w:pPr>
        <w:pStyle w:val="16"/>
        <w:spacing w:after="4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4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color w:val="1F4E79"/>
          <w:sz w:val="30"/>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15000" cy="613028"/>
                    </a:xfrm>
                    <a:prstGeom prst="rect">
                      <a:avLst/>
                    </a:prstGeom>
                  </pic:spPr>
                </pic:pic>
              </a:graphicData>
            </a:graphic>
          </wp:inline>
        </w:drawing>
      </w:r>
    </w:p>
    <w:p w14:paraId="5BC0C96E">
      <w:pPr>
        <w:spacing w:after="80"/>
        <w:jc w:val="center"/>
      </w:pPr>
      <w:r>
        <w:rPr>
          <w:rFonts w:ascii="微软雅黑" w:hAnsi="微软雅黑" w:eastAsia="微软雅黑"/>
          <w:b w:val="0"/>
          <w:color w:val="606C80"/>
          <w:sz w:val="18"/>
        </w:rPr>
        <w:t>图1：顶部导航栏与基础入口。</w:t>
      </w:r>
    </w:p>
    <w:p w14:paraId="7DB56B7B">
      <w:pPr>
        <w:pStyle w:val="16"/>
        <w:spacing w:after="40" w:line="276" w:lineRule="auto"/>
      </w:pPr>
      <w:r>
        <w:rPr>
          <w:rFonts w:ascii="微软雅黑" w:hAnsi="微软雅黑" w:eastAsia="微软雅黑"/>
          <w:b w:val="0"/>
          <w:sz w:val="20"/>
        </w:rPr>
        <w:t>左上角菜单图标用于展开或收起页面目录。</w:t>
      </w:r>
    </w:p>
    <w:p w14:paraId="479393E5">
      <w:pPr>
        <w:pStyle w:val="16"/>
        <w:spacing w:after="4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4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4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15000" cy="338667"/>
                    </a:xfrm>
                    <a:prstGeom prst="rect">
                      <a:avLst/>
                    </a:prstGeom>
                  </pic:spPr>
                </pic:pic>
              </a:graphicData>
            </a:graphic>
          </wp:inline>
        </w:drawing>
      </w:r>
    </w:p>
    <w:p w14:paraId="0CBFCFE7">
      <w:pPr>
        <w:spacing w:after="80"/>
        <w:jc w:val="center"/>
      </w:pPr>
      <w:r>
        <w:rPr>
          <w:rFonts w:ascii="微软雅黑" w:hAnsi="微软雅黑" w:eastAsia="微软雅黑"/>
          <w:b w:val="0"/>
          <w:color w:val="606C80"/>
          <w:sz w:val="18"/>
        </w:rPr>
        <w:t>图2：顶部导航栏右侧区域。</w:t>
      </w:r>
    </w:p>
    <w:p w14:paraId="4E5A0E73">
      <w:pPr>
        <w:pStyle w:val="16"/>
        <w:spacing w:after="40" w:line="276" w:lineRule="auto"/>
      </w:pPr>
      <w:r>
        <w:rPr>
          <w:rFonts w:ascii="微软雅黑" w:hAnsi="微软雅黑" w:eastAsia="微软雅黑"/>
          <w:b w:val="0"/>
          <w:sz w:val="20"/>
        </w:rPr>
        <w:t>点击主题开关，可切换页面显示模式。</w:t>
      </w:r>
    </w:p>
    <w:p w14:paraId="0F8AD9E8">
      <w:pPr>
        <w:pStyle w:val="16"/>
        <w:spacing w:after="40" w:line="276" w:lineRule="auto"/>
      </w:pPr>
      <w:r>
        <w:rPr>
          <w:rFonts w:ascii="微软雅黑" w:hAnsi="微软雅黑" w:eastAsia="微软雅黑"/>
          <w:b w:val="0"/>
          <w:sz w:val="20"/>
        </w:rPr>
        <w:t>点击声音图标，可开启或关闭系统提示音。</w:t>
      </w:r>
    </w:p>
    <w:p w14:paraId="5C7D4480">
      <w:pPr>
        <w:pStyle w:val="16"/>
        <w:spacing w:after="40" w:line="276" w:lineRule="auto"/>
      </w:pPr>
      <w:r>
        <w:rPr>
          <w:rFonts w:ascii="微软雅黑" w:hAnsi="微软雅黑" w:eastAsia="微软雅黑"/>
          <w:b w:val="0"/>
          <w:sz w:val="20"/>
        </w:rPr>
        <w:t>点击背景样式图标，可切换页面背景显示效果。</w:t>
      </w:r>
    </w:p>
    <w:p w14:paraId="4A55B6A9">
      <w:pPr>
        <w:pStyle w:val="16"/>
        <w:spacing w:after="40" w:line="276" w:lineRule="auto"/>
      </w:pPr>
      <w:r>
        <w:rPr>
          <w:rFonts w:ascii="微软雅黑" w:hAnsi="微软雅黑" w:eastAsia="微软雅黑"/>
          <w:b w:val="0"/>
          <w:sz w:val="20"/>
        </w:rPr>
        <w:t>点击界面尺寸选项，可在默认、中、小、迷你之间切换页面显示尺寸。</w:t>
      </w:r>
    </w:p>
    <w:p w14:paraId="4B423F7E">
      <w:pPr>
        <w:pStyle w:val="16"/>
        <w:spacing w:after="40" w:line="276" w:lineRule="auto"/>
      </w:pPr>
      <w:r>
        <w:rPr>
          <w:rFonts w:ascii="微软雅黑" w:hAnsi="微软雅黑" w:eastAsia="微软雅黑"/>
          <w:b w:val="0"/>
          <w:sz w:val="20"/>
        </w:rPr>
        <w:t>点击语言入口，可切换系统显示语言。</w:t>
      </w:r>
    </w:p>
    <w:p w14:paraId="09AA4FBD">
      <w:pPr>
        <w:pStyle w:val="16"/>
        <w:spacing w:after="40" w:line="276" w:lineRule="auto"/>
      </w:pPr>
      <w:r>
        <w:rPr>
          <w:rFonts w:ascii="微软雅黑" w:hAnsi="微软雅黑" w:eastAsia="微软雅黑"/>
          <w:b w:val="0"/>
          <w:sz w:val="20"/>
        </w:rPr>
        <w:t>点击通知图标，可查看系统通知或消息提醒。</w:t>
      </w:r>
    </w:p>
    <w:p w14:paraId="004514B3">
      <w:pPr>
        <w:pStyle w:val="16"/>
        <w:spacing w:after="40" w:line="276" w:lineRule="auto"/>
      </w:pPr>
      <w:r>
        <w:rPr>
          <w:rFonts w:ascii="微软雅黑" w:hAnsi="微软雅黑" w:eastAsia="微软雅黑"/>
          <w:b w:val="0"/>
          <w:sz w:val="20"/>
        </w:rPr>
        <w:t>点击站点下拉框，可切换当前操作和查看的站点。</w:t>
      </w:r>
    </w:p>
    <w:p w14:paraId="65A72DD5">
      <w:pPr>
        <w:pStyle w:val="16"/>
        <w:spacing w:after="4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color w:val="1F4E79"/>
          <w:sz w:val="30"/>
        </w:rPr>
        <w:t>筛选、表格、分页、弹窗、状态开关等通用操作</w:t>
      </w:r>
    </w:p>
    <w:p w14:paraId="4460A6EB">
      <w:pPr>
        <w:pStyle w:val="16"/>
        <w:spacing w:after="4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4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4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4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4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color w:val="17365D"/>
          <w:sz w:val="40"/>
        </w:rPr>
        <w:t>三、首页</w:t>
      </w:r>
    </w:p>
    <w:p w14:paraId="011B137F">
      <w:pPr>
        <w:pStyle w:val="4"/>
        <w:keepNext/>
        <w:spacing w:before="240" w:after="140" w:line="269" w:lineRule="auto"/>
      </w:pPr>
      <w:r>
        <w:rPr>
          <w:rFonts w:ascii="微软雅黑" w:hAnsi="微软雅黑" w:eastAsia="微软雅黑"/>
          <w:b/>
          <w:color w:val="1F4E79"/>
          <w:sz w:val="30"/>
        </w:rPr>
        <w:t>默认看板</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5000" cy="2453799"/>
                    </a:xfrm>
                    <a:prstGeom prst="rect">
                      <a:avLst/>
                    </a:prstGeom>
                  </pic:spPr>
                </pic:pic>
              </a:graphicData>
            </a:graphic>
          </wp:inline>
        </w:drawing>
      </w:r>
    </w:p>
    <w:p w14:paraId="29B9A087">
      <w:pPr>
        <w:spacing w:after="80"/>
        <w:jc w:val="center"/>
      </w:pPr>
      <w:r>
        <w:rPr>
          <w:rFonts w:ascii="微软雅黑" w:hAnsi="微软雅黑" w:eastAsia="微软雅黑"/>
          <w:b w:val="0"/>
          <w:color w:val="606C80"/>
          <w:sz w:val="18"/>
        </w:rPr>
        <w:t>图3：首页看板，用于查看站点核心数据与待处理事项。</w:t>
      </w:r>
    </w:p>
    <w:p w14:paraId="26EB95C4">
      <w:pPr>
        <w:pStyle w:val="16"/>
        <w:spacing w:after="4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4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4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4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4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color w:val="17365D"/>
          <w:sz w:val="40"/>
        </w:rPr>
        <w:t>四、站点配置</w:t>
      </w:r>
    </w:p>
    <w:p w14:paraId="09A77A3A">
      <w:pPr>
        <w:pStyle w:val="4"/>
        <w:keepNext/>
        <w:spacing w:before="240" w:after="140" w:line="269" w:lineRule="auto"/>
      </w:pPr>
      <w:r>
        <w:rPr>
          <w:rFonts w:ascii="微软雅黑" w:hAnsi="微软雅黑" w:eastAsia="微软雅黑"/>
          <w:b/>
          <w:color w:val="1F4E79"/>
          <w:sz w:val="30"/>
        </w:rPr>
        <w:t>模块定位</w:t>
      </w:r>
    </w:p>
    <w:p w14:paraId="34C890A4">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A2E6C01">
      <w:pPr>
        <w:pStyle w:val="4"/>
        <w:keepNext/>
        <w:spacing w:before="240" w:after="140" w:line="269" w:lineRule="auto"/>
      </w:pPr>
      <w:r>
        <w:rPr>
          <w:rFonts w:ascii="微软雅黑" w:hAnsi="微软雅黑" w:eastAsia="微软雅黑"/>
          <w:b/>
          <w:color w:val="1F4E79"/>
          <w:sz w:val="30"/>
        </w:rPr>
        <w:t>页面说明</w:t>
      </w:r>
    </w:p>
    <w:p w14:paraId="6F34775A">
      <w:pPr>
        <w:pStyle w:val="5"/>
        <w:keepNext/>
        <w:spacing w:before="180" w:after="100" w:line="259" w:lineRule="auto"/>
        <w:rPr>
          <w:sz w:val="24"/>
          <w:szCs w:val="28"/>
        </w:rPr>
      </w:pPr>
      <w:r>
        <w:rPr>
          <w:rFonts w:ascii="微软雅黑" w:hAnsi="微软雅黑" w:eastAsia="微软雅黑"/>
          <w:b/>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15000" cy="2611530"/>
                    </a:xfrm>
                    <a:prstGeom prst="rect">
                      <a:avLst/>
                    </a:prstGeom>
                  </pic:spPr>
                </pic:pic>
              </a:graphicData>
            </a:graphic>
          </wp:inline>
        </w:drawing>
      </w:r>
    </w:p>
    <w:p w14:paraId="6A77B95A">
      <w:pPr>
        <w:spacing w:after="80"/>
        <w:jc w:val="center"/>
      </w:pPr>
      <w:r>
        <w:rPr>
          <w:rFonts w:ascii="微软雅黑" w:hAnsi="微软雅黑" w:eastAsia="微软雅黑"/>
          <w:b w:val="0"/>
          <w:color w:val="606C80"/>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6"/>
        <w:keepNext/>
        <w:spacing w:before="120" w:after="60" w:line="252" w:lineRule="auto"/>
      </w:pPr>
      <w:r>
        <w:rPr>
          <w:rFonts w:ascii="微软雅黑" w:hAnsi="微软雅黑" w:eastAsia="微软雅黑"/>
          <w:b/>
          <w:color w:val="44546A"/>
          <w:sz w:val="22"/>
        </w:rPr>
        <w:t>左侧组件区</w:t>
      </w:r>
    </w:p>
    <w:p w14:paraId="1D3F2BD9">
      <w:pPr>
        <w:pStyle w:val="16"/>
        <w:spacing w:after="4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4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4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4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6"/>
        <w:keepNext/>
        <w:spacing w:before="120" w:after="60" w:line="252" w:lineRule="auto"/>
      </w:pPr>
      <w:r>
        <w:rPr>
          <w:rFonts w:ascii="微软雅黑" w:hAnsi="微软雅黑" w:eastAsia="微软雅黑"/>
          <w:b/>
          <w:color w:val="44546A"/>
          <w:sz w:val="22"/>
        </w:rPr>
        <w:t>中间页面预览区</w:t>
      </w:r>
    </w:p>
    <w:p w14:paraId="7153ADD5">
      <w:pPr>
        <w:pStyle w:val="16"/>
        <w:spacing w:after="4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4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4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4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6"/>
        <w:keepNext/>
        <w:spacing w:before="120" w:after="60" w:line="252" w:lineRule="auto"/>
      </w:pPr>
      <w:r>
        <w:rPr>
          <w:rFonts w:ascii="微软雅黑" w:hAnsi="微软雅黑" w:eastAsia="微软雅黑"/>
          <w:b/>
          <w:color w:val="44546A"/>
          <w:sz w:val="22"/>
        </w:rPr>
        <w:t>右侧设置区</w:t>
      </w:r>
    </w:p>
    <w:p w14:paraId="032B67C5">
      <w:pPr>
        <w:pStyle w:val="16"/>
        <w:spacing w:after="4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4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4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6"/>
        <w:keepNext/>
        <w:spacing w:before="120" w:after="60" w:line="252" w:lineRule="auto"/>
      </w:pPr>
      <w:r>
        <w:rPr>
          <w:rFonts w:ascii="微软雅黑" w:hAnsi="微软雅黑" w:eastAsia="微软雅黑"/>
          <w:b/>
          <w:color w:val="44546A"/>
          <w:sz w:val="22"/>
        </w:rPr>
        <w:t>组件说明</w:t>
      </w:r>
    </w:p>
    <w:p w14:paraId="11D85364">
      <w:pPr>
        <w:spacing w:after="60" w:line="276" w:lineRule="auto"/>
      </w:pPr>
      <w:r>
        <w:rPr>
          <w:rFonts w:ascii="微软雅黑" w:hAnsi="微软雅黑" w:eastAsia="微软雅黑"/>
          <w:b w:val="0"/>
          <w:sz w:val="20"/>
        </w:rPr>
        <w:t>组件说明按模板管理中常见组件逐项整理。后续补充截图时，可在对应组件下继续追加字段截图、弹窗说明或配置示例。</w:t>
      </w:r>
    </w:p>
    <w:p w14:paraId="52A0F926">
      <w:pPr>
        <w:pStyle w:val="6"/>
        <w:keepNext/>
        <w:spacing w:before="120" w:after="60" w:line="252" w:lineRule="auto"/>
      </w:pPr>
      <w:r>
        <w:rPr>
          <w:rFonts w:ascii="微软雅黑" w:hAnsi="微软雅黑" w:eastAsia="微软雅黑"/>
          <w:b/>
          <w:color w:val="44546A"/>
          <w:sz w:val="22"/>
        </w:rPr>
        <w:t>轮播图（Banner/Carousel）</w:t>
      </w:r>
    </w:p>
    <w:p w14:paraId="68CABF8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4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6"/>
        <w:keepNext/>
        <w:spacing w:before="120" w:after="60" w:line="252" w:lineRule="auto"/>
      </w:pPr>
      <w:r>
        <w:rPr>
          <w:rFonts w:ascii="微软雅黑" w:hAnsi="微软雅黑" w:eastAsia="微软雅黑"/>
          <w:b/>
          <w:color w:val="44546A"/>
          <w:sz w:val="22"/>
        </w:rPr>
        <w:t>奖池（Jackpot）</w:t>
      </w:r>
    </w:p>
    <w:p w14:paraId="0115193A">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6"/>
        <w:keepNext/>
        <w:spacing w:before="120" w:after="60" w:line="252" w:lineRule="auto"/>
      </w:pPr>
      <w:r>
        <w:rPr>
          <w:rFonts w:ascii="微软雅黑" w:hAnsi="微软雅黑" w:eastAsia="微软雅黑"/>
          <w:b/>
          <w:color w:val="44546A"/>
          <w:sz w:val="22"/>
        </w:rPr>
        <w:t>公告栏（Notice/Marquee）</w:t>
      </w:r>
    </w:p>
    <w:p w14:paraId="4EF9DA20">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4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6"/>
        <w:keepNext/>
        <w:spacing w:before="120" w:after="60" w:line="252" w:lineRule="auto"/>
      </w:pPr>
      <w:r>
        <w:rPr>
          <w:rFonts w:ascii="微软雅黑" w:hAnsi="微软雅黑" w:eastAsia="微软雅黑"/>
          <w:b/>
          <w:color w:val="44546A"/>
          <w:sz w:val="22"/>
        </w:rPr>
        <w:t>快捷入口（Quick Entry）</w:t>
      </w:r>
    </w:p>
    <w:p w14:paraId="2F8BC3AC">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4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6"/>
        <w:keepNext/>
        <w:spacing w:before="120" w:after="60" w:line="252" w:lineRule="auto"/>
      </w:pPr>
      <w:r>
        <w:rPr>
          <w:rFonts w:ascii="微软雅黑" w:hAnsi="微软雅黑" w:eastAsia="微软雅黑"/>
          <w:b/>
          <w:color w:val="44546A"/>
          <w:sz w:val="22"/>
        </w:rPr>
        <w:t>楼层导航（Floor Navigation）</w:t>
      </w:r>
    </w:p>
    <w:p w14:paraId="7CCB47AF">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6"/>
        <w:keepNext/>
        <w:spacing w:before="120" w:after="60" w:line="252" w:lineRule="auto"/>
      </w:pPr>
      <w:r>
        <w:rPr>
          <w:rFonts w:ascii="微软雅黑" w:hAnsi="微软雅黑" w:eastAsia="微软雅黑"/>
          <w:b/>
          <w:color w:val="44546A"/>
          <w:sz w:val="22"/>
        </w:rPr>
        <w:t>个人引导（User Guide / Profile Entry）</w:t>
      </w:r>
    </w:p>
    <w:p w14:paraId="067B3665">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4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4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6"/>
        <w:keepNext/>
        <w:spacing w:before="120" w:after="60" w:line="252" w:lineRule="auto"/>
      </w:pPr>
      <w:r>
        <w:rPr>
          <w:rFonts w:ascii="微软雅黑" w:hAnsi="微软雅黑" w:eastAsia="微软雅黑"/>
          <w:b/>
          <w:color w:val="44546A"/>
          <w:sz w:val="22"/>
        </w:rPr>
        <w:t>底部导航（Bottom Navigation / TabBar）</w:t>
      </w:r>
    </w:p>
    <w:p w14:paraId="2A076B5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4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6"/>
        <w:keepNext/>
        <w:spacing w:before="120" w:after="60" w:line="252" w:lineRule="auto"/>
      </w:pPr>
      <w:r>
        <w:rPr>
          <w:rFonts w:ascii="微软雅黑" w:hAnsi="微软雅黑" w:eastAsia="微软雅黑"/>
          <w:b/>
          <w:color w:val="44546A"/>
          <w:sz w:val="22"/>
        </w:rPr>
        <w:t>游戏模块（Game Module）</w:t>
      </w:r>
    </w:p>
    <w:p w14:paraId="5DF0F249">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40" w:line="276" w:lineRule="auto"/>
      </w:pPr>
      <w:r>
        <w:rPr>
          <w:rFonts w:ascii="微软雅黑" w:hAnsi="微软雅黑" w:eastAsia="微软雅黑"/>
          <w:b/>
          <w:color w:val="254061"/>
          <w:sz w:val="20"/>
        </w:rPr>
        <w:t>展示配置：</w:t>
      </w:r>
      <w:r>
        <w:rPr>
          <w:rFonts w:ascii="微软雅黑" w:hAnsi="微软雅黑" w:eastAsia="微软雅黑"/>
          <w:b w:val="0"/>
          <w:sz w:val="20"/>
        </w:rPr>
        <w:t>可选择热门、老虎机、真人、棋牌、体育、捕鱼等分类；卡片可按图片、名称、厂商等不同信息组合展示。</w:t>
      </w:r>
    </w:p>
    <w:p w14:paraId="3B323D7F">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6"/>
        <w:keepNext/>
        <w:spacing w:before="120" w:after="60" w:line="252" w:lineRule="auto"/>
      </w:pPr>
      <w:r>
        <w:rPr>
          <w:rFonts w:ascii="微软雅黑" w:hAnsi="微软雅黑" w:eastAsia="微软雅黑"/>
          <w:b/>
          <w:color w:val="44546A"/>
          <w:sz w:val="22"/>
        </w:rPr>
        <w:t>登录模板组件（Login Template）</w:t>
      </w:r>
    </w:p>
    <w:p w14:paraId="2F58A5A4">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4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4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6"/>
        <w:keepNext/>
        <w:spacing w:before="120" w:after="60" w:line="252" w:lineRule="auto"/>
      </w:pPr>
      <w:r>
        <w:rPr>
          <w:rFonts w:ascii="微软雅黑" w:hAnsi="微软雅黑" w:eastAsia="微软雅黑"/>
          <w:b/>
          <w:color w:val="44546A"/>
          <w:sz w:val="22"/>
        </w:rPr>
        <w:t>VIP模板组件（VIP Template）</w:t>
      </w:r>
    </w:p>
    <w:p w14:paraId="4D987428">
      <w:pPr>
        <w:pStyle w:val="16"/>
        <w:spacing w:after="4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4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4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4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4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4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40" w:line="276" w:lineRule="auto"/>
        <w:ind w:leftChars="0"/>
      </w:pPr>
    </w:p>
    <w:p w14:paraId="5BD504D3">
      <w:pPr>
        <w:pStyle w:val="5"/>
        <w:keepNext/>
        <w:spacing w:before="180" w:after="100" w:line="259" w:lineRule="auto"/>
        <w:rPr>
          <w:sz w:val="24"/>
          <w:szCs w:val="28"/>
        </w:rPr>
      </w:pPr>
      <w:r>
        <w:rPr>
          <w:rFonts w:ascii="微软雅黑" w:hAnsi="微软雅黑" w:eastAsia="微软雅黑"/>
          <w:b/>
          <w:color w:val="2F5597"/>
          <w:sz w:val="25"/>
          <w:szCs w:val="28"/>
        </w:rPr>
        <w:t>站点</w:t>
      </w:r>
      <w:r>
        <w:rPr>
          <w:rFonts w:hint="eastAsia" w:ascii="微软雅黑" w:hAnsi="微软雅黑" w:eastAsia="微软雅黑"/>
          <w:b/>
          <w:color w:val="2F5597"/>
          <w:sz w:val="25"/>
          <w:szCs w:val="28"/>
          <w:lang w:val="en-US" w:eastAsia="zh-CN"/>
        </w:rPr>
        <w:t>应用</w:t>
      </w:r>
      <w:r>
        <w:rPr>
          <w:rFonts w:ascii="微软雅黑" w:hAnsi="微软雅黑" w:eastAsia="微软雅黑"/>
          <w:b/>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6"/>
        <w:keepNext/>
        <w:spacing w:before="120" w:after="60" w:line="252" w:lineRule="auto"/>
      </w:pPr>
      <w:r>
        <w:rPr>
          <w:rFonts w:ascii="微软雅黑" w:hAnsi="微软雅黑" w:eastAsia="微软雅黑"/>
          <w:b/>
          <w:color w:val="44546A"/>
          <w:sz w:val="22"/>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15000" cy="1607344"/>
                    </a:xfrm>
                    <a:prstGeom prst="rect">
                      <a:avLst/>
                    </a:prstGeom>
                  </pic:spPr>
                </pic:pic>
              </a:graphicData>
            </a:graphic>
          </wp:inline>
        </w:drawing>
      </w:r>
    </w:p>
    <w:p w14:paraId="618531B9">
      <w:pPr>
        <w:spacing w:after="80"/>
        <w:jc w:val="center"/>
      </w:pPr>
      <w:r>
        <w:rPr>
          <w:rFonts w:ascii="微软雅黑" w:hAnsi="微软雅黑" w:eastAsia="微软雅黑"/>
          <w:b w:val="0"/>
          <w:color w:val="606C80"/>
          <w:sz w:val="18"/>
        </w:rPr>
        <w:t>图5：网站图标配置卡片，用于维护站点 Logo 与 Favicon。</w:t>
      </w:r>
    </w:p>
    <w:p w14:paraId="5CB786C2">
      <w:pPr>
        <w:pStyle w:val="16"/>
        <w:spacing w:after="4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4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6"/>
        <w:keepNext/>
        <w:spacing w:before="120" w:after="60" w:line="252" w:lineRule="auto"/>
      </w:pPr>
      <w:r>
        <w:rPr>
          <w:rFonts w:ascii="微软雅黑" w:hAnsi="微软雅黑" w:eastAsia="微软雅黑"/>
          <w:b/>
          <w:color w:val="44546A"/>
          <w:sz w:val="22"/>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15000" cy="1473398"/>
                    </a:xfrm>
                    <a:prstGeom prst="rect">
                      <a:avLst/>
                    </a:prstGeom>
                  </pic:spPr>
                </pic:pic>
              </a:graphicData>
            </a:graphic>
          </wp:inline>
        </w:drawing>
      </w:r>
    </w:p>
    <w:p w14:paraId="25C8DE3C">
      <w:pPr>
        <w:spacing w:after="80"/>
        <w:jc w:val="center"/>
      </w:pPr>
      <w:r>
        <w:rPr>
          <w:rFonts w:ascii="微软雅黑" w:hAnsi="微软雅黑" w:eastAsia="微软雅黑"/>
          <w:b w:val="0"/>
          <w:color w:val="606C80"/>
          <w:sz w:val="18"/>
        </w:rPr>
        <w:t>图6：币种管理配置卡片，用于维护站点货币图标和货币符号。</w:t>
      </w:r>
    </w:p>
    <w:p w14:paraId="2295EF80">
      <w:pPr>
        <w:pStyle w:val="16"/>
        <w:spacing w:after="4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4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6"/>
        <w:keepNext/>
        <w:spacing w:before="120" w:after="60" w:line="252" w:lineRule="auto"/>
      </w:pPr>
      <w:r>
        <w:rPr>
          <w:rFonts w:ascii="微软雅黑" w:hAnsi="微软雅黑" w:eastAsia="微软雅黑"/>
          <w:b/>
          <w:color w:val="44546A"/>
          <w:sz w:val="22"/>
        </w:rPr>
        <w:t>分享卡片配置</w:t>
      </w:r>
    </w:p>
    <w:p w14:paraId="555E6BD3">
      <w:pPr>
        <w:spacing w:after="40"/>
        <w:jc w:val="center"/>
      </w:pPr>
      <w:r>
        <w:drawing>
          <wp:inline distT="0" distB="0" distL="114300" distR="114300">
            <wp:extent cx="5715000" cy="1696085"/>
            <wp:effectExtent l="0" t="0" r="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15000" cy="1696641"/>
                    </a:xfrm>
                    <a:prstGeom prst="rect">
                      <a:avLst/>
                    </a:prstGeom>
                  </pic:spPr>
                </pic:pic>
              </a:graphicData>
            </a:graphic>
          </wp:inline>
        </w:drawing>
      </w:r>
    </w:p>
    <w:p w14:paraId="1883120A">
      <w:pPr>
        <w:spacing w:after="80"/>
        <w:jc w:val="center"/>
      </w:pPr>
      <w:r>
        <w:rPr>
          <w:rFonts w:ascii="微软雅黑" w:hAnsi="微软雅黑" w:eastAsia="微软雅黑"/>
          <w:b w:val="0"/>
          <w:color w:val="606C80"/>
          <w:sz w:val="18"/>
        </w:rPr>
        <w:t>图7：分享卡片配置卡片，用于维护 Social Share / Open Graph 分享信息。</w:t>
      </w:r>
    </w:p>
    <w:p w14:paraId="018D144C">
      <w:pPr>
        <w:pStyle w:val="16"/>
        <w:spacing w:after="4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4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4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4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70A219B5">
      <w:pPr>
        <w:pStyle w:val="6"/>
        <w:keepNext/>
        <w:spacing w:before="120" w:after="60" w:line="252" w:lineRule="auto"/>
      </w:pPr>
      <w:r>
        <w:rPr>
          <w:rFonts w:ascii="微软雅黑" w:hAnsi="微软雅黑" w:eastAsia="微软雅黑"/>
          <w:b/>
          <w:color w:val="44546A"/>
          <w:sz w:val="22"/>
        </w:rPr>
        <w:t>侧滑优惠中心</w:t>
      </w:r>
    </w:p>
    <w:p w14:paraId="4134DE7F">
      <w:pPr>
        <w:spacing w:after="40"/>
        <w:jc w:val="center"/>
      </w:pPr>
      <w:r>
        <w:drawing>
          <wp:inline distT="0" distB="0" distL="114300" distR="114300">
            <wp:extent cx="5715000" cy="23215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715000" cy="2321719"/>
                    </a:xfrm>
                    <a:prstGeom prst="rect">
                      <a:avLst/>
                    </a:prstGeom>
                  </pic:spPr>
                </pic:pic>
              </a:graphicData>
            </a:graphic>
          </wp:inline>
        </w:drawing>
      </w:r>
    </w:p>
    <w:p w14:paraId="292D0143">
      <w:pPr>
        <w:spacing w:after="80"/>
        <w:jc w:val="center"/>
      </w:pPr>
      <w:r>
        <w:rPr>
          <w:rFonts w:ascii="微软雅黑" w:hAnsi="微软雅黑" w:eastAsia="微软雅黑"/>
          <w:b w:val="0"/>
          <w:color w:val="606C80"/>
          <w:sz w:val="18"/>
        </w:rPr>
        <w:t>图8：侧滑优惠中心配置卡片，用于维护前台侧滑活动入口。</w:t>
      </w:r>
    </w:p>
    <w:p w14:paraId="6037735B">
      <w:pPr>
        <w:pStyle w:val="16"/>
        <w:spacing w:after="4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18A3F270">
      <w:pPr>
        <w:pStyle w:val="16"/>
        <w:spacing w:after="40" w:line="276" w:lineRule="auto"/>
      </w:pPr>
      <w:r>
        <w:rPr>
          <w:rFonts w:ascii="微软雅黑" w:hAnsi="微软雅黑" w:eastAsia="微软雅黑"/>
          <w:b/>
          <w:color w:val="254061"/>
          <w:sz w:val="20"/>
        </w:rPr>
        <w:t>新增：</w:t>
      </w:r>
      <w:r>
        <w:rPr>
          <w:rFonts w:ascii="微软雅黑" w:hAnsi="微软雅黑" w:eastAsia="微软雅黑"/>
          <w:b w:val="0"/>
          <w:sz w:val="20"/>
        </w:rPr>
        <w:t>点击右上角新增创建新的侧滑入口，填写名称、路由、排序并上传图标。</w:t>
      </w:r>
    </w:p>
    <w:p w14:paraId="7F2ACBD1">
      <w:pPr>
        <w:pStyle w:val="16"/>
        <w:spacing w:after="4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6"/>
        <w:keepNext/>
        <w:spacing w:before="120" w:after="60" w:line="252" w:lineRule="auto"/>
      </w:pPr>
      <w:r>
        <w:rPr>
          <w:rFonts w:ascii="微软雅黑" w:hAnsi="微软雅黑" w:eastAsia="微软雅黑"/>
          <w:b/>
          <w:color w:val="44546A"/>
          <w:sz w:val="22"/>
        </w:rPr>
        <w:t>首页快捷操作配置</w:t>
      </w:r>
    </w:p>
    <w:p w14:paraId="5928A28D">
      <w:pPr>
        <w:spacing w:after="40"/>
        <w:jc w:val="center"/>
      </w:pPr>
      <w:r>
        <w:drawing>
          <wp:inline distT="0" distB="0" distL="114300" distR="114300">
            <wp:extent cx="5715000" cy="23215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715000" cy="2321719"/>
                    </a:xfrm>
                    <a:prstGeom prst="rect">
                      <a:avLst/>
                    </a:prstGeom>
                  </pic:spPr>
                </pic:pic>
              </a:graphicData>
            </a:graphic>
          </wp:inline>
        </w:drawing>
      </w:r>
    </w:p>
    <w:p w14:paraId="27B160DE">
      <w:pPr>
        <w:spacing w:after="80"/>
        <w:jc w:val="center"/>
      </w:pPr>
      <w:r>
        <w:rPr>
          <w:rFonts w:ascii="微软雅黑" w:hAnsi="微软雅黑" w:eastAsia="微软雅黑"/>
          <w:b w:val="0"/>
          <w:color w:val="606C80"/>
          <w:sz w:val="18"/>
        </w:rPr>
        <w:t>图9：首页快捷操作配置卡片，用于维护首页快捷入口。</w:t>
      </w:r>
    </w:p>
    <w:p w14:paraId="2AD5049D">
      <w:pPr>
        <w:pStyle w:val="16"/>
        <w:spacing w:after="4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4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通过新增、编辑、删除维护入口列表；保存前检查路由、图标和排序。</w:t>
      </w:r>
    </w:p>
    <w:p w14:paraId="0EA33020">
      <w:pPr>
        <w:pStyle w:val="6"/>
        <w:keepNext/>
        <w:spacing w:before="120" w:after="60" w:line="252" w:lineRule="auto"/>
      </w:pPr>
      <w:r>
        <w:rPr>
          <w:rFonts w:ascii="微软雅黑" w:hAnsi="微软雅黑" w:eastAsia="微软雅黑"/>
          <w:b/>
          <w:color w:val="44546A"/>
          <w:sz w:val="22"/>
        </w:rPr>
        <w:t>首页悬浮按钮配置</w:t>
      </w:r>
    </w:p>
    <w:p w14:paraId="557875E2">
      <w:pPr>
        <w:spacing w:after="40"/>
        <w:jc w:val="center"/>
      </w:pPr>
      <w:r>
        <w:drawing>
          <wp:inline distT="0" distB="0" distL="114300" distR="114300">
            <wp:extent cx="5715000" cy="1875155"/>
            <wp:effectExtent l="0" t="0" r="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715000" cy="1875234"/>
                    </a:xfrm>
                    <a:prstGeom prst="rect">
                      <a:avLst/>
                    </a:prstGeom>
                  </pic:spPr>
                </pic:pic>
              </a:graphicData>
            </a:graphic>
          </wp:inline>
        </w:drawing>
      </w:r>
    </w:p>
    <w:p w14:paraId="7C7B5186">
      <w:pPr>
        <w:spacing w:after="80"/>
        <w:jc w:val="center"/>
      </w:pPr>
      <w:r>
        <w:rPr>
          <w:rFonts w:ascii="微软雅黑" w:hAnsi="微软雅黑" w:eastAsia="微软雅黑"/>
          <w:b w:val="0"/>
          <w:color w:val="606C80"/>
          <w:sz w:val="18"/>
        </w:rPr>
        <w:t>图10：首页悬浮按钮配置卡片，用于维护首页左右侧悬浮按钮组。</w:t>
      </w:r>
    </w:p>
    <w:p w14:paraId="5BE4C7F9">
      <w:pPr>
        <w:pStyle w:val="16"/>
        <w:spacing w:after="4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4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4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5"/>
      </w:pPr>
      <w:r>
        <w:rPr>
          <w:rFonts w:ascii="微软雅黑" w:hAnsi="微软雅黑" w:eastAsia="微软雅黑"/>
          <w:b/>
          <w:color w:val="2F5597"/>
          <w:sz w:val="25"/>
        </w:rPr>
        <w:t>子站点管理</w:t>
      </w:r>
    </w:p>
    <w:p w14:paraId="16EAF1E2">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6"/>
      </w:pPr>
      <w:r>
        <w:rPr>
          <w:rFonts w:ascii="微软雅黑" w:hAnsi="微软雅黑" w:eastAsia="微软雅黑"/>
          <w:b/>
          <w:color w:val="44546A"/>
          <w:sz w:val="22"/>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43600" cy="1391055"/>
                    </a:xfrm>
                    <a:prstGeom prst="rect">
                      <a:avLst/>
                    </a:prstGeom>
                  </pic:spPr>
                </pic:pic>
              </a:graphicData>
            </a:graphic>
          </wp:inline>
        </w:drawing>
      </w:r>
    </w:p>
    <w:p w14:paraId="4059E030">
      <w:pPr>
        <w:pStyle w:val="15"/>
        <w:jc w:val="center"/>
      </w:pPr>
      <w:r>
        <w:rPr>
          <w:rFonts w:ascii="微软雅黑" w:hAnsi="微软雅黑" w:eastAsia="微软雅黑"/>
          <w:b w:val="0"/>
          <w:color w:val="808080"/>
          <w:sz w:val="18"/>
        </w:rPr>
        <w:t>图11：子站点管理列表，用于查看站点及各项配置入口。</w:t>
      </w:r>
    </w:p>
    <w:p w14:paraId="41118C19">
      <w:pPr>
        <w:pStyle w:val="16"/>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pPr>
      <w:r>
        <w:rPr>
          <w:rFonts w:ascii="微软雅黑" w:hAnsi="微软雅黑" w:eastAsia="微软雅黑"/>
          <w:b w:val="0"/>
          <w:sz w:val="20"/>
        </w:rPr>
        <w:t>行内操作：每行右侧提供修改入口，用于调整站点名称、页面模板和状态等基础信息。</w:t>
      </w:r>
    </w:p>
    <w:p w14:paraId="0CF98BA2">
      <w:pPr>
        <w:pStyle w:val="6"/>
      </w:pPr>
      <w:r>
        <w:rPr>
          <w:rFonts w:ascii="微软雅黑" w:hAnsi="微软雅黑" w:eastAsia="微软雅黑"/>
          <w:b/>
          <w:color w:val="44546A"/>
          <w:sz w:val="22"/>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4389120" cy="2104820"/>
                    </a:xfrm>
                    <a:prstGeom prst="rect">
                      <a:avLst/>
                    </a:prstGeom>
                  </pic:spPr>
                </pic:pic>
              </a:graphicData>
            </a:graphic>
          </wp:inline>
        </w:drawing>
      </w:r>
    </w:p>
    <w:p w14:paraId="435BFFBF">
      <w:pPr>
        <w:pStyle w:val="15"/>
        <w:jc w:val="center"/>
      </w:pPr>
      <w:r>
        <w:rPr>
          <w:rFonts w:ascii="微软雅黑" w:hAnsi="微软雅黑" w:eastAsia="微软雅黑"/>
          <w:b w:val="0"/>
          <w:color w:val="808080"/>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389120" cy="2447465"/>
                    </a:xfrm>
                    <a:prstGeom prst="rect">
                      <a:avLst/>
                    </a:prstGeom>
                  </pic:spPr>
                </pic:pic>
              </a:graphicData>
            </a:graphic>
          </wp:inline>
        </w:drawing>
      </w:r>
    </w:p>
    <w:p w14:paraId="76E048EC">
      <w:pPr>
        <w:pStyle w:val="15"/>
        <w:jc w:val="center"/>
      </w:pPr>
      <w:r>
        <w:rPr>
          <w:rFonts w:ascii="微软雅黑" w:hAnsi="微软雅黑" w:eastAsia="微软雅黑"/>
          <w:b w:val="0"/>
          <w:color w:val="808080"/>
          <w:sz w:val="18"/>
        </w:rPr>
        <w:t>图13：创建站点-复制站点，先选择要复制的站点再填写新站点信息。</w:t>
      </w:r>
    </w:p>
    <w:p w14:paraId="53E6F835">
      <w:pPr>
        <w:pStyle w:val="16"/>
      </w:pPr>
      <w:r>
        <w:rPr>
          <w:rFonts w:ascii="微软雅黑" w:hAnsi="微软雅黑" w:eastAsia="微软雅黑"/>
          <w:b w:val="0"/>
          <w:sz w:val="20"/>
        </w:rPr>
        <w:t>入口：点击列表右上角创建站点打开创建弹窗。</w:t>
      </w:r>
    </w:p>
    <w:p w14:paraId="52A9BD64">
      <w:pPr>
        <w:pStyle w:val="16"/>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6"/>
      </w:pPr>
      <w:r>
        <w:rPr>
          <w:rFonts w:ascii="微软雅黑" w:hAnsi="微软雅黑" w:eastAsia="微软雅黑"/>
          <w:b/>
          <w:color w:val="44546A"/>
          <w:sz w:val="22"/>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2926080" cy="1755648"/>
                    </a:xfrm>
                    <a:prstGeom prst="rect">
                      <a:avLst/>
                    </a:prstGeom>
                  </pic:spPr>
                </pic:pic>
              </a:graphicData>
            </a:graphic>
          </wp:inline>
        </w:drawing>
      </w:r>
    </w:p>
    <w:p w14:paraId="5844AACC">
      <w:pPr>
        <w:pStyle w:val="15"/>
        <w:jc w:val="center"/>
      </w:pPr>
      <w:r>
        <w:rPr>
          <w:rFonts w:ascii="微软雅黑" w:hAnsi="微软雅黑" w:eastAsia="微软雅黑"/>
          <w:b w:val="0"/>
          <w:color w:val="808080"/>
          <w:sz w:val="18"/>
        </w:rPr>
        <w:t>图14：设置最小用户ID，用于控制子站点用户ID起算范围。</w:t>
      </w:r>
    </w:p>
    <w:p w14:paraId="08C9A224">
      <w:pPr>
        <w:pStyle w:val="16"/>
      </w:pPr>
      <w:r>
        <w:rPr>
          <w:rFonts w:ascii="微软雅黑" w:hAnsi="微软雅黑" w:eastAsia="微软雅黑"/>
          <w:b w:val="0"/>
          <w:sz w:val="20"/>
        </w:rPr>
        <w:t>用途：创建或维护子站点时，可通过设置最小用户ID控制该站点下用户ID的起算范围。</w:t>
      </w:r>
    </w:p>
    <w:p w14:paraId="174124E6">
      <w:pPr>
        <w:pStyle w:val="16"/>
      </w:pPr>
      <w:r>
        <w:rPr>
          <w:rFonts w:ascii="微软雅黑" w:hAnsi="微软雅黑" w:eastAsia="微软雅黑"/>
          <w:b w:val="0"/>
          <w:sz w:val="20"/>
        </w:rPr>
        <w:t>字段说明：最小用户ID默认示例为10000，可通过输入框或右侧加减控件调整。</w:t>
      </w:r>
    </w:p>
    <w:p w14:paraId="5E6CF4D0">
      <w:pPr>
        <w:pStyle w:val="16"/>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ind w:left="1260" w:leftChars="0" w:hanging="420" w:firstLineChars="0"/>
        <w:rPr>
          <w:rFonts w:hint="default" w:eastAsia="微软雅黑"/>
          <w:lang w:val="en-US" w:eastAsia="zh-CN"/>
        </w:rPr>
      </w:pPr>
      <w:r>
        <w:rPr>
          <w:rFonts w:hint="eastAsia"/>
          <w:b w:val="0"/>
          <w:sz w:val="20"/>
          <w:lang w:val="en-US" w:eastAsia="zh-CN"/>
        </w:rPr>
        <w:t xml:space="preserve">  新修改的ID必须比之前已注册用户最大编号大。</w:t>
      </w:r>
    </w:p>
    <w:p w14:paraId="77A9C0B8">
      <w:pPr>
        <w:pStyle w:val="6"/>
      </w:pPr>
      <w:r>
        <w:rPr>
          <w:rFonts w:ascii="微软雅黑" w:hAnsi="微软雅黑" w:eastAsia="微软雅黑"/>
          <w:b/>
          <w:color w:val="44546A"/>
          <w:sz w:val="22"/>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389120" cy="3483813"/>
                    </a:xfrm>
                    <a:prstGeom prst="rect">
                      <a:avLst/>
                    </a:prstGeom>
                  </pic:spPr>
                </pic:pic>
              </a:graphicData>
            </a:graphic>
          </wp:inline>
        </w:drawing>
      </w:r>
    </w:p>
    <w:p w14:paraId="359D7D15">
      <w:pPr>
        <w:pStyle w:val="15"/>
        <w:jc w:val="center"/>
      </w:pPr>
      <w:r>
        <w:rPr>
          <w:rFonts w:ascii="微软雅黑" w:hAnsi="微软雅黑" w:eastAsia="微软雅黑"/>
          <w:b w:val="0"/>
          <w:color w:val="808080"/>
          <w:sz w:val="18"/>
        </w:rPr>
        <w:t>图15：编辑站点，可修改站点名称、页面模板和站点状态。</w:t>
      </w:r>
    </w:p>
    <w:p w14:paraId="3D37CA0E">
      <w:pPr>
        <w:pStyle w:val="16"/>
      </w:pPr>
      <w:r>
        <w:rPr>
          <w:rFonts w:ascii="微软雅黑" w:hAnsi="微软雅黑" w:eastAsia="微软雅黑"/>
          <w:b w:val="0"/>
          <w:sz w:val="20"/>
        </w:rPr>
        <w:t>入口：在列表操作列点击修改，打开编辑站点弹窗。</w:t>
      </w:r>
    </w:p>
    <w:p w14:paraId="43DCF7D1">
      <w:pPr>
        <w:pStyle w:val="16"/>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pPr>
      <w:r>
        <w:rPr>
          <w:rFonts w:ascii="微软雅黑" w:hAnsi="微软雅黑" w:eastAsia="微软雅黑"/>
          <w:b w:val="0"/>
          <w:sz w:val="20"/>
        </w:rPr>
        <w:t>页面模板：点击选择模板可更换已绑定的页面模板，已选模板会在按钮右侧显示，例如首页。</w:t>
      </w:r>
    </w:p>
    <w:p w14:paraId="0F9824F6">
      <w:pPr>
        <w:pStyle w:val="16"/>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ind w:left="1260" w:leftChars="0" w:hanging="420" w:firstLineChars="0"/>
      </w:pPr>
      <w:r>
        <w:rPr>
          <w:rFonts w:hint="eastAsia"/>
          <w:b w:val="0"/>
          <w:sz w:val="20"/>
          <w:lang w:val="en-US" w:eastAsia="zh-CN"/>
        </w:rPr>
        <w:t>第一次修改为正常开启时会扣除站点费用，请确保商户有足够余额</w:t>
      </w:r>
    </w:p>
    <w:p w14:paraId="3964715A">
      <w:pPr>
        <w:pStyle w:val="16"/>
      </w:pPr>
      <w:r>
        <w:rPr>
          <w:rFonts w:ascii="微软雅黑" w:hAnsi="微软雅黑" w:eastAsia="微软雅黑"/>
          <w:b w:val="0"/>
          <w:sz w:val="20"/>
        </w:rPr>
        <w:t>保存操作：点击确定保存修改，点击取消或右上角关闭放弃本次编辑。</w:t>
      </w:r>
    </w:p>
    <w:p w14:paraId="31733E3A">
      <w:pPr>
        <w:pStyle w:val="6"/>
      </w:pPr>
      <w:r>
        <w:rPr>
          <w:rFonts w:ascii="微软雅黑" w:hAnsi="微软雅黑" w:eastAsia="微软雅黑"/>
          <w:b/>
          <w:color w:val="44546A"/>
          <w:sz w:val="22"/>
        </w:rPr>
        <w:t>使用要点</w:t>
      </w:r>
    </w:p>
    <w:p w14:paraId="5DA28F51">
      <w:pPr>
        <w:pStyle w:val="16"/>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pPr>
      <w:r>
        <w:rPr>
          <w:rFonts w:ascii="微软雅黑" w:hAnsi="微软雅黑" w:eastAsia="微软雅黑"/>
          <w:b w:val="0"/>
          <w:sz w:val="20"/>
        </w:rPr>
        <w:t>对已上线站点调整状态或模板前，建议先确认影响时间、受影响用户范围和回退方案。</w:t>
      </w:r>
    </w:p>
    <w:p w14:paraId="5ED5CAEC">
      <w:pPr>
        <w:pStyle w:val="5"/>
        <w:keepNext/>
        <w:spacing w:before="180" w:after="100" w:line="259" w:lineRule="auto"/>
      </w:pPr>
      <w:r>
        <w:rPr>
          <w:rFonts w:ascii="微软雅黑" w:hAnsi="微软雅黑" w:eastAsia="微软雅黑"/>
          <w:b/>
          <w:color w:val="2F5597"/>
          <w:sz w:val="25"/>
        </w:rPr>
        <w:t>品牌设置</w:t>
      </w:r>
    </w:p>
    <w:p w14:paraId="0DE56594">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6"/>
      </w:pPr>
      <w:r>
        <w:rPr>
          <w:rFonts w:ascii="微软雅黑" w:hAnsi="微软雅黑" w:eastAsia="微软雅黑"/>
          <w:b/>
          <w:color w:val="2F5597"/>
          <w:sz w:val="22"/>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97880" cy="2890507"/>
                    </a:xfrm>
                    <a:prstGeom prst="rect">
                      <a:avLst/>
                    </a:prstGeom>
                  </pic:spPr>
                </pic:pic>
              </a:graphicData>
            </a:graphic>
          </wp:inline>
        </w:drawing>
      </w:r>
    </w:p>
    <w:p w14:paraId="49863C79">
      <w:pPr>
        <w:pStyle w:val="15"/>
        <w:jc w:val="center"/>
      </w:pPr>
      <w:r>
        <w:rPr>
          <w:rFonts w:ascii="微软雅黑" w:hAnsi="微软雅黑" w:eastAsia="微软雅黑"/>
          <w:b w:val="0"/>
          <w:color w:val="707E92"/>
          <w:sz w:val="18"/>
        </w:rPr>
        <w:t>图16：品牌设置-关于我们，用于维护前台 About Us 展示内容。</w:t>
      </w:r>
    </w:p>
    <w:p w14:paraId="604EFFB7">
      <w:pPr>
        <w:pStyle w:val="16"/>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6"/>
      </w:pPr>
      <w:r>
        <w:rPr>
          <w:rFonts w:ascii="微软雅黑" w:hAnsi="微软雅黑" w:eastAsia="微软雅黑"/>
          <w:b/>
          <w:color w:val="2F5597"/>
          <w:sz w:val="22"/>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2"/>
                    <a:stretch>
                      <a:fillRect/>
                    </a:stretch>
                  </pic:blipFill>
                  <pic:spPr>
                    <a:xfrm>
                      <a:off x="0" y="0"/>
                      <a:ext cx="6388100" cy="2992120"/>
                    </a:xfrm>
                    <a:prstGeom prst="rect">
                      <a:avLst/>
                    </a:prstGeom>
                    <a:noFill/>
                    <a:ln>
                      <a:noFill/>
                    </a:ln>
                  </pic:spPr>
                </pic:pic>
              </a:graphicData>
            </a:graphic>
          </wp:inline>
        </w:drawing>
      </w:r>
    </w:p>
    <w:p w14:paraId="10DD3EB0">
      <w:pPr>
        <w:pStyle w:val="15"/>
        <w:jc w:val="center"/>
      </w:pPr>
      <w:r>
        <w:rPr>
          <w:rFonts w:ascii="微软雅黑" w:hAnsi="微软雅黑" w:eastAsia="微软雅黑"/>
          <w:b w:val="0"/>
          <w:color w:val="707E92"/>
          <w:sz w:val="18"/>
        </w:rPr>
        <w:t>图1</w:t>
      </w:r>
      <w:r>
        <w:rPr>
          <w:rFonts w:hint="eastAsia"/>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5"/>
        <w:keepNext/>
        <w:spacing w:before="180" w:after="100" w:line="259" w:lineRule="auto"/>
      </w:pPr>
      <w:r>
        <w:rPr>
          <w:rFonts w:ascii="微软雅黑" w:hAnsi="微软雅黑" w:eastAsia="微软雅黑"/>
          <w:b/>
          <w:color w:val="2F5597"/>
          <w:sz w:val="25"/>
        </w:rPr>
        <w:t>站点域名</w:t>
      </w:r>
    </w:p>
    <w:p w14:paraId="53159632">
      <w:r>
        <w:rPr>
          <w:rFonts w:ascii="微软雅黑" w:hAnsi="微软雅黑" w:eastAsia="微软雅黑"/>
          <w:b w:val="0"/>
          <w:sz w:val="20"/>
        </w:rPr>
        <w:t>站点域名用于维护不同业务入口的域名配置，页面通过顶部页签区分前台域名管理、后台域名管理和推广域名。操作时先根据蓝色选中态识别当前页面，再执行查询、新增、绑定站点、修改落地页模板、启用、停用或删除等操作。</w:t>
      </w:r>
    </w:p>
    <w:p w14:paraId="7E7CCF56">
      <w:pPr>
        <w:pStyle w:val="6"/>
      </w:pPr>
      <w:r>
        <w:rPr>
          <w:rFonts w:ascii="微软雅黑" w:hAnsi="微软雅黑" w:eastAsia="微软雅黑"/>
          <w:b/>
          <w:color w:val="2F5597"/>
          <w:sz w:val="22"/>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943600" cy="2529191"/>
                    </a:xfrm>
                    <a:prstGeom prst="rect">
                      <a:avLst/>
                    </a:prstGeom>
                  </pic:spPr>
                </pic:pic>
              </a:graphicData>
            </a:graphic>
          </wp:inline>
        </w:drawing>
      </w:r>
    </w:p>
    <w:p w14:paraId="3742105A">
      <w:pPr>
        <w:pStyle w:val="15"/>
        <w:jc w:val="center"/>
      </w:pPr>
      <w:r>
        <w:rPr>
          <w:rFonts w:ascii="微软雅黑" w:hAnsi="微软雅黑" w:eastAsia="微软雅黑"/>
          <w:b w:val="0"/>
          <w:color w:val="707E92"/>
          <w:sz w:val="18"/>
        </w:rPr>
        <w:t>图18：站点域名-前台域名管理，用于维护用户访问前台站点使用的域名。</w:t>
      </w:r>
    </w:p>
    <w:p w14:paraId="6296B7AC">
      <w:pPr>
        <w:pStyle w:val="16"/>
      </w:pPr>
      <w:r>
        <w:rPr>
          <w:rFonts w:ascii="微软雅黑" w:hAnsi="微软雅黑" w:eastAsia="微软雅黑"/>
          <w:b/>
          <w:color w:val="2F5597"/>
          <w:sz w:val="20"/>
        </w:rPr>
        <w:t>选中状态</w:t>
      </w:r>
      <w:r>
        <w:rPr>
          <w:rFonts w:ascii="微软雅黑" w:hAnsi="微软雅黑" w:eastAsia="微软雅黑"/>
          <w:b w:val="0"/>
          <w:sz w:val="20"/>
        </w:rPr>
        <w:t>：顶部“前台域名管理”为蓝色文字并显示下划线时，代表当前列表展示前台域名数据。</w:t>
      </w:r>
    </w:p>
    <w:p w14:paraId="68428964">
      <w:pPr>
        <w:pStyle w:val="16"/>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6"/>
      </w:pPr>
      <w:r>
        <w:rPr>
          <w:rFonts w:ascii="微软雅黑" w:hAnsi="微软雅黑" w:eastAsia="微软雅黑"/>
          <w:b/>
          <w:color w:val="2F5597"/>
          <w:sz w:val="22"/>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943600" cy="2529191"/>
                    </a:xfrm>
                    <a:prstGeom prst="rect">
                      <a:avLst/>
                    </a:prstGeom>
                  </pic:spPr>
                </pic:pic>
              </a:graphicData>
            </a:graphic>
          </wp:inline>
        </w:drawing>
      </w:r>
    </w:p>
    <w:p w14:paraId="19850E66">
      <w:pPr>
        <w:pStyle w:val="15"/>
        <w:jc w:val="center"/>
      </w:pPr>
      <w:r>
        <w:rPr>
          <w:rFonts w:ascii="微软雅黑" w:hAnsi="微软雅黑" w:eastAsia="微软雅黑"/>
          <w:b w:val="0"/>
          <w:color w:val="707E92"/>
          <w:sz w:val="18"/>
        </w:rPr>
        <w:t>图19：站点域名-后台域名管理，用于维护后台管理端访问域名。</w:t>
      </w:r>
    </w:p>
    <w:p w14:paraId="6A31B330">
      <w:pPr>
        <w:pStyle w:val="16"/>
      </w:pPr>
      <w:r>
        <w:rPr>
          <w:rFonts w:ascii="微软雅黑" w:hAnsi="微软雅黑" w:eastAsia="微软雅黑"/>
          <w:b/>
          <w:color w:val="2F5597"/>
          <w:sz w:val="20"/>
        </w:rPr>
        <w:t>选中状态</w:t>
      </w:r>
      <w:r>
        <w:rPr>
          <w:rFonts w:ascii="微软雅黑" w:hAnsi="微软雅黑" w:eastAsia="微软雅黑"/>
          <w:b w:val="0"/>
          <w:sz w:val="20"/>
        </w:rPr>
        <w:t>：顶部“后台域名管理”为蓝色文字并显示下划线时，代表当前列表展示后台域名数据。</w:t>
      </w:r>
    </w:p>
    <w:p w14:paraId="2C1D8D1C">
      <w:pPr>
        <w:pStyle w:val="16"/>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：停用会影响后台访问入口，应先确认替代后台域名可用；删除前需确认无账号、公告、白名单或运维文档仍指向该域名。</w:t>
      </w:r>
    </w:p>
    <w:p w14:paraId="08BD8EB3">
      <w:pPr>
        <w:pStyle w:val="6"/>
      </w:pPr>
      <w:r>
        <w:rPr>
          <w:rFonts w:ascii="微软雅黑" w:hAnsi="微软雅黑" w:eastAsia="微软雅黑"/>
          <w:b/>
          <w:color w:val="2F5597"/>
          <w:sz w:val="22"/>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5"/>
                    <a:stretch>
                      <a:fillRect/>
                    </a:stretch>
                  </pic:blipFill>
                  <pic:spPr>
                    <a:xfrm>
                      <a:off x="0" y="0"/>
                      <a:ext cx="5943600" cy="2529191"/>
                    </a:xfrm>
                    <a:prstGeom prst="rect">
                      <a:avLst/>
                    </a:prstGeom>
                  </pic:spPr>
                </pic:pic>
              </a:graphicData>
            </a:graphic>
          </wp:inline>
        </w:drawing>
      </w:r>
    </w:p>
    <w:p w14:paraId="52C0974C">
      <w:pPr>
        <w:pStyle w:val="15"/>
        <w:jc w:val="center"/>
      </w:pPr>
      <w:r>
        <w:rPr>
          <w:rFonts w:ascii="微软雅黑" w:hAnsi="微软雅黑" w:eastAsia="微软雅黑"/>
          <w:b w:val="0"/>
          <w:color w:val="707E92"/>
          <w:sz w:val="18"/>
        </w:rPr>
        <w:t>图20：站点域名-推广域名，用于维护推广入口域名及落地页模板。</w:t>
      </w:r>
    </w:p>
    <w:p w14:paraId="2DDC9600">
      <w:pPr>
        <w:pStyle w:val="16"/>
      </w:pPr>
      <w:r>
        <w:rPr>
          <w:rFonts w:ascii="微软雅黑" w:hAnsi="微软雅黑" w:eastAsia="微软雅黑"/>
          <w:b/>
          <w:color w:val="2F5597"/>
          <w:sz w:val="20"/>
        </w:rPr>
        <w:t>选中状态</w:t>
      </w:r>
      <w:r>
        <w:rPr>
          <w:rFonts w:ascii="微软雅黑" w:hAnsi="微软雅黑" w:eastAsia="微软雅黑"/>
          <w:b w:val="0"/>
          <w:sz w:val="20"/>
        </w:rPr>
        <w:t>：顶部“推广域名”为蓝色文字并显示下划线时，代表当前列表展示推广域名数据。</w:t>
      </w:r>
    </w:p>
    <w:p w14:paraId="5CA9D28C">
      <w:pPr>
        <w:pStyle w:val="16"/>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6"/>
      </w:pPr>
      <w:r>
        <w:rPr>
          <w:rFonts w:ascii="微软雅黑" w:hAnsi="微软雅黑" w:eastAsia="微软雅黑"/>
          <w:b/>
          <w:color w:val="2F5597"/>
          <w:sz w:val="22"/>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6"/>
                    <a:stretch>
                      <a:fillRect/>
                    </a:stretch>
                  </pic:blipFill>
                  <pic:spPr>
                    <a:xfrm>
                      <a:off x="0" y="0"/>
                      <a:ext cx="4480560" cy="2792336"/>
                    </a:xfrm>
                    <a:prstGeom prst="rect">
                      <a:avLst/>
                    </a:prstGeom>
                  </pic:spPr>
                </pic:pic>
              </a:graphicData>
            </a:graphic>
          </wp:inline>
        </w:drawing>
      </w:r>
    </w:p>
    <w:p w14:paraId="20A3B7B7">
      <w:pPr>
        <w:pStyle w:val="15"/>
        <w:jc w:val="center"/>
      </w:pPr>
      <w:r>
        <w:rPr>
          <w:rFonts w:ascii="微软雅黑" w:hAnsi="微软雅黑" w:eastAsia="微软雅黑"/>
          <w:b w:val="0"/>
          <w:color w:val="707E92"/>
          <w:sz w:val="18"/>
        </w:rPr>
        <w:t>图21：站点域名-新增域名弹窗，三类域名新增表单字段一致。</w:t>
      </w:r>
    </w:p>
    <w:p w14:paraId="7BABCFAD">
      <w:pPr>
        <w:pStyle w:val="16"/>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6"/>
      </w:pPr>
      <w:r>
        <w:rPr>
          <w:rFonts w:ascii="微软雅黑" w:hAnsi="微软雅黑" w:eastAsia="微软雅黑"/>
          <w:b/>
          <w:color w:val="2F5597"/>
          <w:sz w:val="22"/>
        </w:rPr>
        <w:t>常见问题</w:t>
      </w:r>
    </w:p>
    <w:p w14:paraId="08ABA1DA">
      <w:pPr>
        <w:pStyle w:val="16"/>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ind w:leftChars="0"/>
      </w:pPr>
    </w:p>
    <w:p w14:paraId="4E0C2387">
      <w:pPr>
        <w:pStyle w:val="5"/>
        <w:keepNext/>
        <w:spacing w:before="180" w:after="100" w:line="259" w:lineRule="auto"/>
      </w:pPr>
      <w:r>
        <w:rPr>
          <w:rFonts w:ascii="微软雅黑" w:hAnsi="微软雅黑" w:eastAsia="微软雅黑"/>
          <w:b/>
          <w:color w:val="2F5597"/>
          <w:sz w:val="25"/>
        </w:rPr>
        <w:t>客服配置</w:t>
      </w:r>
    </w:p>
    <w:p w14:paraId="40D442A8">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6"/>
      </w:pPr>
      <w:r>
        <w:rPr>
          <w:rFonts w:ascii="微软雅黑" w:hAnsi="微软雅黑" w:eastAsia="微软雅黑"/>
          <w:b/>
          <w:color w:val="2F5597"/>
          <w:sz w:val="22"/>
        </w:rPr>
        <w:t>在线客服</w:t>
      </w:r>
    </w:p>
    <w:p w14:paraId="4F993BD3">
      <w:pPr>
        <w:jc w:val="center"/>
      </w:pPr>
      <w:r>
        <w:drawing>
          <wp:inline distT="0" distB="0" distL="114300" distR="114300">
            <wp:extent cx="5806440" cy="2889885"/>
            <wp:effectExtent l="0" t="0" r="381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7"/>
                    <a:stretch>
                      <a:fillRect/>
                    </a:stretch>
                  </pic:blipFill>
                  <pic:spPr>
                    <a:xfrm>
                      <a:off x="0" y="0"/>
                      <a:ext cx="5806440" cy="2890083"/>
                    </a:xfrm>
                    <a:prstGeom prst="rect">
                      <a:avLst/>
                    </a:prstGeom>
                  </pic:spPr>
                </pic:pic>
              </a:graphicData>
            </a:graphic>
          </wp:inline>
        </w:drawing>
      </w:r>
    </w:p>
    <w:p w14:paraId="550DFF9C">
      <w:pPr>
        <w:pStyle w:val="15"/>
        <w:jc w:val="center"/>
      </w:pPr>
      <w:r>
        <w:rPr>
          <w:rFonts w:ascii="微软雅黑" w:hAnsi="微软雅黑" w:eastAsia="微软雅黑"/>
          <w:b w:val="0"/>
          <w:color w:val="707E92"/>
          <w:sz w:val="18"/>
        </w:rPr>
        <w:t>图22：客服配置-在线客服页签，用于维护前台在线客服入口。</w:t>
      </w:r>
    </w:p>
    <w:p w14:paraId="54D41088">
      <w:pPr>
        <w:pStyle w:val="16"/>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：配置用户侧看到的客服入口标题，示例为“测试”。标题应简短明确，通常用于说明客服入口名称或服务类型。</w:t>
      </w:r>
    </w:p>
    <w:p w14:paraId="1872230D">
      <w:pPr>
        <w:pStyle w:val="16"/>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：配置用户侧客服入口的说明文案，示例为“测试说明”。可说明服务范围、在线时间或联系前需要准备的信息。</w:t>
      </w:r>
    </w:p>
    <w:p w14:paraId="2B7EC626">
      <w:pPr>
        <w:pStyle w:val="16"/>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6"/>
      </w:pPr>
      <w:r>
        <w:rPr>
          <w:rFonts w:ascii="微软雅黑" w:hAnsi="微软雅黑" w:eastAsia="微软雅黑"/>
          <w:b/>
          <w:color w:val="2F5597"/>
          <w:sz w:val="22"/>
        </w:rPr>
        <w:t>其他客服</w:t>
      </w:r>
    </w:p>
    <w:p w14:paraId="62D723DD">
      <w:pPr>
        <w:jc w:val="center"/>
      </w:pPr>
      <w:r>
        <w:drawing>
          <wp:inline distT="0" distB="0" distL="114300" distR="114300">
            <wp:extent cx="5897880" cy="2672715"/>
            <wp:effectExtent l="0" t="0" r="7620" b="133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8"/>
                    <a:stretch>
                      <a:fillRect/>
                    </a:stretch>
                  </pic:blipFill>
                  <pic:spPr>
                    <a:xfrm>
                      <a:off x="0" y="0"/>
                      <a:ext cx="5897880" cy="2673140"/>
                    </a:xfrm>
                    <a:prstGeom prst="rect">
                      <a:avLst/>
                    </a:prstGeom>
                  </pic:spPr>
                </pic:pic>
              </a:graphicData>
            </a:graphic>
          </wp:inline>
        </w:drawing>
      </w:r>
    </w:p>
    <w:p w14:paraId="1CB1302C">
      <w:pPr>
        <w:pStyle w:val="15"/>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pPr>
      <w:r>
        <w:rPr>
          <w:rFonts w:ascii="微软雅黑" w:hAnsi="微软雅黑" w:eastAsia="微软雅黑"/>
          <w:b/>
          <w:color w:val="2F5597"/>
          <w:sz w:val="20"/>
        </w:rPr>
        <w:t>IM</w:t>
      </w:r>
      <w:r>
        <w:rPr>
          <w:rFonts w:ascii="微软雅黑" w:hAnsi="微软雅黑" w:eastAsia="微软雅黑"/>
          <w:b w:val="0"/>
          <w:sz w:val="20"/>
        </w:rPr>
        <w:t>：显示客服渠道类型，当前原型包含 Telegram、WhatsApp、Facebook、Line。不同 IM 对应不同图标和链接填写习惯。</w:t>
      </w:r>
    </w:p>
    <w:p w14:paraId="270972A7">
      <w:pPr>
        <w:pStyle w:val="16"/>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6"/>
      </w:pPr>
      <w:r>
        <w:rPr>
          <w:rFonts w:ascii="微软雅黑" w:hAnsi="微软雅黑" w:eastAsia="微软雅黑"/>
          <w:b/>
          <w:color w:val="2F5597"/>
          <w:sz w:val="22"/>
        </w:rPr>
        <w:t>新增或编辑其他客服</w:t>
      </w:r>
    </w:p>
    <w:p w14:paraId="78DB4F5A">
      <w:pPr>
        <w:jc w:val="center"/>
      </w:pPr>
      <w:r>
        <w:drawing>
          <wp:inline distT="0" distB="0" distL="114300" distR="114300">
            <wp:extent cx="5120640" cy="6169660"/>
            <wp:effectExtent l="0" t="0" r="381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9"/>
                    <a:stretch>
                      <a:fillRect/>
                    </a:stretch>
                  </pic:blipFill>
                  <pic:spPr>
                    <a:xfrm>
                      <a:off x="0" y="0"/>
                      <a:ext cx="5120640" cy="6169891"/>
                    </a:xfrm>
                    <a:prstGeom prst="rect">
                      <a:avLst/>
                    </a:prstGeom>
                  </pic:spPr>
                </pic:pic>
              </a:graphicData>
            </a:graphic>
          </wp:inline>
        </w:drawing>
      </w:r>
    </w:p>
    <w:p w14:paraId="4A9EC70F">
      <w:pPr>
        <w:pStyle w:val="15"/>
        <w:jc w:val="center"/>
      </w:pPr>
      <w:r>
        <w:rPr>
          <w:rFonts w:ascii="微软雅黑" w:hAnsi="微软雅黑" w:eastAsia="微软雅黑"/>
          <w:b w:val="0"/>
          <w:color w:val="707E92"/>
          <w:sz w:val="18"/>
        </w:rPr>
        <w:t>图24：编辑其他客服弹窗，用于维护 IM 渠道、图标、客服账号和在线时间。</w:t>
      </w:r>
    </w:p>
    <w:p w14:paraId="45DB0911">
      <w:pPr>
        <w:pStyle w:val="16"/>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5"/>
        <w:keepNext/>
        <w:spacing w:before="180" w:after="100" w:line="259" w:lineRule="auto"/>
      </w:pPr>
      <w:r>
        <w:rPr>
          <w:rFonts w:ascii="微软雅黑" w:hAnsi="微软雅黑" w:eastAsia="微软雅黑"/>
          <w:b/>
          <w:color w:val="2F5597"/>
          <w:sz w:val="25"/>
        </w:rPr>
        <w:t>分享配置</w:t>
      </w:r>
    </w:p>
    <w:p>
      <w:pPr>
        <w:pStyle w:val="16"/>
        <w:spacing w:after="60" w:line="276" w:lineRule="auto"/>
      </w:pPr>
      <w:r>
        <w:rPr>
          <w:rFonts w:ascii="微软雅黑" w:hAnsi="微软雅黑" w:eastAsia="微软雅黑"/>
          <w:b/>
          <w:color w:val="2F5597"/>
          <w:sz w:val="20"/>
        </w:rPr>
        <w:t>分享配置</w:t>
      </w:r>
      <w:r>
        <w:rPr>
          <w:rFonts w:ascii="微软雅黑" w:hAnsi="微软雅黑" w:eastAsia="微软雅黑"/>
          <w:b w:val="0"/>
          <w:sz w:val="20"/>
        </w:rPr>
        <w:t>：用于维护分享标题、描述、图片和渠道参数。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：编辑分享文案、配置分享图片，并设置渠道或落地页参数。</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：发布前确认分享配置与活动、品牌和投放页面保持一致。</w:t>
      </w:r>
    </w:p>
    <w:p w14:paraId="7506ED41">
      <w:pPr>
        <w:pStyle w:val="5"/>
        <w:keepNext/>
        <w:spacing w:before="180" w:after="100" w:line="259" w:lineRule="auto"/>
      </w:pPr>
      <w:r>
        <w:rPr>
          <w:rFonts w:ascii="微软雅黑" w:hAnsi="微软雅黑" w:eastAsia="微软雅黑"/>
          <w:b/>
          <w:color w:val="2F5597"/>
          <w:sz w:val="25"/>
        </w:rPr>
        <w:t>第三方登录配置</w:t>
      </w:r>
    </w:p>
    <w:p w14:paraId="609B6580">
      <w:pPr>
        <w:pStyle w:val="16"/>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等登录或验证服务。页面以配置卡片展示每个服务的启用状态、配置状态和关键参数，运营或技术人员可在上线前逐项核对。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806440" cy="2287386"/>
                    </a:xfrm>
                    <a:prstGeom prst="rect">
                      <a:avLst/>
                    </a:prstGeom>
                  </pic:spPr>
                </pic:pic>
              </a:graphicData>
            </a:graphic>
          </wp:inline>
        </w:drawing>
      </w:r>
    </w:p>
    <w:p w14:paraId="7CCA424F">
      <w:pPr>
        <w:pStyle w:val="15"/>
        <w:jc w:val="center"/>
      </w:pPr>
      <w:r>
        <w:rPr>
          <w:rFonts w:ascii="微软雅黑" w:hAnsi="微软雅黑" w:eastAsia="微软雅黑"/>
          <w:b w:val="0"/>
          <w:color w:val="707E92"/>
          <w:sz w:val="18"/>
        </w:rPr>
        <w:t>图：第三方登录配置页面概览。</w:t>
      </w:r>
    </w:p>
    <w:p w14:paraId="5C7F8578">
      <w:pPr>
        <w:pStyle w:val="16"/>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b w:val="0"/>
          <w:sz w:val="20"/>
          <w:lang w:val="en-US" w:eastAsia="zh-CN"/>
        </w:rPr>
        <w:t>第一次打开网站时</w:t>
      </w:r>
      <w:r>
        <w:rPr>
          <w:rFonts w:ascii="微软雅黑" w:hAnsi="微软雅黑" w:eastAsia="微软雅黑"/>
          <w:b w:val="0"/>
          <w:sz w:val="20"/>
        </w:rPr>
        <w:t>，是否自动创建账户</w:t>
      </w:r>
      <w:r>
        <w:rPr>
          <w:rFonts w:hint="eastAsia"/>
          <w:b w:val="0"/>
          <w:sz w:val="20"/>
          <w:lang w:eastAsia="zh-CN"/>
        </w:rPr>
        <w:t>。</w:t>
      </w:r>
    </w:p>
    <w:p w14:paraId="54FE1774">
      <w:pPr>
        <w:pStyle w:val="16"/>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后台绑定，保存后需用测试账号验证发送链路和号码归属是否正常。</w:t>
      </w:r>
    </w:p>
    <w:p w14:paraId="1B95D0D7">
      <w:pPr>
        <w:pStyle w:val="16"/>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等敏感字段时，保存前应由技术或运维人员复核来源，避免粘贴测试环境参数。</w:t>
      </w:r>
    </w:p>
    <w:p w14:paraId="097EF9B3">
      <w:pPr>
        <w:pStyle w:val="16"/>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5"/>
        <w:keepNext/>
        <w:spacing w:before="180" w:after="100" w:line="259" w:lineRule="auto"/>
      </w:pPr>
      <w:r>
        <w:rPr>
          <w:rFonts w:ascii="微软雅黑" w:hAnsi="微软雅黑" w:eastAsia="微软雅黑"/>
          <w:b/>
          <w:color w:val="2F5597"/>
          <w:sz w:val="25"/>
        </w:rPr>
        <w:t>支付通道配置</w:t>
      </w:r>
    </w:p>
    <w:p>
      <w:pPr>
        <w:pStyle w:val="16"/>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pPr>
        <w:jc w:val="center"/>
      </w:pPr>
      <w:r>
        <w:drawing>
          <wp:inline xmlns:a="http://schemas.openxmlformats.org/drawingml/2006/main" xmlns:pic="http://schemas.openxmlformats.org/drawingml/2006/picture">
            <wp:extent cx="5806440" cy="1688000"/>
            <wp:docPr id="48" name="Picture 4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806440" cy="1688000"/>
                    </a:xfrm>
                    <a:prstGeom prst="rect"/>
                  </pic:spPr>
                </pic:pic>
              </a:graphicData>
            </a:graphic>
          </wp:inline>
        </w:drawing>
      </w:r>
    </w:p>
    <w:p>
      <w:pPr>
        <w:jc w:val="center"/>
      </w:pPr>
      <w:r>
        <w:rPr>
          <w:rFonts w:ascii="微软雅黑" w:hAnsi="微软雅黑" w:eastAsia="微软雅黑"/>
          <w:b w:val="0"/>
          <w:color w:val="707E92"/>
          <w:sz w:val="18"/>
        </w:rPr>
        <w:t>图：支付通道配置列表。</w:t>
      </w:r>
    </w:p>
    <w:p>
      <w:pPr>
        <w:pStyle w:val="16"/>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pPr>
        <w:jc w:val="center"/>
      </w:pPr>
      <w:r>
        <w:drawing>
          <wp:inline xmlns:a="http://schemas.openxmlformats.org/drawingml/2006/main" xmlns:pic="http://schemas.openxmlformats.org/drawingml/2006/picture">
            <wp:extent cx="5806440" cy="6962225"/>
            <wp:docPr id="49" name="Picture 4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806440" cy="6962225"/>
                    </a:xfrm>
                    <a:prstGeom prst="rect"/>
                  </pic:spPr>
                </pic:pic>
              </a:graphicData>
            </a:graphic>
          </wp:inline>
        </w:drawing>
      </w:r>
    </w:p>
    <w:p>
      <w:pPr>
        <w:jc w:val="center"/>
      </w:pPr>
      <w:r>
        <w:rPr>
          <w:rFonts w:ascii="微软雅黑" w:hAnsi="微软雅黑" w:eastAsia="微软雅黑"/>
          <w:b w:val="0"/>
          <w:color w:val="707E92"/>
          <w:sz w:val="18"/>
        </w:rPr>
        <w:t>图：新增在线支付平台参数配置。</w:t>
      </w:r>
    </w:p>
    <w:p>
      <w:pPr>
        <w:pStyle w:val="16"/>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pPr>
        <w:pStyle w:val="16"/>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pPr>
        <w:pStyle w:val="16"/>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pPr>
        <w:pStyle w:val="16"/>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pPr>
        <w:pStyle w:val="16"/>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5"/>
        <w:keepNext/>
        <w:spacing w:before="180" w:after="100" w:line="259" w:lineRule="auto"/>
      </w:pPr>
      <w:r>
        <w:rPr>
          <w:rFonts w:ascii="微软雅黑" w:hAnsi="微软雅黑" w:eastAsia="微软雅黑"/>
          <w:b/>
          <w:color w:val="2F5597"/>
          <w:sz w:val="25"/>
        </w:rPr>
        <w:t>广告埋点配置</w:t>
      </w:r>
    </w:p>
    <w:p w14:paraId="5D4D94E6">
      <w:pPr>
        <w:pStyle w:val="6"/>
      </w:pPr>
      <w:r>
        <w:rPr>
          <w:rFonts w:ascii="微软雅黑" w:hAnsi="微软雅黑" w:eastAsia="微软雅黑"/>
          <w:b/>
          <w:color w:val="1F4E79"/>
          <w:sz w:val="21"/>
        </w:rPr>
        <w:t>页面说明</w:t>
      </w:r>
    </w:p>
    <w:p w14:paraId="3A3A28B9">
      <w:pPr>
        <w:jc w:val="center"/>
      </w:pPr>
      <w:r>
        <w:drawing>
          <wp:inline distT="0" distB="0" distL="114300" distR="114300">
            <wp:extent cx="5943600" cy="2688590"/>
            <wp:effectExtent l="0" t="0" r="0" b="165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943600" cy="2688771"/>
                    </a:xfrm>
                    <a:prstGeom prst="rect">
                      <a:avLst/>
                    </a:prstGeom>
                  </pic:spPr>
                </pic:pic>
              </a:graphicData>
            </a:graphic>
          </wp:inline>
        </w:drawing>
      </w:r>
    </w:p>
    <w:p w14:paraId="7C28E1FA">
      <w:pPr>
        <w:pStyle w:val="15"/>
        <w:jc w:val="center"/>
      </w:pPr>
      <w:r>
        <w:rPr>
          <w:rFonts w:ascii="微软雅黑" w:hAnsi="微软雅黑" w:eastAsia="微软雅黑"/>
          <w:b w:val="0"/>
          <w:color w:val="7F7F7F"/>
          <w:sz w:val="18"/>
        </w:rPr>
        <w:t>图：广告埋点配置列表，用于维护不同渠道的落地页、跳转地址和事件标识。</w:t>
      </w:r>
    </w:p>
    <w:p w14:paraId="7E5E52B4">
      <w:pPr>
        <w:pStyle w:val="16"/>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6"/>
      </w:pPr>
      <w:r>
        <w:rPr>
          <w:rFonts w:ascii="微软雅黑" w:hAnsi="微软雅黑" w:eastAsia="微软雅黑"/>
          <w:b/>
          <w:color w:val="1F4E79"/>
          <w:sz w:val="21"/>
        </w:rPr>
        <w:t>筛选与列表字段</w:t>
      </w:r>
    </w:p>
    <w:p w14:paraId="1D2B88B1">
      <w:pPr>
        <w:pStyle w:val="16"/>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pPr>
      <w:r>
        <w:rPr>
          <w:rFonts w:ascii="微软雅黑" w:hAnsi="微软雅黑" w:eastAsia="微软雅黑"/>
          <w:b/>
          <w:color w:val="1F4E79"/>
          <w:sz w:val="20"/>
        </w:rPr>
        <w:t>渠道ID：</w:t>
      </w:r>
      <w:r>
        <w:rPr>
          <w:rFonts w:ascii="微软雅黑" w:hAnsi="微软雅黑" w:eastAsia="微软雅黑"/>
          <w:b w:val="0"/>
          <w:sz w:val="20"/>
        </w:rPr>
        <w:t>系统生成的配置唯一标识，通常用于技术排查或接口核对。列表中较长内容会省略显示，核对完整值时可进入修改弹窗或结合后台数据记录确认。</w:t>
      </w:r>
    </w:p>
    <w:p w14:paraId="45D3E0CE">
      <w:pPr>
        <w:pStyle w:val="16"/>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Google、Facebook测试、adjust测试等，建议使用便于运营识别的渠道或活动名称。</w:t>
      </w:r>
    </w:p>
    <w:p w14:paraId="5026C73C">
      <w:pPr>
        <w:pStyle w:val="16"/>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pPr>
      <w:r>
        <w:rPr>
          <w:rFonts w:ascii="微软雅黑" w:hAnsi="微软雅黑" w:eastAsia="微软雅黑"/>
          <w:b/>
          <w:color w:val="1F4E79"/>
          <w:sz w:val="20"/>
        </w:rPr>
        <w:t>备注：</w:t>
      </w:r>
      <w:r>
        <w:rPr>
          <w:rFonts w:ascii="微软雅黑" w:hAnsi="微软雅黑" w:eastAsia="微软雅黑"/>
          <w:b w:val="0"/>
          <w:sz w:val="20"/>
        </w:rPr>
        <w:t>记录配置用途、投放批次、测试说明或特殊约定，便于后续排查和交接。</w:t>
      </w:r>
    </w:p>
    <w:p w14:paraId="380678DB">
      <w:pPr>
        <w:pStyle w:val="16"/>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6"/>
      </w:pPr>
      <w:r>
        <w:rPr>
          <w:rFonts w:ascii="微软雅黑" w:hAnsi="微软雅黑" w:eastAsia="微软雅黑"/>
          <w:b/>
          <w:color w:val="1F4E79"/>
          <w:sz w:val="21"/>
        </w:rPr>
        <w:t>新增与编辑配置</w:t>
      </w:r>
    </w:p>
    <w:p w14:paraId="3EFB07AF">
      <w:pPr>
        <w:pStyle w:val="16"/>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6"/>
      </w:pPr>
      <w:r>
        <w:rPr>
          <w:rFonts w:ascii="微软雅黑" w:hAnsi="微软雅黑" w:eastAsia="微软雅黑"/>
          <w:b/>
          <w:color w:val="1F4E79"/>
          <w:sz w:val="21"/>
        </w:rPr>
        <w:t>注意事项</w:t>
      </w:r>
    </w:p>
    <w:p w14:paraId="039197E2">
      <w:pPr>
        <w:pStyle w:val="16"/>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pPr>
      <w:r>
        <w:rPr>
          <w:rFonts w:ascii="微软雅黑" w:hAnsi="微软雅黑" w:eastAsia="微软雅黑"/>
          <w:b w:val="0"/>
          <w:sz w:val="20"/>
        </w:rPr>
        <w:t>涉及像素ID和事件标识的调整应由运营、投放或技术人员共同复核。修改线上渠道前，建议先复制当前值留档，确认新配置验证通过后再用于正式投放。</w:t>
      </w:r>
    </w:p>
    <w:p w14:paraId="4B2E92E8">
      <w:pPr>
        <w:pStyle w:val="16"/>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5"/>
        <w:keepNext/>
        <w:spacing w:before="180" w:after="100" w:line="259" w:lineRule="auto"/>
      </w:pPr>
      <w:r>
        <w:rPr>
          <w:rFonts w:ascii="微软雅黑" w:hAnsi="微软雅黑" w:eastAsia="微软雅黑"/>
          <w:b/>
          <w:color w:val="2F5597"/>
          <w:sz w:val="25"/>
        </w:rPr>
        <w:t>音乐管理</w:t>
      </w:r>
    </w:p>
    <w:p w14:paraId="3EB00200">
      <w:pPr>
        <w:pStyle w:val="6"/>
      </w:pPr>
      <w:r>
        <w:rPr>
          <w:rFonts w:ascii="微软雅黑" w:hAnsi="微软雅黑" w:eastAsia="微软雅黑"/>
          <w:b/>
          <w:color w:val="1F4E79"/>
          <w:sz w:val="21"/>
        </w:rPr>
        <w:t>页面说明</w:t>
      </w:r>
    </w:p>
    <w:p w14:paraId="5F957846">
      <w:pPr>
        <w:jc w:val="center"/>
      </w:pPr>
      <w:r>
        <w:drawing>
          <wp:inline distT="0" distB="0" distL="114300" distR="114300">
            <wp:extent cx="5943600" cy="1033780"/>
            <wp:effectExtent l="0" t="0" r="0" b="139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5943600" cy="1034136"/>
                    </a:xfrm>
                    <a:prstGeom prst="rect">
                      <a:avLst/>
                    </a:prstGeom>
                  </pic:spPr>
                </pic:pic>
              </a:graphicData>
            </a:graphic>
          </wp:inline>
        </w:drawing>
      </w:r>
    </w:p>
    <w:p w14:paraId="303E3B98">
      <w:pPr>
        <w:pStyle w:val="15"/>
        <w:jc w:val="center"/>
      </w:pPr>
      <w:r>
        <w:rPr>
          <w:rFonts w:ascii="微软雅黑" w:hAnsi="微软雅黑" w:eastAsia="微软雅黑"/>
          <w:color w:val="7F7F7F"/>
          <w:sz w:val="18"/>
        </w:rPr>
        <w:t>图：音乐管理列表，用于维护音乐开关、曲目状态和列表操作。</w:t>
      </w:r>
    </w:p>
    <w:p w14:paraId="64C55D59">
      <w:pPr>
        <w:pStyle w:val="16"/>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6"/>
      </w:pPr>
      <w:r>
        <w:rPr>
          <w:rFonts w:ascii="微软雅黑" w:hAnsi="微软雅黑" w:eastAsia="微软雅黑"/>
          <w:b/>
          <w:color w:val="1F4E79"/>
          <w:sz w:val="21"/>
        </w:rPr>
        <w:t>列表字段</w:t>
      </w:r>
    </w:p>
    <w:p w14:paraId="68DAC838">
      <w:pPr>
        <w:pStyle w:val="16"/>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6"/>
      </w:pPr>
      <w:r>
        <w:rPr>
          <w:rFonts w:ascii="微软雅黑" w:hAnsi="微软雅黑" w:eastAsia="微软雅黑"/>
          <w:b/>
          <w:color w:val="1F4E79"/>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4297680" cy="2257286"/>
                    </a:xfrm>
                    <a:prstGeom prst="rect">
                      <a:avLst/>
                    </a:prstGeom>
                  </pic:spPr>
                </pic:pic>
              </a:graphicData>
            </a:graphic>
          </wp:inline>
        </w:drawing>
      </w:r>
    </w:p>
    <w:p w14:paraId="60BC61DD">
      <w:pPr>
        <w:pStyle w:val="15"/>
        <w:jc w:val="center"/>
      </w:pPr>
      <w:r>
        <w:rPr>
          <w:rFonts w:ascii="微软雅黑" w:hAnsi="微软雅黑" w:eastAsia="微软雅黑"/>
          <w:color w:val="7F7F7F"/>
          <w:sz w:val="18"/>
        </w:rPr>
        <w:t>图：新增音乐弹窗，用于填写歌曲名称、排序并上传 MP3 文件。</w:t>
      </w:r>
    </w:p>
    <w:p w14:paraId="23181468">
      <w:pPr>
        <w:pStyle w:val="16"/>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6"/>
      </w:pPr>
      <w:r>
        <w:rPr>
          <w:rFonts w:ascii="微软雅黑" w:hAnsi="微软雅黑" w:eastAsia="微软雅黑"/>
          <w:b/>
          <w:color w:val="1F4E79"/>
          <w:sz w:val="21"/>
        </w:rPr>
        <w:t>修改、停用与删除</w:t>
      </w:r>
    </w:p>
    <w:p w14:paraId="65148321">
      <w:pPr>
        <w:pStyle w:val="16"/>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6"/>
      </w:pPr>
      <w:r>
        <w:rPr>
          <w:rFonts w:ascii="微软雅黑" w:hAnsi="微软雅黑" w:eastAsia="微软雅黑"/>
          <w:b/>
          <w:color w:val="1F4E79"/>
          <w:sz w:val="21"/>
        </w:rPr>
        <w:t>注意事项</w:t>
      </w:r>
    </w:p>
    <w:p w14:paraId="375B3F5E">
      <w:pPr>
        <w:pStyle w:val="16"/>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color w:val="17365D"/>
          <w:sz w:val="40"/>
        </w:rPr>
        <w:t>五、运营中心</w:t>
      </w:r>
    </w:p>
    <w:p w14:paraId="243C499A">
      <w:pPr>
        <w:pStyle w:val="4"/>
        <w:keepNext/>
        <w:spacing w:before="240" w:after="140" w:line="269" w:lineRule="auto"/>
      </w:pPr>
      <w:r>
        <w:rPr>
          <w:rFonts w:ascii="微软雅黑" w:hAnsi="微软雅黑" w:eastAsia="微软雅黑"/>
          <w:b/>
          <w:color w:val="1F4E79"/>
          <w:sz w:val="30"/>
        </w:rPr>
        <w:t>模块定位</w:t>
      </w:r>
    </w:p>
    <w:p w14:paraId="37FA3E10">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D4CFE54">
      <w:pPr>
        <w:pStyle w:val="4"/>
        <w:keepNext/>
        <w:spacing w:before="240" w:after="140" w:line="269" w:lineRule="auto"/>
      </w:pPr>
      <w:r>
        <w:rPr>
          <w:rFonts w:ascii="微软雅黑" w:hAnsi="微软雅黑" w:eastAsia="微软雅黑"/>
          <w:b/>
          <w:color w:val="1F4E79"/>
          <w:sz w:val="30"/>
        </w:rPr>
        <w:t>页面说明</w:t>
      </w:r>
    </w:p>
    <w:p w14:paraId="0E329C96">
      <w:pPr>
        <w:pStyle w:val="5"/>
        <w:keepNext/>
        <w:spacing w:before="180" w:after="100" w:line="259" w:lineRule="auto"/>
      </w:pPr>
      <w:r>
        <w:rPr>
          <w:rFonts w:ascii="微软雅黑" w:hAnsi="微软雅黑" w:eastAsia="微软雅黑"/>
          <w:b/>
          <w:color w:val="2F5597"/>
          <w:sz w:val="25"/>
        </w:rPr>
        <w:t>站点维护管理</w:t>
      </w:r>
    </w:p>
    <w:p>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5"/>
        <w:keepNext/>
        <w:spacing w:before="180" w:after="100" w:line="259" w:lineRule="auto"/>
      </w:pPr>
      <w:r>
        <w:rPr>
          <w:rFonts w:ascii="微软雅黑" w:hAnsi="微软雅黑" w:eastAsia="微软雅黑"/>
          <w:b/>
          <w:color w:val="2F5597"/>
          <w:sz w:val="25"/>
        </w:rPr>
        <w:t>平台公告</w:t>
      </w:r>
    </w:p>
    <w:p>
      <w:pPr>
        <w:spacing w:after="60" w:line="276" w:lineRule="auto"/>
      </w:pPr>
      <w:r>
        <w:rPr>
          <w:rFonts w:ascii="微软雅黑" w:hAnsi="微软雅黑" w:eastAsia="微软雅黑"/>
          <w:b w:val="0"/>
          <w:sz w:val="20"/>
        </w:rPr>
        <w:t>平台公告用于查看平台发布的公告、通知和站内消息。</w:t>
      </w:r>
    </w:p>
    <w:p>
      <w:pPr>
        <w:spacing w:after="40"/>
        <w:jc w:val="center"/>
      </w:pPr>
      <w:r>
        <w:drawing>
          <wp:inline xmlns:a="http://schemas.openxmlformats.org/drawingml/2006/main" xmlns:pic="http://schemas.openxmlformats.org/drawingml/2006/picture">
            <wp:extent cx="5943600" cy="2228850"/>
            <wp:docPr id="45" name="Picture 4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943600" cy="2228850"/>
                    </a:xfrm>
                    <a:prstGeom prst="rect"/>
                  </pic:spPr>
                </pic:pic>
              </a:graphicData>
            </a:graphic>
          </wp:inline>
        </w:drawing>
      </w:r>
    </w:p>
    <w:p>
      <w:pPr>
        <w:pStyle w:val="15"/>
        <w:spacing w:after="120"/>
        <w:jc w:val="center"/>
      </w:pPr>
      <w:r>
        <w:rPr>
          <w:rFonts w:ascii="微软雅黑" w:hAnsi="微软雅黑" w:eastAsia="微软雅黑"/>
          <w:b w:val="0"/>
          <w:color w:val="707E92"/>
          <w:sz w:val="18"/>
        </w:rPr>
        <w:t>图：平台公告列表，用于查看公告通知和站内消息。</w:t>
      </w:r>
    </w:p>
    <w:p>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5"/>
        <w:keepNext/>
        <w:spacing w:before="180" w:after="100" w:line="259" w:lineRule="auto"/>
      </w:pPr>
      <w:r>
        <w:rPr>
          <w:rFonts w:ascii="微软雅黑" w:hAnsi="微软雅黑" w:eastAsia="微软雅黑"/>
          <w:b/>
          <w:color w:val="2F5597"/>
          <w:sz w:val="25"/>
        </w:rPr>
        <w:t>给平台提建议</w:t>
      </w:r>
    </w:p>
    <w:p>
      <w:pPr>
        <w:pStyle w:val="16"/>
        <w:spacing w:after="60" w:line="276" w:lineRule="auto"/>
      </w:pPr>
      <w:r>
        <w:rPr>
          <w:rFonts w:ascii="微软雅黑" w:hAnsi="微软雅黑" w:eastAsia="微软雅黑"/>
          <w:b/>
          <w:color w:val="2F5597"/>
          <w:sz w:val="20"/>
        </w:rPr>
        <w:t>给平台提建议</w:t>
      </w:r>
      <w:r>
        <w:rPr>
          <w:rFonts w:ascii="微软雅黑" w:hAnsi="微软雅黑" w:eastAsia="微软雅黑"/>
          <w:b w:val="0"/>
          <w:sz w:val="20"/>
        </w:rPr>
        <w:t>：用于向平台提交产品、运营或系统使用建议。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：填写建议标题、建议内容和联系方式，提交后在列表查看处理状态。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：建议内容应描述具体问题、使用场景和期望结果，便于平台跟进。</w:t>
      </w:r>
    </w:p>
    <w:p w14:paraId="239E6456">
      <w:pPr>
        <w:pStyle w:val="5"/>
        <w:keepNext/>
        <w:spacing w:before="180" w:after="100" w:line="259" w:lineRule="auto"/>
      </w:pPr>
      <w:r>
        <w:rPr>
          <w:rFonts w:ascii="微软雅黑" w:hAnsi="微软雅黑" w:eastAsia="微软雅黑"/>
          <w:b/>
          <w:color w:val="2F5597"/>
          <w:sz w:val="25"/>
        </w:rPr>
        <w:t>会员投诉列表</w:t>
      </w:r>
    </w:p>
    <w:p>
      <w:pPr>
        <w:pStyle w:val="16"/>
        <w:spacing w:after="60" w:line="276" w:lineRule="auto"/>
      </w:pPr>
      <w:r>
        <w:rPr>
          <w:rFonts w:ascii="微软雅黑" w:hAnsi="微软雅黑" w:eastAsia="微软雅黑"/>
          <w:b/>
          <w:color w:val="2F5597"/>
          <w:sz w:val="20"/>
        </w:rPr>
        <w:t>会员投诉列表</w:t>
      </w:r>
      <w:r>
        <w:rPr>
          <w:rFonts w:ascii="微软雅黑" w:hAnsi="微软雅黑" w:eastAsia="微软雅黑"/>
          <w:b w:val="0"/>
          <w:sz w:val="20"/>
        </w:rPr>
        <w:t>：用于查看玩家提交的投诉、意见和处理状态。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：按会员、状态或时间筛选投诉，查看详情并记录处理结果。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：处理投诉前先核对会员账号、问题类型和相关订单或活动记录。</w:t>
      </w:r>
    </w:p>
    <w:p w14:paraId="03EC7769">
      <w:pPr>
        <w:pStyle w:val="5"/>
        <w:keepNext/>
        <w:spacing w:before="180" w:after="100" w:line="259" w:lineRule="auto"/>
      </w:pPr>
      <w:r>
        <w:rPr>
          <w:rFonts w:ascii="微软雅黑" w:hAnsi="微软雅黑" w:eastAsia="微软雅黑"/>
          <w:b/>
          <w:color w:val="2F5597"/>
          <w:sz w:val="25"/>
        </w:rPr>
        <w:t>消息推送</w:t>
      </w:r>
    </w:p>
    <w:p>
      <w:pPr>
        <w:spacing w:after="60" w:line="276" w:lineRule="auto"/>
      </w:pPr>
      <w:r>
        <w:rPr>
          <w:rFonts w:ascii="微软雅黑" w:hAnsi="微软雅黑" w:eastAsia="微软雅黑"/>
          <w:b w:val="0"/>
          <w:sz w:val="20"/>
        </w:rPr>
        <w:t>消息推送用于创建和管理面向玩家展示的消息、公告和跑马灯。</w:t>
      </w:r>
    </w:p>
    <w:p>
      <w:pPr>
        <w:spacing w:after="40"/>
        <w:jc w:val="center"/>
      </w:pPr>
      <w:r>
        <w:drawing>
          <wp:inline xmlns:a="http://schemas.openxmlformats.org/drawingml/2006/main" xmlns:pic="http://schemas.openxmlformats.org/drawingml/2006/picture">
            <wp:extent cx="5943600" cy="2515149"/>
            <wp:docPr id="46" name="Picture 4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943600" cy="2515149"/>
                    </a:xfrm>
                    <a:prstGeom prst="rect"/>
                  </pic:spPr>
                </pic:pic>
              </a:graphicData>
            </a:graphic>
          </wp:inline>
        </w:drawing>
      </w:r>
    </w:p>
    <w:p>
      <w:pPr>
        <w:pStyle w:val="15"/>
        <w:spacing w:after="120"/>
        <w:jc w:val="center"/>
      </w:pPr>
      <w:r>
        <w:rPr>
          <w:rFonts w:ascii="微软雅黑" w:hAnsi="微软雅黑" w:eastAsia="微软雅黑"/>
          <w:b w:val="0"/>
          <w:color w:val="707E92"/>
          <w:sz w:val="18"/>
        </w:rPr>
        <w:t>图：消息推送列表，用于管理消息、公告和跑马灯。</w:t>
      </w:r>
    </w:p>
    <w:p>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5"/>
        <w:keepNext/>
        <w:spacing w:before="180" w:after="100" w:line="259" w:lineRule="auto"/>
      </w:pPr>
      <w:r>
        <w:rPr>
          <w:rFonts w:ascii="微软雅黑" w:hAnsi="微软雅黑" w:eastAsia="微软雅黑"/>
          <w:b/>
          <w:color w:val="2F5597"/>
          <w:sz w:val="21"/>
        </w:rPr>
        <w:t>宣传管理</w:t>
      </w:r>
    </w:p>
    <w:p>
      <w:pPr>
        <w:spacing w:after="60" w:line="276" w:lineRule="auto"/>
      </w:pPr>
      <w:r>
        <w:rPr>
          <w:rFonts w:ascii="微软雅黑" w:hAnsi="微软雅黑" w:eastAsia="微软雅黑"/>
          <w:b w:val="0"/>
          <w:sz w:val="20"/>
        </w:rPr>
        <w:t>宣传管理用于维护站点大厅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图：宣传管理列表页面，用于查看宣传记录、筛选条件和行内操作。</w:t>
      </w:r>
    </w:p>
    <w:p>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pPr>
        <w:spacing w:after="20"/>
        <w:jc w:val="center"/>
      </w:pPr>
      <w:r>
        <w:rPr>
          <w:rFonts w:ascii="微软雅黑" w:hAnsi="微软雅黑" w:eastAsia="微软雅黑"/>
          <w:b w:val="0"/>
          <w:color w:val="707E92"/>
          <w:sz w:val="20"/>
        </w:rPr>
        <w:t>[图片]</w:t>
      </w:r>
    </w:p>
    <w:p>
      <w:pPr>
        <w:pStyle w:val="15"/>
        <w:spacing w:after="120"/>
        <w:jc w:val="center"/>
      </w:pPr>
      <w:r>
        <w:rPr>
          <w:rFonts w:ascii="微软雅黑" w:hAnsi="微软雅黑" w:eastAsia="微软雅黑"/>
          <w:b w:val="0"/>
          <w:color w:val="707E92"/>
          <w:sz w:val="18"/>
        </w:rPr>
        <w:t>图：宣传管理新增弹窗，用于配置宣传类型、上传宣传图片和设置跳转内容。</w:t>
      </w:r>
    </w:p>
    <w:p>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49D66ED6">
      <w:pPr>
        <w:pStyle w:val="5"/>
        <w:keepNext/>
        <w:spacing w:before="180" w:after="100" w:line="259" w:lineRule="auto"/>
      </w:pPr>
      <w:r>
        <w:rPr>
          <w:rFonts w:ascii="微软雅黑" w:hAnsi="微软雅黑" w:eastAsia="微软雅黑"/>
          <w:b/>
          <w:color w:val="2F5597"/>
          <w:sz w:val="25"/>
        </w:rPr>
        <w:t>客服中心</w:t>
      </w:r>
    </w:p>
    <w:p>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pPr>
        <w:spacing w:after="40"/>
        <w:jc w:val="center"/>
      </w:pPr>
      <w:r>
        <w:drawing>
          <wp:inline xmlns:a="http://schemas.openxmlformats.org/drawingml/2006/main" xmlns:pic="http://schemas.openxmlformats.org/drawingml/2006/picture">
            <wp:extent cx="5897880" cy="2737294"/>
            <wp:docPr id="47" name="Picture 47"/>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897880" cy="2737294"/>
                    </a:xfrm>
                    <a:prstGeom prst="rect"/>
                  </pic:spPr>
                </pic:pic>
              </a:graphicData>
            </a:graphic>
          </wp:inline>
        </w:drawing>
      </w:r>
    </w:p>
    <w:p>
      <w:pPr>
        <w:pStyle w:val="15"/>
        <w:spacing w:after="120"/>
        <w:jc w:val="center"/>
      </w:pPr>
      <w:r>
        <w:rPr>
          <w:rFonts w:ascii="微软雅黑" w:hAnsi="微软雅黑" w:eastAsia="微软雅黑"/>
          <w:b w:val="0"/>
          <w:color w:val="707E92"/>
          <w:sz w:val="18"/>
        </w:rPr>
        <w:t>图：客服中心页面，用于查看会话队列、接入会员咨询并发送客服回复。</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bookmarkEnd w:id="0"/>
    <w:p w14:paraId="353F86C3">
      <w:pPr>
        <w:pStyle w:val="5"/>
        <w:keepNext/>
        <w:spacing w:before="180" w:after="100" w:line="259" w:lineRule="auto"/>
      </w:pPr>
      <w:r>
        <w:rPr>
          <w:rFonts w:ascii="微软雅黑" w:hAnsi="微软雅黑" w:eastAsia="微软雅黑"/>
          <w:b/>
          <w:color w:val="2F5597"/>
          <w:sz w:val="25"/>
        </w:rPr>
        <w:t>任务中心</w:t>
      </w:r>
    </w:p>
    <w:p>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pPr>
        <w:spacing w:after="40"/>
        <w:jc w:val="center"/>
      </w:pPr>
      <w:r>
        <w:drawing>
          <wp:inline xmlns:a="http://schemas.openxmlformats.org/drawingml/2006/main" xmlns:pic="http://schemas.openxmlformats.org/drawingml/2006/picture">
            <wp:extent cx="5897880" cy="2542445"/>
            <wp:docPr id="50" name="Picture 50"/>
            <wp:cNvGraphicFramePr>
              <a:graphicFrameLocks noChangeAspect="1"/>
            </wp:cNvGraphicFramePr>
            <a:graphic>
              <a:graphicData uri="http://schemas.openxmlformats.org/drawingml/2006/picture">
                <pic:pic>
                  <pic:nvPicPr>
                    <pic:cNvPr id="0" name="task-center-newbie-list.png"/>
                    <pic:cNvPicPr/>
                  </pic:nvPicPr>
                  <pic:blipFill>
                    <a:blip r:embed="rId48"/>
                    <a:stretch>
                      <a:fillRect/>
                    </a:stretch>
                  </pic:blipFill>
                  <pic:spPr>
                    <a:xfrm>
                      <a:off x="0" y="0"/>
                      <a:ext cx="5897880" cy="2542445"/>
                    </a:xfrm>
                    <a:prstGeom prst="rect"/>
                  </pic:spPr>
                </pic:pic>
              </a:graphicData>
            </a:graphic>
          </wp:inline>
        </w:drawing>
      </w:r>
    </w:p>
    <w:p>
      <w:pPr>
        <w:pStyle w:val="15"/>
        <w:spacing w:after="120"/>
        <w:jc w:val="center"/>
      </w:pPr>
      <w:r>
        <w:rPr>
          <w:rFonts w:ascii="微软雅黑" w:hAnsi="微软雅黑" w:eastAsia="微软雅黑"/>
          <w:b w:val="0"/>
          <w:color w:val="707E92"/>
          <w:sz w:val="18"/>
        </w:rPr>
        <w:t>图：任务中心页面的新人福利页签，用于维护新手任务奖励、领取方式和启停状态。</w:t>
      </w:r>
    </w:p>
    <w:p>
      <w:pPr>
        <w:pStyle w:val="6"/>
        <w:spacing w:after="100"/>
      </w:pPr>
      <w:r>
        <w:rPr>
          <w:rFonts w:ascii="微软雅黑" w:hAnsi="微软雅黑" w:eastAsia="微软雅黑"/>
          <w:b/>
          <w:color w:val="2F5597"/>
          <w:sz w:val="21"/>
        </w:rPr>
        <w:t>新人福利</w:t>
      </w:r>
    </w:p>
    <w:p>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pPr>
        <w:pStyle w:val="6"/>
        <w:spacing w:after="100"/>
      </w:pPr>
      <w:r>
        <w:rPr>
          <w:rFonts w:ascii="微软雅黑" w:hAnsi="微软雅黑" w:eastAsia="微软雅黑"/>
          <w:b/>
          <w:color w:val="2F5597"/>
          <w:sz w:val="21"/>
        </w:rPr>
        <w:t>每日任务</w:t>
      </w:r>
    </w:p>
    <w:p>
      <w:pPr>
        <w:spacing w:after="40"/>
        <w:jc w:val="center"/>
      </w:pPr>
      <w:r>
        <w:drawing>
          <wp:inline xmlns:a="http://schemas.openxmlformats.org/drawingml/2006/main" xmlns:pic="http://schemas.openxmlformats.org/drawingml/2006/picture">
            <wp:extent cx="5897880" cy="2620870"/>
            <wp:docPr id="51" name="Picture 51"/>
            <wp:cNvGraphicFramePr>
              <a:graphicFrameLocks noChangeAspect="1"/>
            </wp:cNvGraphicFramePr>
            <a:graphic>
              <a:graphicData uri="http://schemas.openxmlformats.org/drawingml/2006/picture">
                <pic:pic>
                  <pic:nvPicPr>
                    <pic:cNvPr id="0" name="task-center-daily-edit.png"/>
                    <pic:cNvPicPr/>
                  </pic:nvPicPr>
                  <pic:blipFill>
                    <a:blip r:embed="rId49"/>
                    <a:stretch>
                      <a:fillRect/>
                    </a:stretch>
                  </pic:blipFill>
                  <pic:spPr>
                    <a:xfrm>
                      <a:off x="0" y="0"/>
                      <a:ext cx="5897880" cy="2620870"/>
                    </a:xfrm>
                    <a:prstGeom prst="rect"/>
                  </pic:spPr>
                </pic:pic>
              </a:graphicData>
            </a:graphic>
          </wp:inline>
        </w:drawing>
      </w:r>
    </w:p>
    <w:p>
      <w:pPr>
        <w:pStyle w:val="15"/>
        <w:spacing w:after="120"/>
        <w:jc w:val="center"/>
      </w:pPr>
      <w:r>
        <w:rPr>
          <w:rFonts w:ascii="微软雅黑" w:hAnsi="微软雅黑" w:eastAsia="微软雅黑"/>
          <w:b w:val="0"/>
          <w:color w:val="707E92"/>
          <w:sz w:val="18"/>
        </w:rPr>
        <w:t>图：每日任务页签，支持按累计充值、累计打码和单局打码维护阶梯奖励。</w:t>
      </w:r>
    </w:p>
    <w:p>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pPr>
        <w:pStyle w:val="6"/>
        <w:spacing w:after="100"/>
      </w:pPr>
      <w:r>
        <w:rPr>
          <w:rFonts w:ascii="微软雅黑" w:hAnsi="微软雅黑" w:eastAsia="微软雅黑"/>
          <w:b/>
          <w:color w:val="2F5597"/>
          <w:sz w:val="21"/>
        </w:rPr>
        <w:t>每周任务</w:t>
      </w:r>
    </w:p>
    <w:p>
      <w:pPr>
        <w:spacing w:after="40"/>
        <w:jc w:val="center"/>
      </w:pPr>
      <w:r>
        <w:drawing>
          <wp:inline xmlns:a="http://schemas.openxmlformats.org/drawingml/2006/main" xmlns:pic="http://schemas.openxmlformats.org/drawingml/2006/picture">
            <wp:extent cx="5897880" cy="2659328"/>
            <wp:docPr id="52" name="Picture 52"/>
            <wp:cNvGraphicFramePr>
              <a:graphicFrameLocks noChangeAspect="1"/>
            </wp:cNvGraphicFramePr>
            <a:graphic>
              <a:graphicData uri="http://schemas.openxmlformats.org/drawingml/2006/picture">
                <pic:pic>
                  <pic:nvPicPr>
                    <pic:cNvPr id="0" name="task-center-weekly-edit.png"/>
                    <pic:cNvPicPr/>
                  </pic:nvPicPr>
                  <pic:blipFill>
                    <a:blip r:embed="rId50"/>
                    <a:stretch>
                      <a:fillRect/>
                    </a:stretch>
                  </pic:blipFill>
                  <pic:spPr>
                    <a:xfrm>
                      <a:off x="0" y="0"/>
                      <a:ext cx="5897880" cy="2659328"/>
                    </a:xfrm>
                    <a:prstGeom prst="rect"/>
                  </pic:spPr>
                </pic:pic>
              </a:graphicData>
            </a:graphic>
          </wp:inline>
        </w:drawing>
      </w:r>
    </w:p>
    <w:p>
      <w:pPr>
        <w:pStyle w:val="15"/>
        <w:spacing w:after="120"/>
        <w:jc w:val="center"/>
      </w:pPr>
      <w:r>
        <w:rPr>
          <w:rFonts w:ascii="微软雅黑" w:hAnsi="微软雅黑" w:eastAsia="微软雅黑"/>
          <w:b w:val="0"/>
          <w:color w:val="707E92"/>
          <w:sz w:val="18"/>
        </w:rPr>
        <w:t>图：每周任务页签，按周配置奖励门槛、奖励金额、奖励活跃度和任务说明。</w:t>
      </w:r>
    </w:p>
    <w:p>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pPr>
        <w:pStyle w:val="6"/>
        <w:spacing w:after="100"/>
      </w:pPr>
      <w:r>
        <w:rPr>
          <w:rFonts w:ascii="微软雅黑" w:hAnsi="微软雅黑" w:eastAsia="微软雅黑"/>
          <w:b/>
          <w:color w:val="2F5597"/>
          <w:sz w:val="21"/>
        </w:rPr>
        <w:t>规则设置</w:t>
      </w:r>
    </w:p>
    <w:p>
      <w:pPr>
        <w:spacing w:after="40"/>
        <w:jc w:val="center"/>
      </w:pPr>
      <w:r>
        <w:drawing>
          <wp:inline xmlns:a="http://schemas.openxmlformats.org/drawingml/2006/main" xmlns:pic="http://schemas.openxmlformats.org/drawingml/2006/picture">
            <wp:extent cx="3291840" cy="1888516"/>
            <wp:docPr id="53" name="Picture 53"/>
            <wp:cNvGraphicFramePr>
              <a:graphicFrameLocks noChangeAspect="1"/>
            </wp:cNvGraphicFramePr>
            <a:graphic>
              <a:graphicData uri="http://schemas.openxmlformats.org/drawingml/2006/picture">
                <pic:pic>
                  <pic:nvPicPr>
                    <pic:cNvPr id="0" name="task-center-rule-modal.png"/>
                    <pic:cNvPicPr/>
                  </pic:nvPicPr>
                  <pic:blipFill>
                    <a:blip r:embed="rId51"/>
                    <a:stretch>
                      <a:fillRect/>
                    </a:stretch>
                  </pic:blipFill>
                  <pic:spPr>
                    <a:xfrm>
                      <a:off x="0" y="0"/>
                      <a:ext cx="3291840" cy="1888516"/>
                    </a:xfrm>
                    <a:prstGeom prst="rect"/>
                  </pic:spPr>
                </pic:pic>
              </a:graphicData>
            </a:graphic>
          </wp:inline>
        </w:drawing>
      </w:r>
    </w:p>
    <w:p>
      <w:pPr>
        <w:pStyle w:val="15"/>
        <w:spacing w:after="120"/>
        <w:jc w:val="center"/>
      </w:pPr>
      <w:r>
        <w:rPr>
          <w:rFonts w:ascii="微软雅黑" w:hAnsi="微软雅黑" w:eastAsia="微软雅黑"/>
          <w:b w:val="0"/>
          <w:color w:val="707E92"/>
          <w:sz w:val="18"/>
        </w:rPr>
        <w:t>图：规则设置弹窗，用于配置打码倍数和任务启用状态。</w:t>
      </w:r>
    </w:p>
    <w:p>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pPr>
        <w:pStyle w:val="6"/>
        <w:spacing w:after="100"/>
      </w:pPr>
      <w:r>
        <w:rPr>
          <w:rFonts w:ascii="微软雅黑" w:hAnsi="微软雅黑" w:eastAsia="微软雅黑"/>
          <w:b/>
          <w:color w:val="2F5597"/>
          <w:sz w:val="21"/>
        </w:rPr>
        <w:t>活跃度宝箱</w:t>
      </w:r>
    </w:p>
    <w:p>
      <w:pPr>
        <w:spacing w:after="40"/>
        <w:jc w:val="center"/>
      </w:pPr>
      <w:r>
        <w:drawing>
          <wp:inline xmlns:a="http://schemas.openxmlformats.org/drawingml/2006/main" xmlns:pic="http://schemas.openxmlformats.org/drawingml/2006/picture">
            <wp:extent cx="5897880" cy="1427559"/>
            <wp:docPr id="54" name="Picture 54"/>
            <wp:cNvGraphicFramePr>
              <a:graphicFrameLocks noChangeAspect="1"/>
            </wp:cNvGraphicFramePr>
            <a:graphic>
              <a:graphicData uri="http://schemas.openxmlformats.org/drawingml/2006/picture">
                <pic:pic>
                  <pic:nvPicPr>
                    <pic:cNvPr id="0" name="task-center-chest-list.png"/>
                    <pic:cNvPicPr/>
                  </pic:nvPicPr>
                  <pic:blipFill>
                    <a:blip r:embed="rId52"/>
                    <a:stretch>
                      <a:fillRect/>
                    </a:stretch>
                  </pic:blipFill>
                  <pic:spPr>
                    <a:xfrm>
                      <a:off x="0" y="0"/>
                      <a:ext cx="5897880" cy="1427559"/>
                    </a:xfrm>
                    <a:prstGeom prst="rect"/>
                  </pic:spPr>
                </pic:pic>
              </a:graphicData>
            </a:graphic>
          </wp:inline>
        </w:drawing>
      </w:r>
    </w:p>
    <w:p>
      <w:pPr>
        <w:pStyle w:val="15"/>
        <w:spacing w:after="120"/>
        <w:jc w:val="center"/>
      </w:pPr>
      <w:r>
        <w:rPr>
          <w:rFonts w:ascii="微软雅黑" w:hAnsi="微软雅黑" w:eastAsia="微软雅黑"/>
          <w:b w:val="0"/>
          <w:color w:val="707E92"/>
          <w:sz w:val="18"/>
        </w:rPr>
        <w:t>图：活跃度宝箱页签，用于查看宝箱门槛、奖励类型和金额范围。</w:t>
      </w:r>
    </w:p>
    <w:p>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pPr>
        <w:spacing w:after="40"/>
        <w:jc w:val="center"/>
      </w:pPr>
      <w:r>
        <w:drawing>
          <wp:inline xmlns:a="http://schemas.openxmlformats.org/drawingml/2006/main" xmlns:pic="http://schemas.openxmlformats.org/drawingml/2006/picture">
            <wp:extent cx="3840480" cy="2513403"/>
            <wp:docPr id="55" name="Picture 55"/>
            <wp:cNvGraphicFramePr>
              <a:graphicFrameLocks noChangeAspect="1"/>
            </wp:cNvGraphicFramePr>
            <a:graphic>
              <a:graphicData uri="http://schemas.openxmlformats.org/drawingml/2006/picture">
                <pic:pic>
                  <pic:nvPicPr>
                    <pic:cNvPr id="0" name="task-center-chest-edit.png"/>
                    <pic:cNvPicPr/>
                  </pic:nvPicPr>
                  <pic:blipFill>
                    <a:blip r:embed="rId53"/>
                    <a:stretch>
                      <a:fillRect/>
                    </a:stretch>
                  </pic:blipFill>
                  <pic:spPr>
                    <a:xfrm>
                      <a:off x="0" y="0"/>
                      <a:ext cx="3840480" cy="2513403"/>
                    </a:xfrm>
                    <a:prstGeom prst="rect"/>
                  </pic:spPr>
                </pic:pic>
              </a:graphicData>
            </a:graphic>
          </wp:inline>
        </w:drawing>
      </w:r>
    </w:p>
    <w:p>
      <w:pPr>
        <w:pStyle w:val="15"/>
        <w:spacing w:after="120"/>
        <w:jc w:val="center"/>
      </w:pPr>
      <w:r>
        <w:rPr>
          <w:rFonts w:ascii="微软雅黑" w:hAnsi="微软雅黑" w:eastAsia="微软雅黑"/>
          <w:b w:val="0"/>
          <w:color w:val="707E92"/>
          <w:sz w:val="18"/>
        </w:rPr>
        <w:t>图：宝箱编辑弹窗，用于维护宝箱名称、所需活跃度和奖励金额。</w:t>
      </w:r>
    </w:p>
    <w:p>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5"/>
        <w:keepNext/>
        <w:spacing w:before="180" w:after="100" w:line="259" w:lineRule="auto"/>
      </w:pPr>
      <w:r>
        <w:rPr>
          <w:rFonts w:ascii="微软雅黑" w:hAnsi="微软雅黑" w:eastAsia="微软雅黑"/>
          <w:b/>
          <w:color w:val="2F5597"/>
          <w:sz w:val="21"/>
        </w:rPr>
        <w:t>落地页管理</w:t>
      </w:r>
    </w:p>
    <w:p>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pPr>
        <w:spacing w:after="40"/>
        <w:jc w:val="center"/>
      </w:pPr>
      <w:r>
        <w:drawing>
          <wp:inline xmlns:a="http://schemas.openxmlformats.org/drawingml/2006/main" xmlns:pic="http://schemas.openxmlformats.org/drawingml/2006/picture">
            <wp:extent cx="5897880" cy="1916440"/>
            <wp:docPr id="56" name="Picture 56"/>
            <wp:cNvGraphicFramePr>
              <a:graphicFrameLocks noChangeAspect="1"/>
            </wp:cNvGraphicFramePr>
            <a:graphic>
              <a:graphicData uri="http://schemas.openxmlformats.org/drawingml/2006/picture">
                <pic:pic>
                  <pic:nvPicPr>
                    <pic:cNvPr id="0" name="landing-page-list.png"/>
                    <pic:cNvPicPr/>
                  </pic:nvPicPr>
                  <pic:blipFill>
                    <a:blip r:embed="rId54"/>
                    <a:stretch>
                      <a:fillRect/>
                    </a:stretch>
                  </pic:blipFill>
                  <pic:spPr>
                    <a:xfrm>
                      <a:off x="0" y="0"/>
                      <a:ext cx="5897880" cy="1916440"/>
                    </a:xfrm>
                    <a:prstGeom prst="rect"/>
                  </pic:spPr>
                </pic:pic>
              </a:graphicData>
            </a:graphic>
          </wp:inline>
        </w:drawing>
      </w:r>
    </w:p>
    <w:p>
      <w:pPr>
        <w:pStyle w:val="15"/>
        <w:spacing w:after="120"/>
        <w:jc w:val="center"/>
      </w:pPr>
      <w:r>
        <w:rPr>
          <w:rFonts w:ascii="微软雅黑" w:hAnsi="微软雅黑" w:eastAsia="微软雅黑"/>
          <w:b w:val="0"/>
          <w:color w:val="707E92"/>
          <w:sz w:val="18"/>
        </w:rPr>
        <w:t>图：落地页管理列表页面，用于查看模板信息、下载地址、评分、截图和行内操作。</w:t>
      </w:r>
    </w:p>
    <w:p>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pPr>
        <w:spacing w:after="40"/>
        <w:jc w:val="center"/>
      </w:pPr>
      <w:r>
        <w:drawing>
          <wp:inline xmlns:a="http://schemas.openxmlformats.org/drawingml/2006/main" xmlns:pic="http://schemas.openxmlformats.org/drawingml/2006/picture">
            <wp:extent cx="4480560" cy="5616301"/>
            <wp:docPr id="57" name="Picture 57"/>
            <wp:cNvGraphicFramePr>
              <a:graphicFrameLocks noChangeAspect="1"/>
            </wp:cNvGraphicFramePr>
            <a:graphic>
              <a:graphicData uri="http://schemas.openxmlformats.org/drawingml/2006/picture">
                <pic:pic>
                  <pic:nvPicPr>
                    <pic:cNvPr id="0" name="landing-page-add-modal.png"/>
                    <pic:cNvPicPr/>
                  </pic:nvPicPr>
                  <pic:blipFill>
                    <a:blip r:embed="rId55"/>
                    <a:stretch>
                      <a:fillRect/>
                    </a:stretch>
                  </pic:blipFill>
                  <pic:spPr>
                    <a:xfrm>
                      <a:off x="0" y="0"/>
                      <a:ext cx="4480560" cy="5616301"/>
                    </a:xfrm>
                    <a:prstGeom prst="rect"/>
                  </pic:spPr>
                </pic:pic>
              </a:graphicData>
            </a:graphic>
          </wp:inline>
        </w:drawing>
      </w:r>
    </w:p>
    <w:p>
      <w:pPr>
        <w:pStyle w:val="15"/>
        <w:spacing w:after="120"/>
        <w:jc w:val="center"/>
      </w:pPr>
      <w:r>
        <w:rPr>
          <w:rFonts w:ascii="微软雅黑" w:hAnsi="微软雅黑" w:eastAsia="微软雅黑"/>
          <w:b w:val="0"/>
          <w:color w:val="707E92"/>
          <w:sz w:val="18"/>
        </w:rPr>
        <w:t>图：新增落地页弹窗，用于维护模板样式、图标、下载地址、评分、截图和应用介绍。</w:t>
      </w:r>
    </w:p>
    <w:p>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6D87C06F">
      <w:pPr>
        <w:pStyle w:val="5"/>
        <w:keepNext/>
        <w:spacing w:before="180" w:after="100" w:line="259" w:lineRule="auto"/>
      </w:pPr>
      <w:r>
        <w:rPr>
          <w:rFonts w:ascii="微软雅黑" w:hAnsi="微软雅黑" w:eastAsia="微软雅黑"/>
          <w:b/>
          <w:color w:val="2F5597"/>
          <w:sz w:val="25"/>
        </w:rPr>
        <w:t>活动排行统计</w:t>
      </w:r>
    </w:p>
    <w:p>
      <w:pPr>
        <w:pStyle w:val="16"/>
        <w:spacing w:after="60" w:line="276" w:lineRule="auto"/>
      </w:pPr>
      <w:r>
        <w:rPr>
          <w:rFonts w:ascii="微软雅黑" w:hAnsi="微软雅黑" w:eastAsia="微软雅黑"/>
          <w:b/>
          <w:color w:val="2F5597"/>
          <w:sz w:val="20"/>
        </w:rPr>
        <w:t>活动排行统计</w:t>
      </w:r>
      <w:r>
        <w:rPr>
          <w:rFonts w:ascii="微软雅黑" w:hAnsi="微软雅黑" w:eastAsia="微软雅黑"/>
          <w:b w:val="0"/>
          <w:sz w:val="20"/>
        </w:rPr>
        <w:t>：用于查看活动参与、排名和奖励相关统计。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：按活动、时间或玩家筛选数据，查看排行、参与人数和奖励发放情况。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：统计结果用于活动复盘，需结合活动规则和奖励记录一起核对。</w:t>
      </w:r>
    </w:p>
    <w:p w14:paraId="0F49B09C">
      <w:pPr>
        <w:pStyle w:val="3"/>
        <w:keepNext/>
        <w:spacing w:before="360" w:after="240" w:line="276" w:lineRule="auto"/>
      </w:pPr>
      <w:r>
        <w:rPr>
          <w:rFonts w:ascii="微软雅黑" w:hAnsi="微软雅黑" w:eastAsia="微软雅黑"/>
          <w:b/>
          <w:color w:val="17365D"/>
          <w:sz w:val="40"/>
        </w:rPr>
        <w:t>六、优惠活动</w:t>
      </w:r>
    </w:p>
    <w:p w14:paraId="672254AC">
      <w:pPr>
        <w:pStyle w:val="4"/>
        <w:keepNext/>
        <w:spacing w:before="240" w:after="140" w:line="269" w:lineRule="auto"/>
      </w:pPr>
      <w:r>
        <w:rPr>
          <w:rFonts w:ascii="微软雅黑" w:hAnsi="微软雅黑" w:eastAsia="微软雅黑"/>
          <w:b/>
          <w:color w:val="1F4E79"/>
          <w:sz w:val="30"/>
        </w:rPr>
        <w:t>模块定位</w:t>
      </w:r>
    </w:p>
    <w:p w14:paraId="27D010F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23A8F73">
      <w:pPr>
        <w:pStyle w:val="4"/>
        <w:keepNext/>
        <w:spacing w:before="240" w:after="140" w:line="269" w:lineRule="auto"/>
      </w:pPr>
      <w:r>
        <w:rPr>
          <w:rFonts w:ascii="微软雅黑" w:hAnsi="微软雅黑" w:eastAsia="微软雅黑"/>
          <w:b/>
          <w:color w:val="1F4E79"/>
          <w:sz w:val="30"/>
        </w:rPr>
        <w:t>页面说明</w:t>
      </w:r>
    </w:p>
    <w:p w14:paraId="489C7955">
      <w:pPr>
        <w:pStyle w:val="5"/>
        <w:keepNext/>
        <w:spacing w:before="180" w:after="100" w:line="259" w:lineRule="auto"/>
      </w:pPr>
      <w:r>
        <w:rPr>
          <w:rFonts w:ascii="微软雅黑" w:hAnsi="微软雅黑" w:eastAsia="微软雅黑"/>
          <w:b/>
          <w:color w:val="2F5597"/>
          <w:sz w:val="25"/>
        </w:rPr>
        <w:t>优惠活动列表</w:t>
      </w:r>
    </w:p>
    <w:p>
      <w:pPr>
        <w:pStyle w:val="16"/>
        <w:spacing w:after="60" w:line="276" w:lineRule="auto"/>
      </w:pPr>
      <w:r>
        <w:rPr>
          <w:rFonts w:ascii="微软雅黑" w:hAnsi="微软雅黑" w:eastAsia="微软雅黑"/>
          <w:b/>
          <w:color w:val="2F5597"/>
          <w:sz w:val="20"/>
        </w:rPr>
        <w:t>优惠活动列表</w:t>
      </w:r>
      <w:r>
        <w:rPr>
          <w:rFonts w:ascii="微软雅黑" w:hAnsi="微软雅黑" w:eastAsia="微软雅黑"/>
          <w:b w:val="0"/>
          <w:sz w:val="20"/>
        </w:rPr>
        <w:t>：用于管理站点优惠活动和活动状态。</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：查询活动，新增、编辑、复制、启用、停用或查看活动数据。</w:t>
      </w:r>
    </w:p>
    <w:p>
      <w:pPr>
        <w:pStyle w:val="16"/>
        <w:spacing w:after="60" w:line="276" w:lineRule="auto"/>
      </w:pPr>
      <w:r>
        <w:rPr>
          <w:rFonts w:ascii="微软雅黑" w:hAnsi="微软雅黑" w:eastAsia="微软雅黑"/>
          <w:b/>
          <w:color w:val="2F5597"/>
          <w:sz w:val="20"/>
        </w:rPr>
        <w:t>上线前检查</w:t>
      </w:r>
      <w:r>
        <w:rPr>
          <w:rFonts w:ascii="微软雅黑" w:hAnsi="微软雅黑" w:eastAsia="微软雅黑"/>
          <w:b w:val="0"/>
          <w:sz w:val="20"/>
        </w:rPr>
        <w:t>：上线前确认活动时间、参与条件、奖励规则和展示入口。</w:t>
      </w:r>
    </w:p>
    <w:p w14:paraId="4E0C8557">
      <w:pPr>
        <w:pStyle w:val="5"/>
        <w:keepNext/>
        <w:spacing w:before="180" w:after="100" w:line="259" w:lineRule="auto"/>
      </w:pPr>
      <w:r>
        <w:rPr>
          <w:rFonts w:ascii="微软雅黑" w:hAnsi="微软雅黑" w:eastAsia="微软雅黑"/>
          <w:b/>
          <w:color w:val="2F5597"/>
          <w:sz w:val="25"/>
        </w:rPr>
        <w:t>幸运转盘配置</w:t>
      </w:r>
    </w:p>
    <w:p>
      <w:pPr>
        <w:pStyle w:val="16"/>
        <w:spacing w:after="60" w:line="276" w:lineRule="auto"/>
      </w:pPr>
      <w:r>
        <w:rPr>
          <w:rFonts w:ascii="微软雅黑" w:hAnsi="微软雅黑" w:eastAsia="微软雅黑"/>
          <w:b/>
          <w:color w:val="2F5597"/>
          <w:sz w:val="20"/>
        </w:rPr>
        <w:t>幸运转盘配置</w:t>
      </w:r>
      <w:r>
        <w:rPr>
          <w:rFonts w:ascii="微软雅黑" w:hAnsi="微软雅黑" w:eastAsia="微软雅黑"/>
          <w:b w:val="0"/>
          <w:sz w:val="20"/>
        </w:rPr>
        <w:t>：用于配置幸运转盘活动、奖品和抽奖规则。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：设置奖品、中奖概率、参与条件、活动时间和启停状态。</w:t>
      </w:r>
    </w:p>
    <w:p>
      <w:pPr>
        <w:pStyle w:val="16"/>
        <w:spacing w:after="60" w:line="276" w:lineRule="auto"/>
      </w:pPr>
      <w:r>
        <w:rPr>
          <w:rFonts w:ascii="微软雅黑" w:hAnsi="微软雅黑" w:eastAsia="微软雅黑"/>
          <w:b/>
          <w:color w:val="2F5597"/>
          <w:sz w:val="20"/>
        </w:rPr>
        <w:t>发布前检查</w:t>
      </w:r>
      <w:r>
        <w:rPr>
          <w:rFonts w:ascii="微软雅黑" w:hAnsi="微软雅黑" w:eastAsia="微软雅黑"/>
          <w:b w:val="0"/>
          <w:sz w:val="20"/>
        </w:rPr>
        <w:t>：发布前核对奖品库存、概率配置和奖励发放方式。</w:t>
      </w:r>
    </w:p>
    <w:p w14:paraId="736D48AC">
      <w:pPr>
        <w:pStyle w:val="5"/>
        <w:keepNext/>
        <w:spacing w:before="180" w:after="100" w:line="259" w:lineRule="auto"/>
      </w:pPr>
      <w:r>
        <w:rPr>
          <w:rFonts w:ascii="微软雅黑" w:hAnsi="微软雅黑" w:eastAsia="微软雅黑"/>
          <w:b/>
          <w:color w:val="2F5597"/>
          <w:sz w:val="25"/>
        </w:rPr>
        <w:t>新增活动</w:t>
      </w:r>
    </w:p>
    <w:p>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：用于创建新的优惠活动。</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：选择活动类型，填写活动信息、规则、奖励、展示素材和时间范围。</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：提交前逐项检查必填字段、奖励条件和前台展示文案。</w:t>
      </w:r>
    </w:p>
    <w:p w14:paraId="0BFA7C18">
      <w:pPr>
        <w:pStyle w:val="5"/>
        <w:keepNext/>
        <w:spacing w:before="180" w:after="100" w:line="259" w:lineRule="auto"/>
      </w:pPr>
      <w:r>
        <w:rPr>
          <w:rFonts w:ascii="微软雅黑" w:hAnsi="微软雅黑" w:eastAsia="微软雅黑"/>
          <w:b/>
          <w:color w:val="2F5597"/>
          <w:sz w:val="25"/>
        </w:rPr>
        <w:t>活动分析</w:t>
      </w:r>
    </w:p>
    <w:p>
      <w:pPr>
        <w:pStyle w:val="16"/>
        <w:spacing w:after="60" w:line="276" w:lineRule="auto"/>
      </w:pPr>
      <w:r>
        <w:rPr>
          <w:rFonts w:ascii="微软雅黑" w:hAnsi="微软雅黑" w:eastAsia="微软雅黑"/>
          <w:b/>
          <w:color w:val="2F5597"/>
          <w:sz w:val="20"/>
        </w:rPr>
        <w:t>活动分析</w:t>
      </w:r>
      <w:r>
        <w:rPr>
          <w:rFonts w:ascii="微软雅黑" w:hAnsi="微软雅黑" w:eastAsia="微软雅黑"/>
          <w:b w:val="0"/>
          <w:sz w:val="20"/>
        </w:rPr>
        <w:t>：用于查看活动效果和玩家参与数据。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：按活动和时间筛选，查看参与人数、领取金额、转化效果等指标。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：分析时结合活动成本、充值投注表现和奖励发放记录判断效果。</w:t>
      </w:r>
    </w:p>
    <w:p w14:paraId="4888D1C6">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14F5B3AE">
      <w:pPr>
        <w:pStyle w:val="5"/>
        <w:keepNext/>
        <w:spacing w:before="180" w:after="100" w:line="259" w:lineRule="auto"/>
      </w:pPr>
      <w:r>
        <w:rPr>
          <w:rFonts w:ascii="微软雅黑" w:hAnsi="微软雅黑" w:eastAsia="微软雅黑"/>
          <w:b/>
          <w:color w:val="2F5597"/>
          <w:sz w:val="25"/>
        </w:rPr>
        <w:t>票券中心</w:t>
      </w:r>
    </w:p>
    <w:p>
      <w:pPr>
        <w:pStyle w:val="16"/>
        <w:spacing w:after="60" w:line="276" w:lineRule="auto"/>
      </w:pPr>
      <w:r>
        <w:rPr>
          <w:rFonts w:ascii="微软雅黑" w:hAnsi="微软雅黑" w:eastAsia="微软雅黑"/>
          <w:b/>
          <w:color w:val="2F5597"/>
          <w:sz w:val="20"/>
        </w:rPr>
        <w:t>票券中心</w:t>
      </w:r>
      <w:r>
        <w:rPr>
          <w:rFonts w:ascii="微软雅黑" w:hAnsi="微软雅黑" w:eastAsia="微软雅黑"/>
          <w:b w:val="0"/>
          <w:sz w:val="20"/>
        </w:rPr>
        <w:t>：用于管理优惠券、票券模板和发放规则。</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：新增、编辑、启用、停用票券，配置面额、使用门槛和有效期。</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：发券前确认适用范围、有效期和使用限制，避免与活动规则冲突。</w:t>
      </w:r>
    </w:p>
    <w:p w14:paraId="06B5E40D">
      <w:pPr>
        <w:pStyle w:val="5"/>
        <w:keepNext/>
        <w:spacing w:before="180" w:after="100" w:line="259" w:lineRule="auto"/>
      </w:pPr>
      <w:r>
        <w:rPr>
          <w:rFonts w:ascii="微软雅黑" w:hAnsi="微软雅黑" w:eastAsia="微软雅黑"/>
          <w:b/>
          <w:color w:val="2F5597"/>
          <w:sz w:val="25"/>
        </w:rPr>
        <w:t>票券使用记录</w:t>
      </w:r>
    </w:p>
    <w:p>
      <w:pPr>
        <w:pStyle w:val="16"/>
        <w:spacing w:after="60" w:line="276" w:lineRule="auto"/>
      </w:pPr>
      <w:r>
        <w:rPr>
          <w:rFonts w:ascii="微软雅黑" w:hAnsi="微软雅黑" w:eastAsia="微软雅黑"/>
          <w:b/>
          <w:color w:val="2F5597"/>
          <w:sz w:val="20"/>
        </w:rPr>
        <w:t>票券使用记录</w:t>
      </w:r>
      <w:r>
        <w:rPr>
          <w:rFonts w:ascii="微软雅黑" w:hAnsi="微软雅黑" w:eastAsia="微软雅黑"/>
          <w:b w:val="0"/>
          <w:sz w:val="20"/>
        </w:rPr>
        <w:t>：用于查询玩家票券领取和使用记录。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：按玩家、票券、状态或时间筛选，查看使用时间和关联活动。</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：排查奖励问题时可结合票券状态、账变记录和活动记录核对。</w:t>
      </w:r>
    </w:p>
    <w:p w14:paraId="211BE088">
      <w:pPr>
        <w:pStyle w:val="5"/>
        <w:keepNext/>
        <w:spacing w:before="180" w:after="100" w:line="259" w:lineRule="auto"/>
      </w:pPr>
      <w:r>
        <w:rPr>
          <w:rFonts w:ascii="微软雅黑" w:hAnsi="微软雅黑" w:eastAsia="微软雅黑"/>
          <w:b/>
          <w:color w:val="2F5597"/>
          <w:sz w:val="25"/>
        </w:rPr>
        <w:t>全局配置</w:t>
      </w:r>
    </w:p>
    <w:p>
      <w:pPr>
        <w:pStyle w:val="16"/>
        <w:spacing w:after="60" w:line="276" w:lineRule="auto"/>
      </w:pPr>
      <w:r>
        <w:rPr>
          <w:rFonts w:ascii="微软雅黑" w:hAnsi="微软雅黑" w:eastAsia="微软雅黑"/>
          <w:b/>
          <w:color w:val="2F5597"/>
          <w:sz w:val="20"/>
        </w:rPr>
        <w:t>全局配置</w:t>
      </w:r>
      <w:r>
        <w:rPr>
          <w:rFonts w:ascii="微软雅黑" w:hAnsi="微软雅黑" w:eastAsia="微软雅黑"/>
          <w:b w:val="0"/>
          <w:sz w:val="20"/>
        </w:rPr>
        <w:t>：用于维护优惠活动相关的全局规则和默认参数。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：查看并编辑活动通用开关、限制条件和基础配置。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：全局配置会影响多个活动，保存前需确认影响范围。</w:t>
      </w:r>
    </w:p>
    <w:p w14:paraId="033F0063">
      <w:pPr>
        <w:pStyle w:val="3"/>
        <w:keepNext/>
        <w:spacing w:before="360" w:after="240" w:line="276" w:lineRule="auto"/>
      </w:pPr>
      <w:r>
        <w:rPr>
          <w:rFonts w:ascii="微软雅黑" w:hAnsi="微软雅黑" w:eastAsia="微软雅黑"/>
          <w:b/>
          <w:color w:val="17365D"/>
          <w:sz w:val="40"/>
        </w:rPr>
        <w:t>七、财务中心</w:t>
      </w:r>
    </w:p>
    <w:p w14:paraId="3CB29151">
      <w:pPr>
        <w:pStyle w:val="4"/>
        <w:keepNext/>
        <w:spacing w:before="240" w:after="140" w:line="269" w:lineRule="auto"/>
      </w:pPr>
      <w:r>
        <w:rPr>
          <w:rFonts w:ascii="微软雅黑" w:hAnsi="微软雅黑" w:eastAsia="微软雅黑"/>
          <w:b/>
          <w:color w:val="1F4E79"/>
          <w:sz w:val="30"/>
        </w:rPr>
        <w:t>模块定位</w:t>
      </w:r>
    </w:p>
    <w:p w14:paraId="747616E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1ECDFC1">
      <w:pPr>
        <w:pStyle w:val="4"/>
        <w:keepNext/>
        <w:spacing w:before="240" w:after="140" w:line="269" w:lineRule="auto"/>
      </w:pPr>
      <w:r>
        <w:rPr>
          <w:rFonts w:ascii="微软雅黑" w:hAnsi="微软雅黑" w:eastAsia="微软雅黑"/>
          <w:b/>
          <w:color w:val="1F4E79"/>
          <w:sz w:val="30"/>
        </w:rPr>
        <w:t>页面说明</w:t>
      </w:r>
    </w:p>
    <w:p w14:paraId="3EECD788">
      <w:pPr>
        <w:pStyle w:val="5"/>
        <w:keepNext/>
        <w:spacing w:before="180" w:after="100" w:line="259" w:lineRule="auto"/>
      </w:pPr>
      <w:r>
        <w:rPr>
          <w:rFonts w:ascii="微软雅黑" w:hAnsi="微软雅黑" w:eastAsia="微软雅黑"/>
          <w:b/>
          <w:color w:val="2F5597"/>
          <w:sz w:val="25"/>
        </w:rPr>
        <w:t>会员提现设置</w:t>
      </w:r>
    </w:p>
    <w:p>
      <w:pPr>
        <w:pStyle w:val="16"/>
        <w:spacing w:after="60" w:line="276" w:lineRule="auto"/>
      </w:pPr>
      <w:r>
        <w:rPr>
          <w:rFonts w:ascii="微软雅黑" w:hAnsi="微软雅黑" w:eastAsia="微软雅黑"/>
          <w:b/>
          <w:color w:val="2F5597"/>
          <w:sz w:val="20"/>
        </w:rPr>
        <w:t>会员提现设置</w:t>
      </w:r>
      <w:r>
        <w:rPr>
          <w:rFonts w:ascii="微软雅黑" w:hAnsi="微软雅黑" w:eastAsia="微软雅黑"/>
          <w:b w:val="0"/>
          <w:sz w:val="20"/>
        </w:rPr>
        <w:t>：用于配置会员提现规则和限制。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：设置提现额度、次数、手续费、审核规则和启停状态。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：调整后会影响玩家提现体验，需与风控和财务口径一致。</w:t>
      </w:r>
    </w:p>
    <w:p w14:paraId="233CA22C">
      <w:pPr>
        <w:pStyle w:val="5"/>
        <w:keepNext/>
        <w:spacing w:before="180" w:after="100" w:line="259" w:lineRule="auto"/>
      </w:pPr>
      <w:r>
        <w:rPr>
          <w:rFonts w:ascii="微软雅黑" w:hAnsi="微软雅黑" w:eastAsia="微软雅黑"/>
          <w:b/>
          <w:color w:val="2F5597"/>
          <w:sz w:val="25"/>
        </w:rPr>
        <w:t>会员充值配置</w:t>
      </w:r>
    </w:p>
    <w:p>
      <w:pPr>
        <w:pStyle w:val="16"/>
        <w:spacing w:after="60" w:line="276" w:lineRule="auto"/>
      </w:pPr>
      <w:r>
        <w:rPr>
          <w:rFonts w:ascii="微软雅黑" w:hAnsi="微软雅黑" w:eastAsia="微软雅黑"/>
          <w:b/>
          <w:color w:val="2F5597"/>
          <w:sz w:val="20"/>
        </w:rPr>
        <w:t>会员充值配置</w:t>
      </w:r>
      <w:r>
        <w:rPr>
          <w:rFonts w:ascii="微软雅黑" w:hAnsi="微软雅黑" w:eastAsia="微软雅黑"/>
          <w:b w:val="0"/>
          <w:sz w:val="20"/>
        </w:rPr>
        <w:t>：用于配置会员充值入口、限额和展示规则。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：维护充值金额、通道展示、优惠提示和启停状态。</w:t>
      </w:r>
    </w:p>
    <w:p>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：保存前确认充值通道可用、金额范围合理、前台展示正确。</w:t>
      </w:r>
    </w:p>
    <w:p w14:paraId="1C845537">
      <w:pPr>
        <w:pStyle w:val="5"/>
        <w:keepNext/>
        <w:spacing w:before="180" w:after="100" w:line="259" w:lineRule="auto"/>
      </w:pPr>
      <w:r>
        <w:rPr>
          <w:rFonts w:ascii="微软雅黑" w:hAnsi="微软雅黑" w:eastAsia="微软雅黑"/>
          <w:b/>
          <w:color w:val="2F5597"/>
          <w:sz w:val="25"/>
        </w:rPr>
        <w:t>充值订单列表</w:t>
      </w:r>
    </w:p>
    <w:p>
      <w:pPr>
        <w:pStyle w:val="16"/>
        <w:spacing w:after="60" w:line="276" w:lineRule="auto"/>
      </w:pPr>
      <w:r>
        <w:rPr>
          <w:rFonts w:ascii="微软雅黑" w:hAnsi="微软雅黑" w:eastAsia="微软雅黑"/>
          <w:b/>
          <w:color w:val="2F5597"/>
          <w:sz w:val="20"/>
        </w:rPr>
        <w:t>充值订单列表</w:t>
      </w:r>
      <w:r>
        <w:rPr>
          <w:rFonts w:ascii="微软雅黑" w:hAnsi="微软雅黑" w:eastAsia="微软雅黑"/>
          <w:b w:val="0"/>
          <w:sz w:val="20"/>
        </w:rPr>
        <w:t>：用于查询会员充值订单和订单状态。</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：按会员、订单号、通道、状态或时间筛选，查看订单详情。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：处理充值问题时应核对支付状态、到账状态和账变记录。</w:t>
      </w:r>
    </w:p>
    <w:p w14:paraId="55C231D4">
      <w:pPr>
        <w:pStyle w:val="5"/>
        <w:keepNext/>
        <w:spacing w:before="180" w:after="100" w:line="259" w:lineRule="auto"/>
      </w:pPr>
      <w:r>
        <w:rPr>
          <w:rFonts w:ascii="微软雅黑" w:hAnsi="微软雅黑" w:eastAsia="微软雅黑"/>
          <w:b/>
          <w:color w:val="2F5597"/>
          <w:sz w:val="25"/>
        </w:rPr>
        <w:t>提现订单列表</w:t>
      </w:r>
    </w:p>
    <w:p>
      <w:pPr>
        <w:pStyle w:val="16"/>
        <w:spacing w:after="60" w:line="276" w:lineRule="auto"/>
      </w:pPr>
      <w:r>
        <w:rPr>
          <w:rFonts w:ascii="微软雅黑" w:hAnsi="微软雅黑" w:eastAsia="微软雅黑"/>
          <w:b/>
          <w:color w:val="2F5597"/>
          <w:sz w:val="20"/>
        </w:rPr>
        <w:t>提现订单列表</w:t>
      </w:r>
      <w:r>
        <w:rPr>
          <w:rFonts w:ascii="微软雅黑" w:hAnsi="微软雅黑" w:eastAsia="微软雅黑"/>
          <w:b w:val="0"/>
          <w:sz w:val="20"/>
        </w:rPr>
        <w:t>：用于查询会员提现订单和处理进度。</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：按会员、订单号、状态或时间筛选，查看审核和出款信息。</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：处理前核对账户信息、风控结果和资金状态。</w:t>
      </w:r>
    </w:p>
    <w:p w14:paraId="738BC6AE">
      <w:pPr>
        <w:pStyle w:val="5"/>
        <w:keepNext/>
        <w:spacing w:before="180" w:after="100" w:line="259" w:lineRule="auto"/>
      </w:pPr>
      <w:r>
        <w:rPr>
          <w:rFonts w:ascii="微软雅黑" w:hAnsi="微软雅黑" w:eastAsia="微软雅黑"/>
          <w:b/>
          <w:color w:val="2F5597"/>
          <w:sz w:val="25"/>
        </w:rPr>
        <w:t>提现风控审核</w:t>
      </w:r>
    </w:p>
    <w:p>
      <w:pPr>
        <w:pStyle w:val="16"/>
        <w:spacing w:after="60" w:line="276" w:lineRule="auto"/>
      </w:pPr>
      <w:r>
        <w:rPr>
          <w:rFonts w:ascii="微软雅黑" w:hAnsi="微软雅黑" w:eastAsia="微软雅黑"/>
          <w:b/>
          <w:color w:val="2F5597"/>
          <w:sz w:val="20"/>
        </w:rPr>
        <w:t>提现风控审核</w:t>
      </w:r>
      <w:r>
        <w:rPr>
          <w:rFonts w:ascii="微软雅黑" w:hAnsi="微软雅黑" w:eastAsia="微软雅黑"/>
          <w:b w:val="0"/>
          <w:sz w:val="20"/>
        </w:rPr>
        <w:t>：用于处理触发风控的提现订单。</w:t>
      </w:r>
    </w:p>
    <w:p>
      <w:pPr>
        <w:pStyle w:val="16"/>
        <w:spacing w:after="60" w:line="276" w:lineRule="auto"/>
      </w:pPr>
      <w:r>
        <w:rPr>
          <w:rFonts w:ascii="微软雅黑" w:hAnsi="微软雅黑" w:eastAsia="微软雅黑"/>
          <w:b/>
          <w:color w:val="2F5597"/>
          <w:sz w:val="20"/>
        </w:rPr>
        <w:t>详情查看</w:t>
      </w:r>
      <w:r>
        <w:rPr>
          <w:rFonts w:ascii="微软雅黑" w:hAnsi="微软雅黑" w:eastAsia="微软雅黑"/>
          <w:b w:val="0"/>
          <w:sz w:val="20"/>
        </w:rPr>
        <w:t>：查看风控原因、会员信息和订单详情，执行通过、拒绝或补充审核。</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：审核结果会影响资金出款，需按风控规则和财务要求处理。</w:t>
      </w:r>
    </w:p>
    <w:p w14:paraId="0761347B">
      <w:pPr>
        <w:pStyle w:val="5"/>
        <w:keepNext/>
        <w:spacing w:before="180" w:after="100" w:line="259" w:lineRule="auto"/>
      </w:pPr>
      <w:r>
        <w:rPr>
          <w:rFonts w:ascii="微软雅黑" w:hAnsi="微软雅黑" w:eastAsia="微软雅黑"/>
          <w:b/>
          <w:color w:val="2F5597"/>
          <w:sz w:val="25"/>
        </w:rPr>
        <w:t>支付通道数据</w:t>
      </w:r>
    </w:p>
    <w:p>
      <w:pPr>
        <w:pStyle w:val="16"/>
        <w:spacing w:after="60" w:line="276" w:lineRule="auto"/>
      </w:pPr>
      <w:r>
        <w:rPr>
          <w:rFonts w:ascii="微软雅黑" w:hAnsi="微软雅黑" w:eastAsia="微软雅黑"/>
          <w:b/>
          <w:color w:val="2F5597"/>
          <w:sz w:val="20"/>
        </w:rPr>
        <w:t>支付通道数据</w:t>
      </w:r>
      <w:r>
        <w:rPr>
          <w:rFonts w:ascii="微软雅黑" w:hAnsi="微软雅黑" w:eastAsia="微软雅黑"/>
          <w:b w:val="0"/>
          <w:sz w:val="20"/>
        </w:rPr>
        <w:t>：用于查看支付通道的交易和成功率数据。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：按通道、时间或状态筛选，查看充值笔数、金额和成功率。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：用于判断通道质量，异常时联系通道配置或财务人员处理。</w:t>
      </w:r>
    </w:p>
    <w:p w14:paraId="0CF38EB6">
      <w:pPr>
        <w:pStyle w:val="5"/>
        <w:keepNext/>
        <w:spacing w:before="180" w:after="100" w:line="259" w:lineRule="auto"/>
      </w:pPr>
      <w:r>
        <w:rPr>
          <w:rFonts w:ascii="微软雅黑" w:hAnsi="微软雅黑" w:eastAsia="微软雅黑"/>
          <w:b/>
          <w:color w:val="2F5597"/>
          <w:sz w:val="25"/>
        </w:rPr>
        <w:t>人工加扣款</w:t>
      </w:r>
    </w:p>
    <w:p>
      <w:pPr>
        <w:pStyle w:val="16"/>
        <w:spacing w:after="60" w:line="276" w:lineRule="auto"/>
      </w:pPr>
      <w:r>
        <w:rPr>
          <w:rFonts w:ascii="微软雅黑" w:hAnsi="微软雅黑" w:eastAsia="微软雅黑"/>
          <w:b/>
          <w:color w:val="2F5597"/>
          <w:sz w:val="20"/>
        </w:rPr>
        <w:t>人工加扣款</w:t>
      </w:r>
      <w:r>
        <w:rPr>
          <w:rFonts w:ascii="微软雅黑" w:hAnsi="微软雅黑" w:eastAsia="微软雅黑"/>
          <w:b w:val="0"/>
          <w:sz w:val="20"/>
        </w:rPr>
        <w:t>：用于对会员账户执行人工加款或扣款。</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：填写会员、金额、类型和备注，提交后查看处理结果。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：此操作直接影响会员余额，提交前必须核对会员和金额。</w:t>
      </w:r>
    </w:p>
    <w:p w14:paraId="53760425">
      <w:pPr>
        <w:pStyle w:val="5"/>
        <w:keepNext/>
        <w:spacing w:before="180" w:after="100" w:line="259" w:lineRule="auto"/>
      </w:pPr>
      <w:r>
        <w:rPr>
          <w:rFonts w:ascii="微软雅黑" w:hAnsi="微软雅黑" w:eastAsia="微软雅黑"/>
          <w:b/>
          <w:color w:val="2F5597"/>
          <w:sz w:val="25"/>
        </w:rPr>
        <w:t>账变记录</w:t>
      </w:r>
    </w:p>
    <w:p>
      <w:pPr>
        <w:pStyle w:val="16"/>
        <w:spacing w:after="60" w:line="276" w:lineRule="auto"/>
      </w:pPr>
      <w:r>
        <w:rPr>
          <w:rFonts w:ascii="微软雅黑" w:hAnsi="微软雅黑" w:eastAsia="微软雅黑"/>
          <w:b/>
          <w:color w:val="2F5597"/>
          <w:sz w:val="20"/>
        </w:rPr>
        <w:t>账变记录</w:t>
      </w:r>
      <w:r>
        <w:rPr>
          <w:rFonts w:ascii="微软雅黑" w:hAnsi="微软雅黑" w:eastAsia="微软雅黑"/>
          <w:b w:val="0"/>
          <w:sz w:val="20"/>
        </w:rPr>
        <w:t>：用于查询会员资金变动明细。</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：按会员、账变类型、订单号或时间筛选，查看余额变化。</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：排查资金问题时优先结合订单、活动和人工加扣款记录核对。</w:t>
      </w:r>
    </w:p>
    <w:p w14:paraId="124545B9">
      <w:pPr>
        <w:pStyle w:val="5"/>
        <w:keepNext/>
        <w:spacing w:before="180" w:after="100" w:line="259" w:lineRule="auto"/>
      </w:pPr>
      <w:r>
        <w:rPr>
          <w:rFonts w:ascii="微软雅黑" w:hAnsi="微软雅黑" w:eastAsia="微软雅黑"/>
          <w:b/>
          <w:color w:val="2F5597"/>
          <w:sz w:val="25"/>
        </w:rPr>
        <w:t>资金账变类型</w:t>
      </w:r>
    </w:p>
    <w:p>
      <w:pPr>
        <w:pStyle w:val="16"/>
        <w:spacing w:after="60" w:line="276" w:lineRule="auto"/>
      </w:pPr>
      <w:r>
        <w:rPr>
          <w:rFonts w:ascii="微软雅黑" w:hAnsi="微软雅黑" w:eastAsia="微软雅黑"/>
          <w:b/>
          <w:color w:val="2F5597"/>
          <w:sz w:val="20"/>
        </w:rPr>
        <w:t>资金账变类型</w:t>
      </w:r>
      <w:r>
        <w:rPr>
          <w:rFonts w:ascii="微软雅黑" w:hAnsi="微软雅黑" w:eastAsia="微软雅黑"/>
          <w:b w:val="0"/>
          <w:sz w:val="20"/>
        </w:rPr>
        <w:t>：用于维护资金账变类型和展示名称。</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：查看、启用、停用或调整账变类型配置。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：类型配置会影响账变筛选和前后台展示，调整前需确认口径。</w:t>
      </w:r>
    </w:p>
    <w:p w14:paraId="3E3C5FA6">
      <w:pPr>
        <w:pStyle w:val="5"/>
        <w:keepNext/>
        <w:spacing w:before="180" w:after="100" w:line="259" w:lineRule="auto"/>
      </w:pPr>
      <w:r>
        <w:rPr>
          <w:rFonts w:ascii="微软雅黑" w:hAnsi="微软雅黑" w:eastAsia="微软雅黑"/>
          <w:b/>
          <w:color w:val="2F5597"/>
          <w:sz w:val="25"/>
        </w:rPr>
        <w:t>打码管理</w:t>
      </w:r>
    </w:p>
    <w:p>
      <w:pPr>
        <w:pStyle w:val="16"/>
        <w:spacing w:after="60" w:line="276" w:lineRule="auto"/>
      </w:pPr>
      <w:r>
        <w:rPr>
          <w:rFonts w:ascii="微软雅黑" w:hAnsi="微软雅黑" w:eastAsia="微软雅黑"/>
          <w:b/>
          <w:color w:val="2F5597"/>
          <w:sz w:val="20"/>
        </w:rPr>
        <w:t>打码管理</w:t>
      </w:r>
      <w:r>
        <w:rPr>
          <w:rFonts w:ascii="微软雅黑" w:hAnsi="微软雅黑" w:eastAsia="微软雅黑"/>
          <w:b w:val="0"/>
          <w:sz w:val="20"/>
        </w:rPr>
        <w:t>：用于查看和管理会员打码量要求。</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：查询会员打码进度，核对活动、充值或人工调整产生的打码要求。</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：处理提现或活动问题时，应结合打码完成情况判断。</w:t>
      </w:r>
    </w:p>
    <w:p w14:paraId="35C4E9E9">
      <w:pPr>
        <w:pStyle w:val="3"/>
        <w:keepNext/>
        <w:spacing w:before="360" w:after="240" w:line="276" w:lineRule="auto"/>
      </w:pPr>
      <w:r>
        <w:rPr>
          <w:rFonts w:ascii="微软雅黑" w:hAnsi="微软雅黑" w:eastAsia="微软雅黑"/>
          <w:b/>
          <w:color w:val="17365D"/>
          <w:sz w:val="40"/>
        </w:rPr>
        <w:t>八、数据报表</w:t>
      </w:r>
    </w:p>
    <w:p w14:paraId="5016B412">
      <w:pPr>
        <w:pStyle w:val="4"/>
        <w:keepNext/>
        <w:spacing w:before="240" w:after="140" w:line="269" w:lineRule="auto"/>
      </w:pPr>
      <w:r>
        <w:rPr>
          <w:rFonts w:ascii="微软雅黑" w:hAnsi="微软雅黑" w:eastAsia="微软雅黑"/>
          <w:b/>
          <w:color w:val="1F4E79"/>
          <w:sz w:val="30"/>
        </w:rPr>
        <w:t>模块定位</w:t>
      </w:r>
    </w:p>
    <w:p w14:paraId="1EA7E716">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6892336">
      <w:pPr>
        <w:pStyle w:val="4"/>
        <w:keepNext/>
        <w:spacing w:before="240" w:after="140" w:line="269" w:lineRule="auto"/>
      </w:pPr>
      <w:r>
        <w:rPr>
          <w:rFonts w:ascii="微软雅黑" w:hAnsi="微软雅黑" w:eastAsia="微软雅黑"/>
          <w:b/>
          <w:color w:val="1F4E79"/>
          <w:sz w:val="30"/>
        </w:rPr>
        <w:t>页面说明</w:t>
      </w:r>
    </w:p>
    <w:p w14:paraId="5D82E6EB">
      <w:pPr>
        <w:pStyle w:val="5"/>
        <w:keepNext/>
        <w:spacing w:before="180" w:after="100" w:line="259" w:lineRule="auto"/>
      </w:pPr>
      <w:r>
        <w:rPr>
          <w:rFonts w:ascii="微软雅黑" w:hAnsi="微软雅黑" w:eastAsia="微软雅黑"/>
          <w:b/>
          <w:color w:val="2F5597"/>
          <w:sz w:val="25"/>
        </w:rPr>
        <w:t>综合数据报表</w:t>
      </w:r>
    </w:p>
    <w:p>
      <w:pPr>
        <w:pStyle w:val="16"/>
        <w:spacing w:after="60" w:line="276" w:lineRule="auto"/>
      </w:pPr>
      <w:r>
        <w:rPr>
          <w:rFonts w:ascii="微软雅黑" w:hAnsi="微软雅黑" w:eastAsia="微软雅黑"/>
          <w:b/>
          <w:color w:val="2F5597"/>
          <w:sz w:val="20"/>
        </w:rPr>
        <w:t>综合数据报表</w:t>
      </w:r>
      <w:r>
        <w:rPr>
          <w:rFonts w:ascii="微软雅黑" w:hAnsi="微软雅黑" w:eastAsia="微软雅黑"/>
          <w:b w:val="0"/>
          <w:sz w:val="20"/>
        </w:rPr>
        <w:t>：用于查看站点综合运营数据。</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：按时间筛选充值、提现、投注、输赢、会员等关键指标。</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：用于日常经营看板和趋势分析，需注意筛选时间口径。</w:t>
      </w:r>
    </w:p>
    <w:p w14:paraId="2D9CF65D">
      <w:pPr>
        <w:pStyle w:val="5"/>
        <w:keepNext/>
        <w:spacing w:before="180" w:after="100" w:line="259" w:lineRule="auto"/>
      </w:pPr>
      <w:r>
        <w:rPr>
          <w:rFonts w:ascii="微软雅黑" w:hAnsi="微软雅黑" w:eastAsia="微软雅黑"/>
          <w:b/>
          <w:color w:val="2F5597"/>
          <w:sz w:val="25"/>
        </w:rPr>
        <w:t>游戏人数据表</w:t>
      </w:r>
    </w:p>
    <w:p>
      <w:pPr>
        <w:pStyle w:val="16"/>
        <w:spacing w:after="60" w:line="276" w:lineRule="auto"/>
      </w:pPr>
      <w:r>
        <w:rPr>
          <w:rFonts w:ascii="微软雅黑" w:hAnsi="微软雅黑" w:eastAsia="微软雅黑"/>
          <w:b/>
          <w:color w:val="2F5597"/>
          <w:sz w:val="20"/>
        </w:rPr>
        <w:t>游戏人数据表</w:t>
      </w:r>
      <w:r>
        <w:rPr>
          <w:rFonts w:ascii="微软雅黑" w:hAnsi="微软雅黑" w:eastAsia="微软雅黑"/>
          <w:b w:val="0"/>
          <w:sz w:val="20"/>
        </w:rPr>
        <w:t>：用于查看游戏维度的玩家人数数据。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：按时间、游戏或渠道筛选，查看活跃、投注和参与人数。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：用于判断游戏热度和玩家分布，分析时结合投注报表。</w:t>
      </w:r>
    </w:p>
    <w:p w14:paraId="4F380F61">
      <w:pPr>
        <w:pStyle w:val="5"/>
        <w:keepNext/>
        <w:spacing w:before="180" w:after="100" w:line="259" w:lineRule="auto"/>
      </w:pPr>
      <w:r>
        <w:rPr>
          <w:rFonts w:ascii="微软雅黑" w:hAnsi="微软雅黑" w:eastAsia="微软雅黑"/>
          <w:b/>
          <w:color w:val="2F5597"/>
          <w:sz w:val="25"/>
        </w:rPr>
        <w:t>优惠数据报表</w:t>
      </w:r>
    </w:p>
    <w:p>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5"/>
        <w:keepNext/>
        <w:spacing w:before="180" w:after="100" w:line="259" w:lineRule="auto"/>
      </w:pPr>
      <w:r>
        <w:rPr>
          <w:rFonts w:ascii="微软雅黑" w:hAnsi="微软雅黑" w:eastAsia="微软雅黑"/>
          <w:b/>
          <w:color w:val="2F5597"/>
          <w:sz w:val="25"/>
        </w:rPr>
        <w:t>充值留存报表</w:t>
      </w:r>
    </w:p>
    <w:p>
      <w:pPr>
        <w:pStyle w:val="16"/>
        <w:spacing w:after="60" w:line="276" w:lineRule="auto"/>
      </w:pPr>
      <w:r>
        <w:rPr>
          <w:rFonts w:ascii="微软雅黑" w:hAnsi="微软雅黑" w:eastAsia="微软雅黑"/>
          <w:b/>
          <w:color w:val="2F5597"/>
          <w:sz w:val="20"/>
        </w:rPr>
        <w:t>充值留存报表</w:t>
      </w:r>
      <w:r>
        <w:rPr>
          <w:rFonts w:ascii="微软雅黑" w:hAnsi="微软雅黑" w:eastAsia="微软雅黑"/>
          <w:b w:val="0"/>
          <w:sz w:val="20"/>
        </w:rPr>
        <w:t>：用于查看充值用户后续留存情况。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：按首充日期、渠道或站点筛选，查看次日、多日留存。</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：用于评估充值用户质量和运营活动效果。</w:t>
      </w:r>
    </w:p>
    <w:p w14:paraId="6B51C8CF">
      <w:pPr>
        <w:pStyle w:val="5"/>
        <w:keepNext/>
        <w:spacing w:before="180" w:after="100" w:line="259" w:lineRule="auto"/>
      </w:pPr>
      <w:r>
        <w:rPr>
          <w:rFonts w:ascii="微软雅黑" w:hAnsi="微软雅黑" w:eastAsia="微软雅黑"/>
          <w:b/>
          <w:color w:val="2F5597"/>
          <w:sz w:val="25"/>
        </w:rPr>
        <w:t>代理结算明细</w:t>
      </w:r>
    </w:p>
    <w:p>
      <w:pPr>
        <w:pStyle w:val="16"/>
        <w:spacing w:after="60" w:line="276" w:lineRule="auto"/>
      </w:pPr>
      <w:r>
        <w:rPr>
          <w:rFonts w:ascii="微软雅黑" w:hAnsi="微软雅黑" w:eastAsia="微软雅黑"/>
          <w:b/>
          <w:color w:val="2F5597"/>
          <w:sz w:val="20"/>
        </w:rPr>
        <w:t>代理结算明细</w:t>
      </w:r>
      <w:r>
        <w:rPr>
          <w:rFonts w:ascii="微软雅黑" w:hAnsi="微软雅黑" w:eastAsia="微软雅黑"/>
          <w:b w:val="0"/>
          <w:sz w:val="20"/>
        </w:rPr>
        <w:t>：用于查看代理结算明细和结算结果。</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：按代理、结算周期或状态筛选，查看佣金、返水和调整项。</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：结算前需核对代理配置、会员数据和异常调整。</w:t>
      </w:r>
    </w:p>
    <w:p w14:paraId="028AA85F">
      <w:pPr>
        <w:pStyle w:val="5"/>
        <w:keepNext/>
        <w:spacing w:before="180" w:after="100" w:line="259" w:lineRule="auto"/>
      </w:pPr>
      <w:r>
        <w:rPr>
          <w:rFonts w:ascii="微软雅黑" w:hAnsi="微软雅黑" w:eastAsia="微软雅黑"/>
          <w:b/>
          <w:color w:val="2F5597"/>
          <w:sz w:val="25"/>
        </w:rPr>
        <w:t>VIP数据统计</w:t>
      </w:r>
    </w:p>
    <w:p>
      <w:pPr>
        <w:pStyle w:val="16"/>
        <w:spacing w:after="60" w:line="276" w:lineRule="auto"/>
      </w:pPr>
      <w:r>
        <w:rPr>
          <w:rFonts w:ascii="微软雅黑" w:hAnsi="微软雅黑" w:eastAsia="微软雅黑"/>
          <w:b/>
          <w:color w:val="2F5597"/>
          <w:sz w:val="20"/>
        </w:rPr>
        <w:t>VIP数据统计</w:t>
      </w:r>
      <w:r>
        <w:rPr>
          <w:rFonts w:ascii="微软雅黑" w:hAnsi="微软雅黑" w:eastAsia="微软雅黑"/>
          <w:b w:val="0"/>
          <w:sz w:val="20"/>
        </w:rPr>
        <w:t>：用于统计各 VIP 等级会员数据。</w:t>
      </w:r>
    </w:p>
    <w:p>
      <w:pPr>
        <w:pStyle w:val="16"/>
        <w:spacing w:after="60" w:line="276" w:lineRule="auto"/>
      </w:pPr>
      <w:r>
        <w:rPr>
          <w:rFonts w:ascii="微软雅黑" w:hAnsi="微软雅黑" w:eastAsia="微软雅黑"/>
          <w:b/>
          <w:color w:val="2F5597"/>
          <w:sz w:val="20"/>
        </w:rPr>
        <w:t>查看内容</w:t>
      </w:r>
      <w:r>
        <w:rPr>
          <w:rFonts w:ascii="微软雅黑" w:hAnsi="微软雅黑" w:eastAsia="微软雅黑"/>
          <w:b w:val="0"/>
          <w:sz w:val="20"/>
        </w:rPr>
        <w:t>：按时间或等级查看会员数量、充值、投注和升降级情况。</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 VIP 结构和高价值会员运营效果。</w:t>
      </w:r>
    </w:p>
    <w:p w14:paraId="0928B106">
      <w:pPr>
        <w:pStyle w:val="5"/>
        <w:keepNext/>
        <w:spacing w:before="180" w:after="100" w:line="259" w:lineRule="auto"/>
      </w:pPr>
      <w:r>
        <w:rPr>
          <w:rFonts w:ascii="微软雅黑" w:hAnsi="微软雅黑" w:eastAsia="微软雅黑"/>
          <w:b/>
          <w:color w:val="2F5597"/>
          <w:sz w:val="25"/>
        </w:rPr>
        <w:t>数据排行</w:t>
      </w:r>
    </w:p>
    <w:p>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5"/>
        <w:keepNext/>
        <w:spacing w:before="180" w:after="100" w:line="259" w:lineRule="auto"/>
      </w:pPr>
      <w:r>
        <w:rPr>
          <w:rFonts w:ascii="微软雅黑" w:hAnsi="微软雅黑" w:eastAsia="微软雅黑"/>
          <w:b/>
          <w:color w:val="2F5597"/>
          <w:sz w:val="25"/>
        </w:rPr>
        <w:t>游戏记录</w:t>
      </w:r>
    </w:p>
    <w:p>
      <w:pPr>
        <w:pStyle w:val="16"/>
        <w:spacing w:after="60" w:line="276" w:lineRule="auto"/>
      </w:pPr>
      <w:r>
        <w:rPr>
          <w:rFonts w:ascii="微软雅黑" w:hAnsi="微软雅黑" w:eastAsia="微软雅黑"/>
          <w:b/>
          <w:color w:val="2F5597"/>
          <w:sz w:val="20"/>
        </w:rPr>
        <w:t>游戏记录</w:t>
      </w:r>
      <w:r>
        <w:rPr>
          <w:rFonts w:ascii="微软雅黑" w:hAnsi="微软雅黑" w:eastAsia="微软雅黑"/>
          <w:b w:val="0"/>
          <w:sz w:val="20"/>
        </w:rPr>
        <w:t>：用于查询玩家游戏投注记录。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：按玩家、游戏、订单号、状态或时间筛选，查看投注明细。</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：排查输赢争议时应结合游戏记录、账变和订单状态。</w:t>
      </w:r>
    </w:p>
    <w:p w14:paraId="4782256E">
      <w:pPr>
        <w:pStyle w:val="5"/>
        <w:keepNext/>
        <w:spacing w:before="180" w:after="100" w:line="259" w:lineRule="auto"/>
      </w:pPr>
      <w:r>
        <w:rPr>
          <w:rFonts w:ascii="微软雅黑" w:hAnsi="微软雅黑" w:eastAsia="微软雅黑"/>
          <w:b/>
          <w:color w:val="2F5597"/>
          <w:sz w:val="25"/>
        </w:rPr>
        <w:t>用户留存</w:t>
      </w:r>
    </w:p>
    <w:p>
      <w:pPr>
        <w:pStyle w:val="16"/>
        <w:spacing w:after="60" w:line="276" w:lineRule="auto"/>
      </w:pPr>
      <w:r>
        <w:rPr>
          <w:rFonts w:ascii="微软雅黑" w:hAnsi="微软雅黑" w:eastAsia="微软雅黑"/>
          <w:b/>
          <w:color w:val="2F5597"/>
          <w:sz w:val="20"/>
        </w:rPr>
        <w:t>用户留存</w:t>
      </w:r>
      <w:r>
        <w:rPr>
          <w:rFonts w:ascii="微软雅黑" w:hAnsi="微软雅黑" w:eastAsia="微软雅黑"/>
          <w:b w:val="0"/>
          <w:sz w:val="20"/>
        </w:rPr>
        <w:t>：用于查看注册或活跃用户的留存情况。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：按日期、渠道或用户分组筛选，查看留存比例。</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：留存分析用于评估渠道质量和运营活动效果。</w:t>
      </w:r>
    </w:p>
    <w:p w14:paraId="7F4FB0CF">
      <w:pPr>
        <w:pStyle w:val="5"/>
        <w:keepNext/>
        <w:spacing w:before="180" w:after="100" w:line="259" w:lineRule="auto"/>
      </w:pPr>
      <w:r>
        <w:rPr>
          <w:rFonts w:ascii="微软雅黑" w:hAnsi="微软雅黑" w:eastAsia="微软雅黑"/>
          <w:b/>
          <w:color w:val="2F5597"/>
          <w:sz w:val="25"/>
        </w:rPr>
        <w:t>用户分析</w:t>
      </w:r>
    </w:p>
    <w:p>
      <w:pPr>
        <w:pStyle w:val="16"/>
        <w:spacing w:after="60" w:line="276" w:lineRule="auto"/>
      </w:pPr>
      <w:r>
        <w:rPr>
          <w:rFonts w:ascii="微软雅黑" w:hAnsi="微软雅黑" w:eastAsia="微软雅黑"/>
          <w:b/>
          <w:color w:val="2F5597"/>
          <w:sz w:val="20"/>
        </w:rPr>
        <w:t>用户分析</w:t>
      </w:r>
      <w:r>
        <w:rPr>
          <w:rFonts w:ascii="微软雅黑" w:hAnsi="微软雅黑" w:eastAsia="微软雅黑"/>
          <w:b w:val="0"/>
          <w:sz w:val="20"/>
        </w:rPr>
        <w:t>：用于分析用户结构、活跃和行为数据。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：按时间、渠道或用户类型筛选，查看新增、活跃、充值等指标。</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：用于用户运营决策，需结合留存、充值和活动数据判断。</w:t>
      </w:r>
    </w:p>
    <w:p w14:paraId="6E8DFB1B">
      <w:pPr>
        <w:pStyle w:val="5"/>
        <w:keepNext/>
        <w:spacing w:before="180" w:after="100" w:line="259" w:lineRule="auto"/>
      </w:pPr>
      <w:r>
        <w:rPr>
          <w:rFonts w:ascii="微软雅黑" w:hAnsi="微软雅黑" w:eastAsia="微软雅黑"/>
          <w:b/>
          <w:color w:val="2F5597"/>
          <w:sz w:val="25"/>
        </w:rPr>
        <w:t>LTV</w:t>
      </w:r>
    </w:p>
    <w:p>
      <w:pPr>
        <w:pStyle w:val="16"/>
        <w:spacing w:after="60" w:line="276" w:lineRule="auto"/>
      </w:pPr>
      <w:r>
        <w:rPr>
          <w:rFonts w:ascii="微软雅黑" w:hAnsi="微软雅黑" w:eastAsia="微软雅黑"/>
          <w:b/>
          <w:color w:val="2F5597"/>
          <w:sz w:val="20"/>
        </w:rPr>
        <w:t>LTV</w:t>
      </w:r>
      <w:r>
        <w:rPr>
          <w:rFonts w:ascii="微软雅黑" w:hAnsi="微软雅黑" w:eastAsia="微软雅黑"/>
          <w:b w:val="0"/>
          <w:sz w:val="20"/>
        </w:rPr>
        <w:t>：用于查看用户生命周期价值数据。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：按注册日期、渠道或用户分组筛选，查看不同周期价值表现。</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：用于评估投放回收和用户质量，需与渠道成本结合分析。</w:t>
      </w:r>
    </w:p>
    <w:p w14:paraId="72DD9253">
      <w:pPr>
        <w:pStyle w:val="5"/>
        <w:keepNext/>
        <w:spacing w:before="180" w:after="100" w:line="259" w:lineRule="auto"/>
      </w:pPr>
      <w:r>
        <w:rPr>
          <w:rFonts w:ascii="微软雅黑" w:hAnsi="微软雅黑" w:eastAsia="微软雅黑"/>
          <w:b/>
          <w:color w:val="2F5597"/>
          <w:sz w:val="25"/>
        </w:rPr>
        <w:t>活动统计报表</w:t>
      </w:r>
    </w:p>
    <w:p>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5"/>
        <w:keepNext/>
        <w:spacing w:before="180" w:after="100" w:line="259" w:lineRule="auto"/>
      </w:pPr>
      <w:r>
        <w:rPr>
          <w:rFonts w:ascii="微软雅黑" w:hAnsi="微软雅黑" w:eastAsia="微软雅黑"/>
          <w:b/>
          <w:color w:val="2F5597"/>
          <w:sz w:val="25"/>
        </w:rPr>
        <w:t>充值分布表</w:t>
      </w:r>
    </w:p>
    <w:p>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5"/>
        <w:keepNext/>
        <w:spacing w:before="180" w:after="100" w:line="259" w:lineRule="auto"/>
      </w:pPr>
      <w:r>
        <w:rPr>
          <w:rFonts w:ascii="微软雅黑" w:hAnsi="微软雅黑" w:eastAsia="微软雅黑"/>
          <w:b/>
          <w:color w:val="2F5597"/>
          <w:sz w:val="25"/>
        </w:rPr>
        <w:t>任务统计报表</w:t>
      </w:r>
    </w:p>
    <w:p>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59DE9601">
      <w:pPr>
        <w:pStyle w:val="5"/>
        <w:keepNext/>
        <w:spacing w:before="180" w:after="100" w:line="259" w:lineRule="auto"/>
      </w:pPr>
      <w:r>
        <w:rPr>
          <w:rFonts w:ascii="微软雅黑" w:hAnsi="微软雅黑" w:eastAsia="微软雅黑"/>
          <w:b/>
          <w:color w:val="2F5597"/>
          <w:sz w:val="25"/>
        </w:rPr>
        <w:t>用户分群查询</w:t>
      </w:r>
    </w:p>
    <w:p>
      <w:pPr>
        <w:pStyle w:val="16"/>
        <w:spacing w:after="60" w:line="276" w:lineRule="auto"/>
      </w:pPr>
      <w:r>
        <w:rPr>
          <w:rFonts w:ascii="微软雅黑" w:hAnsi="微软雅黑" w:eastAsia="微软雅黑"/>
          <w:b/>
          <w:color w:val="2F5597"/>
          <w:sz w:val="20"/>
        </w:rPr>
        <w:t>用户分群查询</w:t>
      </w:r>
      <w:r>
        <w:rPr>
          <w:rFonts w:ascii="微软雅黑" w:hAnsi="微软雅黑" w:eastAsia="微软雅黑"/>
          <w:b w:val="0"/>
          <w:sz w:val="20"/>
        </w:rPr>
        <w:t>：用于查询用户分群结果和分群成员。</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：按分群条件、标签或会员信息筛选，查看命中用户。</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：分群结果可用于活动、消息推送和精细化运营。</w:t>
      </w:r>
    </w:p>
    <w:p w14:paraId="28FBAEC0">
      <w:pPr>
        <w:pStyle w:val="3"/>
        <w:keepNext/>
        <w:spacing w:before="360" w:after="240" w:line="276" w:lineRule="auto"/>
      </w:pPr>
      <w:r>
        <w:rPr>
          <w:rFonts w:ascii="微软雅黑" w:hAnsi="微软雅黑" w:eastAsia="微软雅黑"/>
          <w:b/>
          <w:color w:val="17365D"/>
          <w:sz w:val="40"/>
        </w:rPr>
        <w:t>九、游戏中心</w:t>
      </w:r>
    </w:p>
    <w:p w14:paraId="7FE60D52">
      <w:pPr>
        <w:pStyle w:val="4"/>
        <w:keepNext/>
        <w:spacing w:before="240" w:after="140" w:line="269" w:lineRule="auto"/>
      </w:pPr>
      <w:r>
        <w:rPr>
          <w:rFonts w:ascii="微软雅黑" w:hAnsi="微软雅黑" w:eastAsia="微软雅黑"/>
          <w:b/>
          <w:color w:val="1F4E79"/>
          <w:sz w:val="30"/>
        </w:rPr>
        <w:t>模块定位</w:t>
      </w:r>
    </w:p>
    <w:p w14:paraId="1A5B98BB">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47740A8C">
      <w:pPr>
        <w:pStyle w:val="4"/>
        <w:keepNext/>
        <w:spacing w:before="240" w:after="140" w:line="269" w:lineRule="auto"/>
      </w:pPr>
      <w:r>
        <w:rPr>
          <w:rFonts w:ascii="微软雅黑" w:hAnsi="微软雅黑" w:eastAsia="微软雅黑"/>
          <w:b/>
          <w:color w:val="1F4E79"/>
          <w:sz w:val="30"/>
        </w:rPr>
        <w:t>页面说明</w:t>
      </w:r>
    </w:p>
    <w:p w14:paraId="5D44EC52">
      <w:pPr>
        <w:pStyle w:val="5"/>
        <w:keepNext/>
        <w:spacing w:before="180" w:after="100" w:line="259" w:lineRule="auto"/>
      </w:pPr>
      <w:r>
        <w:rPr>
          <w:rFonts w:ascii="微软雅黑" w:hAnsi="微软雅黑" w:eastAsia="微软雅黑"/>
          <w:b/>
          <w:color w:val="2F5597"/>
          <w:sz w:val="25"/>
        </w:rPr>
        <w:t>推荐频道管理</w:t>
      </w:r>
    </w:p>
    <w:p>
      <w:pPr>
        <w:pStyle w:val="16"/>
        <w:spacing w:after="60" w:line="276" w:lineRule="auto"/>
      </w:pPr>
      <w:r>
        <w:rPr>
          <w:rFonts w:ascii="微软雅黑" w:hAnsi="微软雅黑" w:eastAsia="微软雅黑"/>
          <w:b/>
          <w:color w:val="2F5597"/>
          <w:sz w:val="20"/>
        </w:rPr>
        <w:t>推荐频道管理</w:t>
      </w:r>
      <w:r>
        <w:rPr>
          <w:rFonts w:ascii="微软雅黑" w:hAnsi="微软雅黑" w:eastAsia="微软雅黑"/>
          <w:b w:val="0"/>
          <w:sz w:val="20"/>
        </w:rPr>
        <w:t>：用于维护前台推荐频道和展示内容。</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：新增、编辑、排序、启用或停用推荐频道。</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：调整前确认频道内容、排序和前台展示效果。</w:t>
      </w:r>
    </w:p>
    <w:p w14:paraId="65EA5E4B">
      <w:pPr>
        <w:pStyle w:val="5"/>
        <w:keepNext/>
        <w:spacing w:before="180" w:after="100" w:line="259" w:lineRule="auto"/>
      </w:pPr>
      <w:r>
        <w:rPr>
          <w:rFonts w:ascii="微软雅黑" w:hAnsi="微软雅黑" w:eastAsia="微软雅黑"/>
          <w:b/>
          <w:color w:val="2F5597"/>
          <w:sz w:val="25"/>
        </w:rPr>
        <w:t>游戏类型设置</w:t>
      </w:r>
    </w:p>
    <w:p>
      <w:pPr>
        <w:pStyle w:val="16"/>
        <w:spacing w:after="60" w:line="276" w:lineRule="auto"/>
      </w:pPr>
      <w:r>
        <w:rPr>
          <w:rFonts w:ascii="微软雅黑" w:hAnsi="微软雅黑" w:eastAsia="微软雅黑"/>
          <w:b/>
          <w:color w:val="2F5597"/>
          <w:sz w:val="20"/>
        </w:rPr>
        <w:t>游戏类型设置</w:t>
      </w:r>
      <w:r>
        <w:rPr>
          <w:rFonts w:ascii="微软雅黑" w:hAnsi="微软雅黑" w:eastAsia="微软雅黑"/>
          <w:b w:val="0"/>
          <w:sz w:val="20"/>
        </w:rPr>
        <w:t>：用于维护游戏类型分类。</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：新增、编辑、排序、启用或停用游戏类型。</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：类型配置会影响前台游戏筛选和后台统计归类。</w:t>
      </w:r>
    </w:p>
    <w:p w14:paraId="4B2C4F27">
      <w:pPr>
        <w:pStyle w:val="5"/>
        <w:keepNext/>
        <w:spacing w:before="180" w:after="100" w:line="259" w:lineRule="auto"/>
      </w:pPr>
      <w:r>
        <w:rPr>
          <w:rFonts w:ascii="微软雅黑" w:hAnsi="微软雅黑" w:eastAsia="微软雅黑"/>
          <w:b/>
          <w:color w:val="2F5597"/>
          <w:sz w:val="25"/>
        </w:rPr>
        <w:t>游戏频道管理</w:t>
      </w:r>
    </w:p>
    <w:p>
      <w:pPr>
        <w:pStyle w:val="16"/>
        <w:spacing w:after="60" w:line="276" w:lineRule="auto"/>
      </w:pPr>
      <w:r>
        <w:rPr>
          <w:rFonts w:ascii="微软雅黑" w:hAnsi="微软雅黑" w:eastAsia="微软雅黑"/>
          <w:b/>
          <w:color w:val="2F5597"/>
          <w:sz w:val="20"/>
        </w:rPr>
        <w:t>游戏频道管理</w:t>
      </w:r>
      <w:r>
        <w:rPr>
          <w:rFonts w:ascii="微软雅黑" w:hAnsi="微软雅黑" w:eastAsia="微软雅黑"/>
          <w:b w:val="0"/>
          <w:sz w:val="20"/>
        </w:rPr>
        <w:t>：用于维护游戏频道和频道内游戏展示。</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：配置频道名称、排序、展示游戏和启停状态。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：保存后需检查前台频道展示和游戏入口是否正确。</w:t>
      </w:r>
    </w:p>
    <w:p w14:paraId="6618AAB0">
      <w:pPr>
        <w:pStyle w:val="5"/>
        <w:keepNext/>
        <w:spacing w:before="180" w:after="100" w:line="259" w:lineRule="auto"/>
      </w:pPr>
      <w:r>
        <w:rPr>
          <w:rFonts w:ascii="微软雅黑" w:hAnsi="微软雅黑" w:eastAsia="微软雅黑"/>
          <w:b/>
          <w:color w:val="2F5597"/>
          <w:sz w:val="25"/>
        </w:rPr>
        <w:t>子游戏列表</w:t>
      </w:r>
    </w:p>
    <w:p>
      <w:pPr>
        <w:pStyle w:val="16"/>
        <w:spacing w:after="60" w:line="276" w:lineRule="auto"/>
      </w:pPr>
      <w:r>
        <w:rPr>
          <w:rFonts w:ascii="微软雅黑" w:hAnsi="微软雅黑" w:eastAsia="微软雅黑"/>
          <w:b/>
          <w:color w:val="2F5597"/>
          <w:sz w:val="20"/>
        </w:rPr>
        <w:t>子游戏列表</w:t>
      </w:r>
      <w:r>
        <w:rPr>
          <w:rFonts w:ascii="微软雅黑" w:hAnsi="微软雅黑" w:eastAsia="微软雅黑"/>
          <w:b w:val="0"/>
          <w:sz w:val="20"/>
        </w:rPr>
        <w:t>：用于查看和管理子游戏信息。</w:t>
      </w:r>
    </w:p>
    <w:p>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：按厂商、类型或状态筛选，启用、停用或调整游戏展示。</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：调整游戏状态会影响玩家进入游戏，操作前需确认影响范围。</w:t>
      </w:r>
    </w:p>
    <w:p w14:paraId="6D89B257">
      <w:pPr>
        <w:pStyle w:val="5"/>
        <w:keepNext/>
        <w:spacing w:before="180" w:after="100" w:line="259" w:lineRule="auto"/>
      </w:pPr>
      <w:r>
        <w:rPr>
          <w:rFonts w:ascii="微软雅黑" w:hAnsi="微软雅黑" w:eastAsia="微软雅黑"/>
          <w:b/>
          <w:color w:val="2F5597"/>
          <w:sz w:val="25"/>
        </w:rPr>
        <w:t>游戏统计</w:t>
      </w:r>
    </w:p>
    <w:p>
      <w:pPr>
        <w:pStyle w:val="16"/>
        <w:spacing w:after="60" w:line="276" w:lineRule="auto"/>
      </w:pPr>
      <w:r>
        <w:rPr>
          <w:rFonts w:ascii="微软雅黑" w:hAnsi="微软雅黑" w:eastAsia="微软雅黑"/>
          <w:b/>
          <w:color w:val="2F5597"/>
          <w:sz w:val="20"/>
        </w:rPr>
        <w:t>游戏统计</w:t>
      </w:r>
      <w:r>
        <w:rPr>
          <w:rFonts w:ascii="微软雅黑" w:hAnsi="微软雅黑" w:eastAsia="微软雅黑"/>
          <w:b w:val="0"/>
          <w:sz w:val="20"/>
        </w:rPr>
        <w:t>：用于查看游戏投注和输赢统计。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：按游戏、厂商或时间筛选，查看投注人数、投注额和输赢。</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：用于分析游戏表现，异常时结合游戏记录核对。</w:t>
      </w:r>
    </w:p>
    <w:p w14:paraId="11EEA7F1">
      <w:pPr>
        <w:pStyle w:val="5"/>
        <w:keepNext/>
        <w:spacing w:before="180" w:after="100" w:line="259" w:lineRule="auto"/>
      </w:pPr>
      <w:r>
        <w:rPr>
          <w:rFonts w:ascii="微软雅黑" w:hAnsi="微软雅黑" w:eastAsia="微软雅黑"/>
          <w:b/>
          <w:color w:val="2F5597"/>
          <w:sz w:val="25"/>
        </w:rPr>
        <w:t>游戏厂商统计</w:t>
      </w:r>
    </w:p>
    <w:p>
      <w:pPr>
        <w:pStyle w:val="16"/>
        <w:spacing w:after="60" w:line="276" w:lineRule="auto"/>
      </w:pPr>
      <w:r>
        <w:rPr>
          <w:rFonts w:ascii="微软雅黑" w:hAnsi="微软雅黑" w:eastAsia="微软雅黑"/>
          <w:b/>
          <w:color w:val="2F5597"/>
          <w:sz w:val="20"/>
        </w:rPr>
        <w:t>游戏厂商统计</w:t>
      </w:r>
      <w:r>
        <w:rPr>
          <w:rFonts w:ascii="微软雅黑" w:hAnsi="微软雅黑" w:eastAsia="微软雅黑"/>
          <w:b w:val="0"/>
          <w:sz w:val="20"/>
        </w:rPr>
        <w:t>：用于查看各游戏厂商数据表现。</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：按厂商和时间筛选，查看投注、输赢和活跃数据。</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：用于评估厂商质量和游戏引入效果。</w:t>
      </w:r>
    </w:p>
    <w:p w14:paraId="44C4832E">
      <w:pPr>
        <w:pStyle w:val="3"/>
        <w:keepNext/>
        <w:spacing w:before="360" w:after="240" w:line="276" w:lineRule="auto"/>
      </w:pPr>
      <w:r>
        <w:rPr>
          <w:rFonts w:ascii="微软雅黑" w:hAnsi="微软雅黑" w:eastAsia="微软雅黑"/>
          <w:b/>
          <w:color w:val="17365D"/>
          <w:sz w:val="40"/>
        </w:rPr>
        <w:t>十、用户管理</w:t>
      </w:r>
    </w:p>
    <w:p w14:paraId="33F41098">
      <w:pPr>
        <w:pStyle w:val="4"/>
        <w:keepNext/>
        <w:spacing w:before="240" w:after="140" w:line="269" w:lineRule="auto"/>
      </w:pPr>
      <w:r>
        <w:rPr>
          <w:rFonts w:ascii="微软雅黑" w:hAnsi="微软雅黑" w:eastAsia="微软雅黑"/>
          <w:b/>
          <w:color w:val="1F4E79"/>
          <w:sz w:val="30"/>
        </w:rPr>
        <w:t>模块定位</w:t>
      </w:r>
    </w:p>
    <w:p w14:paraId="2A2B0F0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3F1E533F">
      <w:pPr>
        <w:pStyle w:val="4"/>
        <w:keepNext/>
        <w:spacing w:before="240" w:after="140" w:line="269" w:lineRule="auto"/>
      </w:pPr>
      <w:r>
        <w:rPr>
          <w:rFonts w:ascii="微软雅黑" w:hAnsi="微软雅黑" w:eastAsia="微软雅黑"/>
          <w:b/>
          <w:color w:val="1F4E79"/>
          <w:sz w:val="30"/>
        </w:rPr>
        <w:t>页面说明</w:t>
      </w:r>
    </w:p>
    <w:p w14:paraId="0859F249">
      <w:pPr>
        <w:pStyle w:val="5"/>
        <w:keepNext/>
        <w:spacing w:before="180" w:after="100" w:line="259" w:lineRule="auto"/>
      </w:pPr>
      <w:r>
        <w:rPr>
          <w:rFonts w:ascii="微软雅黑" w:hAnsi="微软雅黑" w:eastAsia="微软雅黑"/>
          <w:b/>
          <w:color w:val="2F5597"/>
          <w:sz w:val="25"/>
        </w:rPr>
        <w:t>在线玩家列表</w:t>
      </w:r>
    </w:p>
    <w:p>
      <w:pPr>
        <w:pStyle w:val="16"/>
        <w:spacing w:after="60" w:line="276" w:lineRule="auto"/>
      </w:pPr>
      <w:r>
        <w:rPr>
          <w:rFonts w:ascii="微软雅黑" w:hAnsi="微软雅黑" w:eastAsia="微软雅黑"/>
          <w:b/>
          <w:color w:val="2F5597"/>
          <w:sz w:val="20"/>
        </w:rPr>
        <w:t>在线玩家列表</w:t>
      </w:r>
      <w:r>
        <w:rPr>
          <w:rFonts w:ascii="微软雅黑" w:hAnsi="微软雅黑" w:eastAsia="微软雅黑"/>
          <w:b w:val="0"/>
          <w:sz w:val="20"/>
        </w:rPr>
        <w:t>：用于查看当前在线玩家。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：按会员、渠道或状态筛选，查看在线时间、终端和会员信息。</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：用于实时运营观察和异常在线排查。</w:t>
      </w:r>
    </w:p>
    <w:p w14:paraId="7114301A">
      <w:pPr>
        <w:pStyle w:val="5"/>
        <w:keepNext/>
        <w:spacing w:before="180" w:after="100" w:line="259" w:lineRule="auto"/>
      </w:pPr>
      <w:r>
        <w:rPr>
          <w:rFonts w:ascii="微软雅黑" w:hAnsi="微软雅黑" w:eastAsia="微软雅黑"/>
          <w:b/>
          <w:color w:val="2F5597"/>
          <w:sz w:val="25"/>
        </w:rPr>
        <w:t>所有会员</w:t>
      </w:r>
    </w:p>
    <w:p>
      <w:pPr>
        <w:pStyle w:val="16"/>
        <w:spacing w:after="60" w:line="276" w:lineRule="auto"/>
      </w:pPr>
      <w:r>
        <w:rPr>
          <w:rFonts w:ascii="微软雅黑" w:hAnsi="微软雅黑" w:eastAsia="微软雅黑"/>
          <w:b/>
          <w:color w:val="2F5597"/>
          <w:sz w:val="20"/>
        </w:rPr>
        <w:t>所有会员</w:t>
      </w:r>
      <w:r>
        <w:rPr>
          <w:rFonts w:ascii="微软雅黑" w:hAnsi="微软雅黑" w:eastAsia="微软雅黑"/>
          <w:b w:val="0"/>
          <w:sz w:val="20"/>
        </w:rPr>
        <w:t>：用于查询和管理会员基础信息。</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：按会员账号、ID、状态或注册时间筛选，查看资料、余额和行为信息。</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：处理会员问题时先确认账号身份，再进入资金、订单或活动明细核对。</w:t>
      </w:r>
    </w:p>
    <w:p w14:paraId="053421E3">
      <w:pPr>
        <w:pStyle w:val="5"/>
        <w:keepNext/>
        <w:spacing w:before="180" w:after="100" w:line="259" w:lineRule="auto"/>
      </w:pPr>
      <w:r>
        <w:rPr>
          <w:rFonts w:ascii="微软雅黑" w:hAnsi="微软雅黑" w:eastAsia="微软雅黑"/>
          <w:b/>
          <w:color w:val="2F5597"/>
          <w:sz w:val="25"/>
        </w:rPr>
        <w:t>VIP设置</w:t>
      </w:r>
    </w:p>
    <w:p>
      <w:pPr>
        <w:pStyle w:val="16"/>
        <w:spacing w:after="60" w:line="276" w:lineRule="auto"/>
      </w:pPr>
      <w:r>
        <w:rPr>
          <w:rFonts w:ascii="微软雅黑" w:hAnsi="微软雅黑" w:eastAsia="微软雅黑"/>
          <w:b/>
          <w:color w:val="2F5597"/>
          <w:sz w:val="20"/>
        </w:rPr>
        <w:t>VIP设置</w:t>
      </w:r>
      <w:r>
        <w:rPr>
          <w:rFonts w:ascii="微软雅黑" w:hAnsi="微软雅黑" w:eastAsia="微软雅黑"/>
          <w:b w:val="0"/>
          <w:sz w:val="20"/>
        </w:rPr>
        <w:t>：用于配置 VIP 等级、权益和升级条件。</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：设置等级名称、升级条件、保级条件、奖励和启停状态。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：调整后会影响会员等级和权益展示，需提前确认规则。</w:t>
      </w:r>
    </w:p>
    <w:p w14:paraId="7DC6CA3D">
      <w:pPr>
        <w:pStyle w:val="5"/>
        <w:keepNext/>
        <w:spacing w:before="180" w:after="100" w:line="259" w:lineRule="auto"/>
      </w:pPr>
      <w:r>
        <w:rPr>
          <w:rFonts w:ascii="微软雅黑" w:hAnsi="微软雅黑" w:eastAsia="微软雅黑"/>
          <w:b/>
          <w:color w:val="2F5597"/>
          <w:sz w:val="25"/>
        </w:rPr>
        <w:t>有奖反馈</w:t>
      </w:r>
    </w:p>
    <w:p>
      <w:pPr>
        <w:pStyle w:val="16"/>
        <w:spacing w:after="60" w:line="276" w:lineRule="auto"/>
      </w:pPr>
      <w:r>
        <w:rPr>
          <w:rFonts w:ascii="微软雅黑" w:hAnsi="微软雅黑" w:eastAsia="微软雅黑"/>
          <w:b/>
          <w:color w:val="2F5597"/>
          <w:sz w:val="20"/>
        </w:rPr>
        <w:t>有奖反馈</w:t>
      </w:r>
      <w:r>
        <w:rPr>
          <w:rFonts w:ascii="微软雅黑" w:hAnsi="微软雅黑" w:eastAsia="微软雅黑"/>
          <w:b w:val="0"/>
          <w:sz w:val="20"/>
        </w:rPr>
        <w:t>：用于查看和处理会员反馈奖励。</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：筛选反馈记录，查看内容、处理状态并发放或拒绝奖励。</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：处理前核对反馈内容、奖励规则和会员信息。</w:t>
      </w:r>
    </w:p>
    <w:p w14:paraId="6557F0E8">
      <w:pPr>
        <w:pStyle w:val="3"/>
        <w:keepNext/>
        <w:spacing w:before="360" w:after="240" w:line="276" w:lineRule="auto"/>
      </w:pPr>
      <w:r>
        <w:rPr>
          <w:rFonts w:ascii="微软雅黑" w:hAnsi="微软雅黑" w:eastAsia="微软雅黑"/>
          <w:b/>
          <w:color w:val="17365D"/>
          <w:sz w:val="40"/>
        </w:rPr>
        <w:t>十一、代理中心</w:t>
      </w:r>
    </w:p>
    <w:p w14:paraId="6AE93606">
      <w:pPr>
        <w:pStyle w:val="4"/>
        <w:keepNext/>
        <w:spacing w:before="240" w:after="140" w:line="269" w:lineRule="auto"/>
      </w:pPr>
      <w:r>
        <w:rPr>
          <w:rFonts w:ascii="微软雅黑" w:hAnsi="微软雅黑" w:eastAsia="微软雅黑"/>
          <w:b/>
          <w:color w:val="1F4E79"/>
          <w:sz w:val="30"/>
        </w:rPr>
        <w:t>模块定位</w:t>
      </w:r>
    </w:p>
    <w:p w14:paraId="74E2E54E">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1377E732">
      <w:pPr>
        <w:pStyle w:val="4"/>
        <w:keepNext/>
        <w:spacing w:before="240" w:after="140" w:line="269" w:lineRule="auto"/>
      </w:pPr>
      <w:r>
        <w:rPr>
          <w:rFonts w:ascii="微软雅黑" w:hAnsi="微软雅黑" w:eastAsia="微软雅黑"/>
          <w:b/>
          <w:color w:val="1F4E79"/>
          <w:sz w:val="30"/>
        </w:rPr>
        <w:t>页面说明</w:t>
      </w:r>
    </w:p>
    <w:p w14:paraId="0314494A">
      <w:pPr>
        <w:pStyle w:val="5"/>
        <w:keepNext/>
        <w:spacing w:before="180" w:after="100" w:line="259" w:lineRule="auto"/>
      </w:pPr>
      <w:r>
        <w:rPr>
          <w:rFonts w:ascii="微软雅黑" w:hAnsi="微软雅黑" w:eastAsia="微软雅黑"/>
          <w:b/>
          <w:color w:val="2F5597"/>
          <w:sz w:val="25"/>
        </w:rPr>
        <w:t>代理列表</w:t>
      </w:r>
    </w:p>
    <w:p>
      <w:pPr>
        <w:pStyle w:val="16"/>
        <w:spacing w:after="60" w:line="276" w:lineRule="auto"/>
      </w:pPr>
      <w:r>
        <w:rPr>
          <w:rFonts w:ascii="微软雅黑" w:hAnsi="微软雅黑" w:eastAsia="微软雅黑"/>
          <w:b/>
          <w:color w:val="2F5597"/>
          <w:sz w:val="20"/>
        </w:rPr>
        <w:t>代理列表</w:t>
      </w:r>
      <w:r>
        <w:rPr>
          <w:rFonts w:ascii="微软雅黑" w:hAnsi="微软雅黑" w:eastAsia="微软雅黑"/>
          <w:b w:val="0"/>
          <w:sz w:val="20"/>
        </w:rPr>
        <w:t>：用于查询和管理代理账号。</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：按代理账号、状态或时间筛选，查看代理信息和下级数据。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：调整代理状态前需确认结算、会员归属和业务影响。</w:t>
      </w:r>
    </w:p>
    <w:p w14:paraId="7B2F927C">
      <w:pPr>
        <w:pStyle w:val="5"/>
        <w:keepNext/>
        <w:spacing w:before="180" w:after="100" w:line="259" w:lineRule="auto"/>
      </w:pPr>
      <w:r>
        <w:rPr>
          <w:rFonts w:ascii="微软雅黑" w:hAnsi="微软雅黑" w:eastAsia="微软雅黑"/>
          <w:b/>
          <w:color w:val="2F5597"/>
          <w:sz w:val="25"/>
        </w:rPr>
        <w:t>代理配置</w:t>
      </w:r>
    </w:p>
    <w:p>
      <w:pPr>
        <w:pStyle w:val="16"/>
        <w:spacing w:after="60" w:line="276" w:lineRule="auto"/>
      </w:pPr>
      <w:r>
        <w:rPr>
          <w:rFonts w:ascii="微软雅黑" w:hAnsi="微软雅黑" w:eastAsia="微软雅黑"/>
          <w:b/>
          <w:color w:val="2F5597"/>
          <w:sz w:val="20"/>
        </w:rPr>
        <w:t>代理配置</w:t>
      </w:r>
      <w:r>
        <w:rPr>
          <w:rFonts w:ascii="微软雅黑" w:hAnsi="微软雅黑" w:eastAsia="微软雅黑"/>
          <w:b w:val="0"/>
          <w:sz w:val="20"/>
        </w:rPr>
        <w:t>：用于维护代理返佣、返水和结算规则。</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：设置代理等级、比例、结算周期和启停状态。</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：配置变更会影响代理收益，保存前需复核规则。</w:t>
      </w:r>
    </w:p>
    <w:p w14:paraId="7A8BCCC2">
      <w:pPr>
        <w:pStyle w:val="5"/>
        <w:keepNext/>
        <w:spacing w:before="180" w:after="100" w:line="259" w:lineRule="auto"/>
      </w:pPr>
      <w:r>
        <w:rPr>
          <w:rFonts w:ascii="微软雅黑" w:hAnsi="微软雅黑" w:eastAsia="微软雅黑"/>
          <w:b/>
          <w:color w:val="2F5597"/>
          <w:sz w:val="25"/>
        </w:rPr>
        <w:t>代理领取记录</w:t>
      </w:r>
    </w:p>
    <w:p>
      <w:pPr>
        <w:pStyle w:val="16"/>
        <w:spacing w:after="60" w:line="276" w:lineRule="auto"/>
      </w:pPr>
      <w:r>
        <w:rPr>
          <w:rFonts w:ascii="微软雅黑" w:hAnsi="微软雅黑" w:eastAsia="微软雅黑"/>
          <w:b/>
          <w:color w:val="2F5597"/>
          <w:sz w:val="20"/>
        </w:rPr>
        <w:t>代理领取记录</w:t>
      </w:r>
      <w:r>
        <w:rPr>
          <w:rFonts w:ascii="微软雅黑" w:hAnsi="微软雅黑" w:eastAsia="微软雅黑"/>
          <w:b w:val="0"/>
          <w:sz w:val="20"/>
        </w:rPr>
        <w:t>：用于查看代理奖励或佣金领取记录。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：按代理、状态或时间筛选，查看领取金额和处理结果。</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：排查收益问题时结合结算明细和账变记录核对。</w:t>
      </w:r>
    </w:p>
    <w:p w14:paraId="03B26D96">
      <w:pPr>
        <w:pStyle w:val="5"/>
        <w:keepNext/>
        <w:spacing w:before="180" w:after="100" w:line="259" w:lineRule="auto"/>
      </w:pPr>
      <w:r>
        <w:rPr>
          <w:rFonts w:ascii="微软雅黑" w:hAnsi="微软雅黑" w:eastAsia="微软雅黑"/>
          <w:b/>
          <w:color w:val="2F5597"/>
          <w:sz w:val="25"/>
        </w:rPr>
        <w:t>代理数据查询</w:t>
      </w:r>
    </w:p>
    <w:p>
      <w:pPr>
        <w:pStyle w:val="16"/>
        <w:spacing w:after="60" w:line="276" w:lineRule="auto"/>
      </w:pPr>
      <w:r>
        <w:rPr>
          <w:rFonts w:ascii="微软雅黑" w:hAnsi="微软雅黑" w:eastAsia="微软雅黑"/>
          <w:b/>
          <w:color w:val="2F5597"/>
          <w:sz w:val="20"/>
        </w:rPr>
        <w:t>代理数据查询</w:t>
      </w:r>
      <w:r>
        <w:rPr>
          <w:rFonts w:ascii="微软雅黑" w:hAnsi="微软雅黑" w:eastAsia="微软雅黑"/>
          <w:b w:val="0"/>
          <w:sz w:val="20"/>
        </w:rPr>
        <w:t>：用于查询代理维度的运营数据。</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：按代理和时间筛选，查看下级会员、充值、投注和佣金数据。</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：用于代理运营分析和结算核对。</w:t>
      </w:r>
    </w:p>
    <w:p w14:paraId="474D3D42">
      <w:pPr>
        <w:pStyle w:val="3"/>
        <w:keepNext/>
        <w:spacing w:before="360" w:after="240" w:line="276" w:lineRule="auto"/>
      </w:pPr>
      <w:r>
        <w:rPr>
          <w:rFonts w:ascii="微软雅黑" w:hAnsi="微软雅黑" w:eastAsia="微软雅黑"/>
          <w:b/>
          <w:color w:val="17365D"/>
          <w:sz w:val="40"/>
        </w:rPr>
        <w:t>十二、风险中心</w:t>
      </w:r>
    </w:p>
    <w:p w14:paraId="7208F2D2">
      <w:pPr>
        <w:pStyle w:val="4"/>
        <w:keepNext/>
        <w:spacing w:before="240" w:after="140" w:line="269" w:lineRule="auto"/>
      </w:pPr>
      <w:r>
        <w:rPr>
          <w:rFonts w:ascii="微软雅黑" w:hAnsi="微软雅黑" w:eastAsia="微软雅黑"/>
          <w:b/>
          <w:color w:val="1F4E79"/>
          <w:sz w:val="30"/>
        </w:rPr>
        <w:t>模块定位</w:t>
      </w:r>
    </w:p>
    <w:p w14:paraId="34F9B4F2">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27AAD9D0">
      <w:pPr>
        <w:pStyle w:val="4"/>
        <w:keepNext/>
        <w:spacing w:before="240" w:after="140" w:line="269" w:lineRule="auto"/>
      </w:pPr>
      <w:r>
        <w:rPr>
          <w:rFonts w:ascii="微软雅黑" w:hAnsi="微软雅黑" w:eastAsia="微软雅黑"/>
          <w:b/>
          <w:color w:val="1F4E79"/>
          <w:sz w:val="30"/>
        </w:rPr>
        <w:t>页面说明</w:t>
      </w:r>
    </w:p>
    <w:p w14:paraId="6AC7DCE7">
      <w:pPr>
        <w:pStyle w:val="5"/>
        <w:keepNext/>
        <w:spacing w:before="180" w:after="100" w:line="259" w:lineRule="auto"/>
      </w:pPr>
      <w:r>
        <w:rPr>
          <w:rFonts w:ascii="微软雅黑" w:hAnsi="微软雅黑" w:eastAsia="微软雅黑"/>
          <w:b/>
          <w:color w:val="2F5597"/>
          <w:sz w:val="25"/>
        </w:rPr>
        <w:t>黑名单</w:t>
      </w:r>
    </w:p>
    <w:p>
      <w:pPr>
        <w:pStyle w:val="16"/>
        <w:spacing w:after="60" w:line="276" w:lineRule="auto"/>
      </w:pPr>
      <w:r>
        <w:rPr>
          <w:rFonts w:ascii="微软雅黑" w:hAnsi="微软雅黑" w:eastAsia="微软雅黑"/>
          <w:b/>
          <w:color w:val="2F5597"/>
          <w:sz w:val="20"/>
        </w:rPr>
        <w:t>黑名单</w:t>
      </w:r>
      <w:r>
        <w:rPr>
          <w:rFonts w:ascii="微软雅黑" w:hAnsi="微软雅黑" w:eastAsia="微软雅黑"/>
          <w:b w:val="0"/>
          <w:sz w:val="20"/>
        </w:rPr>
        <w:t>：用于管理受限制的玩家或风险对象。</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：新增、查询、解除黑名单，查看限制原因和操作记录。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：加入或解除黑名单前需确认风险原因和处理依据。</w:t>
      </w:r>
    </w:p>
    <w:p w14:paraId="4F6DF181">
      <w:pPr>
        <w:pStyle w:val="5"/>
        <w:keepNext/>
        <w:spacing w:before="180" w:after="100" w:line="259" w:lineRule="auto"/>
      </w:pPr>
      <w:r>
        <w:rPr>
          <w:rFonts w:ascii="微软雅黑" w:hAnsi="微软雅黑" w:eastAsia="微软雅黑"/>
          <w:b/>
          <w:color w:val="2F5597"/>
          <w:sz w:val="25"/>
        </w:rPr>
        <w:t>刷子监控</w:t>
      </w:r>
    </w:p>
    <w:p>
      <w:pPr>
        <w:pStyle w:val="16"/>
        <w:spacing w:after="60" w:line="276" w:lineRule="auto"/>
      </w:pPr>
      <w:r>
        <w:rPr>
          <w:rFonts w:ascii="微软雅黑" w:hAnsi="微软雅黑" w:eastAsia="微软雅黑"/>
          <w:b/>
          <w:color w:val="2F5597"/>
          <w:sz w:val="20"/>
        </w:rPr>
        <w:t>刷子监控</w:t>
      </w:r>
      <w:r>
        <w:rPr>
          <w:rFonts w:ascii="微软雅黑" w:hAnsi="微软雅黑" w:eastAsia="微软雅黑"/>
          <w:b w:val="0"/>
          <w:sz w:val="20"/>
        </w:rPr>
        <w:t>：用于监控疑似异常套利或刷量玩家。</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：按玩家、风险类型或时间筛选，查看异常指标和处理记录。</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：处理前结合投注、活动、充值和设备信息综合判断。</w:t>
      </w:r>
    </w:p>
    <w:p w14:paraId="29A82894">
      <w:pPr>
        <w:pStyle w:val="5"/>
        <w:keepNext/>
        <w:spacing w:before="180" w:after="100" w:line="259" w:lineRule="auto"/>
      </w:pPr>
      <w:r>
        <w:rPr>
          <w:rFonts w:ascii="微软雅黑" w:hAnsi="微软雅黑" w:eastAsia="微软雅黑"/>
          <w:b/>
          <w:color w:val="2F5597"/>
          <w:sz w:val="25"/>
        </w:rPr>
        <w:t>游戏获利监控</w:t>
      </w:r>
    </w:p>
    <w:p>
      <w:pPr>
        <w:pStyle w:val="16"/>
        <w:spacing w:after="60" w:line="276" w:lineRule="auto"/>
      </w:pPr>
      <w:r>
        <w:rPr>
          <w:rFonts w:ascii="微软雅黑" w:hAnsi="微软雅黑" w:eastAsia="微软雅黑"/>
          <w:b/>
          <w:color w:val="2F5597"/>
          <w:sz w:val="20"/>
        </w:rPr>
        <w:t>游戏获利监控</w:t>
      </w:r>
      <w:r>
        <w:rPr>
          <w:rFonts w:ascii="微软雅黑" w:hAnsi="微软雅黑" w:eastAsia="微软雅黑"/>
          <w:b w:val="0"/>
          <w:sz w:val="20"/>
        </w:rPr>
        <w:t>：用于监控玩家游戏获利异常情况。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：按玩家、游戏或时间筛选，查看获利、投注和风险状态。</w:t>
      </w:r>
    </w:p>
    <w:p>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：发现异常后结合游戏记录和风控规则进一步核查。</w:t>
      </w:r>
    </w:p>
    <w:p w14:paraId="39A02A3E">
      <w:pPr>
        <w:pStyle w:val="3"/>
        <w:keepNext/>
        <w:spacing w:before="360" w:after="240" w:line="276" w:lineRule="auto"/>
      </w:pPr>
      <w:r>
        <w:rPr>
          <w:rFonts w:ascii="微软雅黑" w:hAnsi="微软雅黑" w:eastAsia="微软雅黑"/>
          <w:b/>
          <w:color w:val="17365D"/>
          <w:sz w:val="40"/>
        </w:rPr>
        <w:t>十三、商户中心</w:t>
      </w:r>
    </w:p>
    <w:p w14:paraId="3C317668">
      <w:pPr>
        <w:pStyle w:val="4"/>
        <w:keepNext/>
        <w:spacing w:before="240" w:after="140" w:line="269" w:lineRule="auto"/>
      </w:pPr>
      <w:r>
        <w:rPr>
          <w:rFonts w:ascii="微软雅黑" w:hAnsi="微软雅黑" w:eastAsia="微软雅黑"/>
          <w:b/>
          <w:color w:val="1F4E79"/>
          <w:sz w:val="30"/>
        </w:rPr>
        <w:t>模块定位</w:t>
      </w:r>
    </w:p>
    <w:p w14:paraId="274A9CAF">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5DB9F037">
      <w:pPr>
        <w:pStyle w:val="4"/>
        <w:keepNext/>
        <w:spacing w:before="240" w:after="140" w:line="269" w:lineRule="auto"/>
      </w:pPr>
      <w:r>
        <w:rPr>
          <w:rFonts w:ascii="微软雅黑" w:hAnsi="微软雅黑" w:eastAsia="微软雅黑"/>
          <w:b/>
          <w:color w:val="1F4E79"/>
          <w:sz w:val="30"/>
        </w:rPr>
        <w:t>页面说明</w:t>
      </w:r>
    </w:p>
    <w:p w14:paraId="0BD38823">
      <w:pPr>
        <w:pStyle w:val="5"/>
        <w:keepNext/>
        <w:spacing w:before="180" w:after="100" w:line="259" w:lineRule="auto"/>
      </w:pPr>
      <w:r>
        <w:rPr>
          <w:rFonts w:ascii="微软雅黑" w:hAnsi="微软雅黑" w:eastAsia="微软雅黑"/>
          <w:b/>
          <w:color w:val="2F5597"/>
          <w:sz w:val="25"/>
        </w:rPr>
        <w:t>商户信息</w:t>
      </w:r>
    </w:p>
    <w:p>
      <w:pPr>
        <w:pStyle w:val="16"/>
        <w:spacing w:after="60" w:line="276" w:lineRule="auto"/>
      </w:pPr>
      <w:r>
        <w:rPr>
          <w:rFonts w:ascii="微软雅黑" w:hAnsi="微软雅黑" w:eastAsia="微软雅黑"/>
          <w:b/>
          <w:color w:val="2F5597"/>
          <w:sz w:val="20"/>
        </w:rPr>
        <w:t>商户信息</w:t>
      </w:r>
      <w:r>
        <w:rPr>
          <w:rFonts w:ascii="微软雅黑" w:hAnsi="微软雅黑" w:eastAsia="微软雅黑"/>
          <w:b w:val="0"/>
          <w:sz w:val="20"/>
        </w:rPr>
        <w:t>：用于查看商户基础资料和账户状态。</w:t>
      </w:r>
    </w:p>
    <w:p>
      <w:pPr>
        <w:pStyle w:val="16"/>
        <w:spacing w:after="60" w:line="276" w:lineRule="auto"/>
      </w:pPr>
      <w:r>
        <w:rPr>
          <w:rFonts w:ascii="微软雅黑" w:hAnsi="微软雅黑" w:eastAsia="微软雅黑"/>
          <w:b/>
          <w:color w:val="2F5597"/>
          <w:sz w:val="20"/>
        </w:rPr>
        <w:t>配置内容</w:t>
      </w:r>
      <w:r>
        <w:rPr>
          <w:rFonts w:ascii="微软雅黑" w:hAnsi="微软雅黑" w:eastAsia="微软雅黑"/>
          <w:b w:val="0"/>
          <w:sz w:val="20"/>
        </w:rPr>
        <w:t>：查看商户名称、账号信息、联系方式和状态配置。</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：资料变更需与平台或管理员确认，避免影响后台使用。</w:t>
      </w:r>
    </w:p>
    <w:p w14:paraId="6C613849">
      <w:pPr>
        <w:pStyle w:val="5"/>
        <w:keepNext/>
        <w:spacing w:before="180" w:after="100" w:line="259" w:lineRule="auto"/>
      </w:pPr>
      <w:r>
        <w:rPr>
          <w:rFonts w:ascii="微软雅黑" w:hAnsi="微软雅黑" w:eastAsia="微软雅黑"/>
          <w:b/>
          <w:color w:val="2F5597"/>
          <w:sz w:val="25"/>
        </w:rPr>
        <w:t>商户充值</w:t>
      </w:r>
    </w:p>
    <w:p>
      <w:pPr>
        <w:pStyle w:val="16"/>
        <w:spacing w:after="60" w:line="276" w:lineRule="auto"/>
      </w:pPr>
      <w:r>
        <w:rPr>
          <w:rFonts w:ascii="微软雅黑" w:hAnsi="微软雅黑" w:eastAsia="微软雅黑"/>
          <w:b/>
          <w:color w:val="2F5597"/>
          <w:sz w:val="20"/>
        </w:rPr>
        <w:t>商户充值</w:t>
      </w:r>
      <w:r>
        <w:rPr>
          <w:rFonts w:ascii="微软雅黑" w:hAnsi="微软雅黑" w:eastAsia="微软雅黑"/>
          <w:b w:val="0"/>
          <w:sz w:val="20"/>
        </w:rPr>
        <w:t>：用于商户账户充值。</w:t>
      </w:r>
    </w:p>
    <w:p>
      <w:pPr>
        <w:pStyle w:val="16"/>
        <w:spacing w:after="60" w:line="276" w:lineRule="auto"/>
      </w:pPr>
      <w:r>
        <w:rPr>
          <w:rFonts w:ascii="微软雅黑" w:hAnsi="微软雅黑" w:eastAsia="微软雅黑"/>
          <w:b/>
          <w:color w:val="2F5597"/>
          <w:sz w:val="20"/>
        </w:rPr>
        <w:t>操作说明</w:t>
      </w:r>
      <w:r>
        <w:rPr>
          <w:rFonts w:ascii="微软雅黑" w:hAnsi="微软雅黑" w:eastAsia="微软雅黑"/>
          <w:b w:val="0"/>
          <w:sz w:val="20"/>
        </w:rPr>
        <w:t>：选择充值方式，填写金额并提交充值申请。</w:t>
      </w:r>
    </w:p>
    <w:p>
      <w:pPr>
        <w:pStyle w:val="16"/>
        <w:spacing w:after="60" w:line="276" w:lineRule="auto"/>
      </w:pPr>
      <w:r>
        <w:rPr>
          <w:rFonts w:ascii="微软雅黑" w:hAnsi="微软雅黑" w:eastAsia="微软雅黑"/>
          <w:b/>
          <w:color w:val="2F5597"/>
          <w:sz w:val="20"/>
        </w:rPr>
        <w:t>提交前检查</w:t>
      </w:r>
      <w:r>
        <w:rPr>
          <w:rFonts w:ascii="微软雅黑" w:hAnsi="微软雅黑" w:eastAsia="微软雅黑"/>
          <w:b w:val="0"/>
          <w:sz w:val="20"/>
        </w:rPr>
        <w:t>：提交前确认金额、收款信息和到账规则。</w:t>
      </w:r>
    </w:p>
    <w:p w14:paraId="20EFC806">
      <w:pPr>
        <w:pStyle w:val="5"/>
        <w:keepNext/>
        <w:spacing w:before="180" w:after="100" w:line="259" w:lineRule="auto"/>
      </w:pPr>
      <w:r>
        <w:rPr>
          <w:rFonts w:ascii="微软雅黑" w:hAnsi="微软雅黑" w:eastAsia="微软雅黑"/>
          <w:b/>
          <w:color w:val="2F5597"/>
          <w:sz w:val="25"/>
        </w:rPr>
        <w:t>充值记录</w:t>
      </w:r>
    </w:p>
    <w:p>
      <w:pPr>
        <w:pStyle w:val="16"/>
        <w:spacing w:after="60" w:line="276" w:lineRule="auto"/>
      </w:pPr>
      <w:r>
        <w:rPr>
          <w:rFonts w:ascii="微软雅黑" w:hAnsi="微软雅黑" w:eastAsia="微软雅黑"/>
          <w:b/>
          <w:color w:val="2F5597"/>
          <w:sz w:val="20"/>
        </w:rPr>
        <w:t>充值记录</w:t>
      </w:r>
      <w:r>
        <w:rPr>
          <w:rFonts w:ascii="微软雅黑" w:hAnsi="微软雅黑" w:eastAsia="微软雅黑"/>
          <w:b w:val="0"/>
          <w:sz w:val="20"/>
        </w:rPr>
        <w:t>：用于查询商户充值记录。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：按订单号、状态或时间筛选，查看充值金额和到账状态。</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：到账异常时结合支付凭证和平台处理结果核对。</w:t>
      </w:r>
    </w:p>
    <w:p w14:paraId="7DD52377">
      <w:pPr>
        <w:pStyle w:val="5"/>
        <w:keepNext/>
        <w:spacing w:before="180" w:after="100" w:line="259" w:lineRule="auto"/>
      </w:pPr>
      <w:r>
        <w:rPr>
          <w:rFonts w:ascii="微软雅黑" w:hAnsi="微软雅黑" w:eastAsia="微软雅黑"/>
          <w:b/>
          <w:color w:val="2F5597"/>
          <w:sz w:val="25"/>
        </w:rPr>
        <w:t>商户账变记录</w:t>
      </w:r>
    </w:p>
    <w:p>
      <w:pPr>
        <w:pStyle w:val="16"/>
        <w:spacing w:after="60" w:line="276" w:lineRule="auto"/>
      </w:pPr>
      <w:r>
        <w:rPr>
          <w:rFonts w:ascii="微软雅黑" w:hAnsi="微软雅黑" w:eastAsia="微软雅黑"/>
          <w:b/>
          <w:color w:val="2F5597"/>
          <w:sz w:val="20"/>
        </w:rPr>
        <w:t>商户账变记录</w:t>
      </w:r>
      <w:r>
        <w:rPr>
          <w:rFonts w:ascii="微软雅黑" w:hAnsi="微软雅黑" w:eastAsia="微软雅黑"/>
          <w:b w:val="0"/>
          <w:sz w:val="20"/>
        </w:rPr>
        <w:t>：用于查看商户账户资金变动。</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：按账变类型、时间或订单号筛选，查看金额变化和余额。</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：排查商户资金问题时结合充值、账单和扣费记录核对。</w:t>
      </w:r>
    </w:p>
    <w:p w14:paraId="1F816A64">
      <w:pPr>
        <w:pStyle w:val="5"/>
        <w:keepNext/>
        <w:spacing w:before="180" w:after="100" w:line="259" w:lineRule="auto"/>
      </w:pPr>
      <w:r>
        <w:rPr>
          <w:rFonts w:ascii="微软雅黑" w:hAnsi="微软雅黑" w:eastAsia="微软雅黑"/>
          <w:b/>
          <w:color w:val="2F5597"/>
          <w:sz w:val="25"/>
        </w:rPr>
        <w:t>商户账单</w:t>
      </w:r>
    </w:p>
    <w:p>
      <w:pPr>
        <w:pStyle w:val="16"/>
        <w:spacing w:after="60" w:line="276" w:lineRule="auto"/>
      </w:pPr>
      <w:r>
        <w:rPr>
          <w:rFonts w:ascii="微软雅黑" w:hAnsi="微软雅黑" w:eastAsia="微软雅黑"/>
          <w:b/>
          <w:color w:val="2F5597"/>
          <w:sz w:val="20"/>
        </w:rPr>
        <w:t>商户账单</w:t>
      </w:r>
      <w:r>
        <w:rPr>
          <w:rFonts w:ascii="微软雅黑" w:hAnsi="微软雅黑" w:eastAsia="微软雅黑"/>
          <w:b w:val="0"/>
          <w:sz w:val="20"/>
        </w:rPr>
        <w:t>：用于查看商户账单和费用结算情况。</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：按账期或状态筛选，查看账单金额、费用项目和结算状态。</w:t>
      </w:r>
    </w:p>
    <w:p>
      <w:pPr>
        <w:pStyle w:val="16"/>
        <w:spacing w:after="60" w:line="276" w:lineRule="auto"/>
      </w:pPr>
      <w:r>
        <w:rPr>
          <w:rFonts w:ascii="微软雅黑" w:hAnsi="微软雅黑" w:eastAsia="微软雅黑"/>
          <w:b/>
          <w:color w:val="2F5597"/>
          <w:sz w:val="20"/>
        </w:rPr>
        <w:t>对账要点</w:t>
      </w:r>
      <w:r>
        <w:rPr>
          <w:rFonts w:ascii="微软雅黑" w:hAnsi="微软雅黑" w:eastAsia="微软雅黑"/>
          <w:b w:val="0"/>
          <w:sz w:val="20"/>
        </w:rPr>
        <w:t>：对账时需结合账变记录、充值记录和平台结算规则。</w:t>
      </w:r>
    </w:p>
    <w:p w14:paraId="621057E2">
      <w:pPr>
        <w:pStyle w:val="3"/>
        <w:keepNext/>
        <w:spacing w:before="360" w:after="240" w:line="276" w:lineRule="auto"/>
      </w:pPr>
      <w:r>
        <w:rPr>
          <w:rFonts w:ascii="微软雅黑" w:hAnsi="微软雅黑" w:eastAsia="微软雅黑"/>
          <w:b/>
          <w:color w:val="17365D"/>
          <w:sz w:val="40"/>
        </w:rPr>
        <w:t>十四、埋点配置</w:t>
      </w:r>
    </w:p>
    <w:p w14:paraId="1A4841E7">
      <w:pPr>
        <w:pStyle w:val="4"/>
        <w:keepNext/>
        <w:spacing w:before="240" w:after="140" w:line="269" w:lineRule="auto"/>
      </w:pPr>
      <w:r>
        <w:rPr>
          <w:rFonts w:ascii="微软雅黑" w:hAnsi="微软雅黑" w:eastAsia="微软雅黑"/>
          <w:b/>
          <w:color w:val="1F4E79"/>
          <w:sz w:val="30"/>
        </w:rPr>
        <w:t>模块定位</w:t>
      </w:r>
    </w:p>
    <w:p w14:paraId="13D46073">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036EE977">
      <w:pPr>
        <w:pStyle w:val="4"/>
        <w:keepNext/>
        <w:spacing w:before="240" w:after="140" w:line="269" w:lineRule="auto"/>
      </w:pPr>
      <w:r>
        <w:rPr>
          <w:rFonts w:ascii="微软雅黑" w:hAnsi="微软雅黑" w:eastAsia="微软雅黑"/>
          <w:b/>
          <w:color w:val="1F4E79"/>
          <w:sz w:val="30"/>
        </w:rPr>
        <w:t>页面说明</w:t>
      </w:r>
    </w:p>
    <w:p w14:paraId="0E8B6AA6">
      <w:pPr>
        <w:pStyle w:val="5"/>
        <w:keepNext/>
        <w:spacing w:before="180" w:after="100" w:line="259" w:lineRule="auto"/>
      </w:pPr>
      <w:r>
        <w:rPr>
          <w:rFonts w:ascii="微软雅黑" w:hAnsi="微软雅黑" w:eastAsia="微软雅黑"/>
          <w:b/>
          <w:color w:val="2F5597"/>
          <w:sz w:val="25"/>
        </w:rPr>
        <w:t>埋点统计</w:t>
      </w:r>
    </w:p>
    <w:p>
      <w:pPr>
        <w:pStyle w:val="16"/>
        <w:spacing w:after="60" w:line="276" w:lineRule="auto"/>
      </w:pPr>
      <w:r>
        <w:rPr>
          <w:rFonts w:ascii="微软雅黑" w:hAnsi="微软雅黑" w:eastAsia="微软雅黑"/>
          <w:b/>
          <w:color w:val="2F5597"/>
          <w:sz w:val="20"/>
        </w:rPr>
        <w:t>埋点统计</w:t>
      </w:r>
      <w:r>
        <w:rPr>
          <w:rFonts w:ascii="微软雅黑" w:hAnsi="微软雅黑" w:eastAsia="微软雅黑"/>
          <w:b w:val="0"/>
          <w:sz w:val="20"/>
        </w:rPr>
        <w:t>：用于查看站点埋点事件统计。</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：按事件、页面、渠道或时间筛选，查看触发次数和转化数据。</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：用于分析页面行为和推广效果，需确认埋点配置已生效。</w:t>
      </w:r>
    </w:p>
    <w:p w14:paraId="62A7254E">
      <w:pPr>
        <w:pStyle w:val="5"/>
        <w:keepNext/>
        <w:spacing w:before="180" w:after="100" w:line="259" w:lineRule="auto"/>
      </w:pPr>
      <w:r>
        <w:rPr>
          <w:rFonts w:ascii="微软雅黑" w:hAnsi="微软雅黑" w:eastAsia="微软雅黑"/>
          <w:b/>
          <w:color w:val="2F5597"/>
          <w:sz w:val="25"/>
        </w:rPr>
        <w:t>会话列表</w:t>
      </w:r>
    </w:p>
    <w:p>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：用于查看用户访问或行为会话。</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：按用户、会话 ID、渠道或时间筛选，查看会话轨迹。</w:t>
      </w:r>
    </w:p>
    <w:p>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：排查转化或行为问题时，可结合事件流水一起分析。</w:t>
      </w:r>
    </w:p>
    <w:p w14:paraId="0691814E">
      <w:pPr>
        <w:pStyle w:val="5"/>
        <w:keepNext/>
        <w:spacing w:before="180" w:after="100" w:line="259" w:lineRule="auto"/>
      </w:pPr>
      <w:r>
        <w:rPr>
          <w:rFonts w:ascii="微软雅黑" w:hAnsi="微软雅黑" w:eastAsia="微软雅黑"/>
          <w:b/>
          <w:color w:val="2F5597"/>
          <w:sz w:val="25"/>
        </w:rPr>
        <w:t>事件流水</w:t>
      </w:r>
    </w:p>
    <w:p>
      <w:pPr>
        <w:pStyle w:val="16"/>
        <w:spacing w:after="60" w:line="276" w:lineRule="auto"/>
      </w:pPr>
      <w:r>
        <w:rPr>
          <w:rFonts w:ascii="微软雅黑" w:hAnsi="微软雅黑" w:eastAsia="微软雅黑"/>
          <w:b/>
          <w:color w:val="2F5597"/>
          <w:sz w:val="20"/>
        </w:rPr>
        <w:t>事件流水</w:t>
      </w:r>
      <w:r>
        <w:rPr>
          <w:rFonts w:ascii="微软雅黑" w:hAnsi="微软雅黑" w:eastAsia="微软雅黑"/>
          <w:b w:val="0"/>
          <w:sz w:val="20"/>
        </w:rPr>
        <w:t>：用于查看埋点事件明细流水。</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：按事件、用户、页面或时间筛选，查看单次事件详情。</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：用于排查埋点触发、参数上报和用户行为路径。</w:t>
      </w:r>
    </w:p>
    <w:p w14:paraId="14EAE7AC">
      <w:pPr>
        <w:pStyle w:val="3"/>
        <w:keepNext/>
        <w:spacing w:before="360" w:after="240" w:line="276" w:lineRule="auto"/>
      </w:pPr>
      <w:r>
        <w:rPr>
          <w:rFonts w:ascii="微软雅黑" w:hAnsi="微软雅黑" w:eastAsia="微软雅黑"/>
          <w:b/>
          <w:color w:val="17365D"/>
          <w:sz w:val="40"/>
        </w:rPr>
        <w:t>十五、人事中心</w:t>
      </w:r>
    </w:p>
    <w:p w14:paraId="7AC80F8A">
      <w:pPr>
        <w:pStyle w:val="4"/>
        <w:keepNext/>
        <w:spacing w:before="240" w:after="140" w:line="269" w:lineRule="auto"/>
      </w:pPr>
      <w:r>
        <w:rPr>
          <w:rFonts w:ascii="微软雅黑" w:hAnsi="微软雅黑" w:eastAsia="微软雅黑"/>
          <w:b/>
          <w:color w:val="1F4E79"/>
          <w:sz w:val="30"/>
        </w:rPr>
        <w:t>模块定位</w:t>
      </w:r>
    </w:p>
    <w:p w14:paraId="12BC2C17">
      <w:pPr>
        <w:spacing w:after="60" w:line="276" w:lineRule="auto"/>
      </w:pPr>
      <w:r>
        <w:rPr>
          <w:rFonts w:ascii="微软雅黑" w:hAnsi="微软雅黑" w:eastAsia="微软雅黑"/>
          <w:b w:val="0"/>
          <w:sz w:val="20"/>
        </w:rPr>
        <w:t>本章节按后台真实菜单顺序整理，页面说明与后台左侧菜单保持一致，便于商户按菜单路径查找和操作。</w:t>
      </w:r>
    </w:p>
    <w:p w14:paraId="746668F0">
      <w:pPr>
        <w:pStyle w:val="4"/>
        <w:keepNext/>
        <w:spacing w:before="240" w:after="140" w:line="269" w:lineRule="auto"/>
      </w:pPr>
      <w:r>
        <w:rPr>
          <w:rFonts w:ascii="微软雅黑" w:hAnsi="微软雅黑" w:eastAsia="微软雅黑"/>
          <w:b/>
          <w:color w:val="1F4E79"/>
          <w:sz w:val="30"/>
        </w:rPr>
        <w:t>页面说明</w:t>
      </w:r>
    </w:p>
    <w:p w14:paraId="60DB4134">
      <w:pPr>
        <w:pStyle w:val="5"/>
        <w:keepNext/>
        <w:spacing w:before="180" w:after="100" w:line="259" w:lineRule="auto"/>
      </w:pPr>
      <w:r>
        <w:rPr>
          <w:rFonts w:ascii="微软雅黑" w:hAnsi="微软雅黑" w:eastAsia="微软雅黑"/>
          <w:b/>
          <w:color w:val="2F5597"/>
          <w:sz w:val="25"/>
        </w:rPr>
        <w:t>账号管理</w:t>
      </w:r>
    </w:p>
    <w:p>
      <w:pPr>
        <w:pStyle w:val="16"/>
        <w:spacing w:after="60" w:line="276" w:lineRule="auto"/>
      </w:pPr>
      <w:r>
        <w:rPr>
          <w:rFonts w:ascii="微软雅黑" w:hAnsi="微软雅黑" w:eastAsia="微软雅黑"/>
          <w:b/>
          <w:color w:val="2F5597"/>
          <w:sz w:val="20"/>
        </w:rPr>
        <w:t>账号管理</w:t>
      </w:r>
      <w:r>
        <w:rPr>
          <w:rFonts w:ascii="微软雅黑" w:hAnsi="微软雅黑" w:eastAsia="微软雅黑"/>
          <w:b w:val="0"/>
          <w:sz w:val="20"/>
        </w:rPr>
        <w:t>：用于管理后台账号和角色归属。</w:t>
      </w:r>
    </w:p>
    <w:p>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：新增、编辑、启用、停用账号，分配系统预设角色。</w:t>
      </w:r>
    </w:p>
    <w:p>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：账号权限影响后台可见菜单和操作范围，调整前需确认职责。</w:t>
      </w:r>
    </w:p>
    <w:p w14:paraId="3F94B793">
      <w:pPr>
        <w:pStyle w:val="5"/>
        <w:keepNext/>
        <w:spacing w:before="180" w:after="100" w:line="259" w:lineRule="auto"/>
      </w:pPr>
      <w:r>
        <w:rPr>
          <w:rFonts w:ascii="微软雅黑" w:hAnsi="微软雅黑" w:eastAsia="微软雅黑"/>
          <w:b/>
          <w:color w:val="2F5597"/>
          <w:sz w:val="25"/>
        </w:rPr>
        <w:t>日志管理</w:t>
      </w:r>
    </w:p>
    <w:p w14:paraId="60076406">
      <w:pPr>
        <w:pStyle w:val="16"/>
        <w:spacing w:after="40" w:line="276" w:lineRule="auto"/>
      </w:pPr>
      <w:r>
        <w:rPr>
          <w:rFonts w:ascii="微软雅黑" w:hAnsi="微软雅黑" w:eastAsia="微软雅黑"/>
          <w:b/>
          <w:color w:val="254061"/>
          <w:sz w:val="20"/>
        </w:rPr>
        <w:t>页面说明：</w:t>
      </w:r>
      <w:r>
        <w:rPr>
          <w:rFonts w:ascii="微软雅黑" w:hAnsi="微软雅黑" w:eastAsia="微软雅黑"/>
          <w:b w:val="0"/>
          <w:sz w:val="20"/>
        </w:rPr>
        <w:t>日志管理用于查看后台账号登录、操作和系统异常相关记录。</w:t>
      </w:r>
    </w:p>
    <w:p w14:paraId="0E6C1E1E">
      <w:pPr>
        <w:pStyle w:val="5"/>
        <w:keepNext/>
        <w:spacing w:before="180" w:after="100" w:line="259" w:lineRule="auto"/>
      </w:pPr>
      <w:r>
        <w:rPr>
          <w:rFonts w:ascii="微软雅黑" w:hAnsi="微软雅黑" w:eastAsia="微软雅黑"/>
          <w:b/>
          <w:color w:val="2F5597"/>
          <w:sz w:val="25"/>
        </w:rPr>
        <w:t>管理员登录日志</w:t>
      </w:r>
    </w:p>
    <w:p>
      <w:pPr>
        <w:pStyle w:val="16"/>
        <w:spacing w:after="60" w:line="276" w:lineRule="auto"/>
      </w:pPr>
      <w:r>
        <w:rPr>
          <w:rFonts w:ascii="微软雅黑" w:hAnsi="微软雅黑" w:eastAsia="微软雅黑"/>
          <w:b/>
          <w:color w:val="2F5597"/>
          <w:sz w:val="20"/>
        </w:rPr>
        <w:t>管理员登录日志</w:t>
      </w:r>
      <w:r>
        <w:rPr>
          <w:rFonts w:ascii="微软雅黑" w:hAnsi="微软雅黑" w:eastAsia="微软雅黑"/>
          <w:b w:val="0"/>
          <w:sz w:val="20"/>
        </w:rPr>
        <w:t>：用于查看后台管理员登录记录。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：按账号、IP、时间或状态筛选，查看登录结果。</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：排查账号安全或异常登录时优先查看本页面。</w:t>
      </w:r>
    </w:p>
    <w:p w14:paraId="2608BA6D">
      <w:pPr>
        <w:pStyle w:val="5"/>
        <w:keepNext/>
        <w:spacing w:before="180" w:after="100" w:line="259" w:lineRule="auto"/>
      </w:pPr>
      <w:r>
        <w:rPr>
          <w:rFonts w:ascii="微软雅黑" w:hAnsi="微软雅黑" w:eastAsia="微软雅黑"/>
          <w:b/>
          <w:color w:val="2F5597"/>
          <w:sz w:val="25"/>
        </w:rPr>
        <w:t>管理员操作日志</w:t>
      </w:r>
    </w:p>
    <w:p>
      <w:pPr>
        <w:pStyle w:val="16"/>
        <w:spacing w:after="60" w:line="276" w:lineRule="auto"/>
      </w:pPr>
      <w:r>
        <w:rPr>
          <w:rFonts w:ascii="微软雅黑" w:hAnsi="微软雅黑" w:eastAsia="微软雅黑"/>
          <w:b/>
          <w:color w:val="2F5597"/>
          <w:sz w:val="20"/>
        </w:rPr>
        <w:t>管理员操作日志</w:t>
      </w:r>
      <w:r>
        <w:rPr>
          <w:rFonts w:ascii="微软雅黑" w:hAnsi="微软雅黑" w:eastAsia="微软雅黑"/>
          <w:b w:val="0"/>
          <w:sz w:val="20"/>
        </w:rPr>
        <w:t>：用于查看后台关键操作记录。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：按账号、模块、操作类型或时间筛选，查看操作详情。</w:t>
      </w:r>
    </w:p>
    <w:p>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：追溯误操作时结合操作时间、操作人和业务页面记录核对。</w:t>
      </w:r>
    </w:p>
    <w:p w14:paraId="2F0E95FE">
      <w:pPr>
        <w:pStyle w:val="5"/>
        <w:keepNext/>
        <w:spacing w:before="180" w:after="100" w:line="259" w:lineRule="auto"/>
      </w:pPr>
      <w:r>
        <w:rPr>
          <w:rFonts w:ascii="微软雅黑" w:hAnsi="微软雅黑" w:eastAsia="微软雅黑"/>
          <w:b/>
          <w:color w:val="2F5597"/>
          <w:sz w:val="25"/>
        </w:rPr>
        <w:t>系统异常日志</w:t>
      </w:r>
    </w:p>
    <w:p>
      <w:pPr>
        <w:pStyle w:val="16"/>
        <w:spacing w:after="60" w:line="276" w:lineRule="auto"/>
      </w:pPr>
      <w:r>
        <w:rPr>
          <w:rFonts w:ascii="微软雅黑" w:hAnsi="微软雅黑" w:eastAsia="微软雅黑"/>
          <w:b/>
          <w:color w:val="2F5597"/>
          <w:sz w:val="20"/>
        </w:rPr>
        <w:t>系统异常日志</w:t>
      </w:r>
      <w:r>
        <w:rPr>
          <w:rFonts w:ascii="微软雅黑" w:hAnsi="微软雅黑" w:eastAsia="微软雅黑"/>
          <w:b w:val="0"/>
          <w:sz w:val="20"/>
        </w:rPr>
        <w:t>：用于查看后台系统异常和接口错误记录。</w:t>
      </w:r>
    </w:p>
    <w:p>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：按时间、模块或异常类型筛选，查看错误信息和处理状态。</w:t>
      </w:r>
    </w:p>
    <w:p>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：用于定位系统问题，必要时将异常信息提供给技术人员排查。</w:t>
      </w:r>
    </w:p>
    <w:p w14:paraId="176988B1">
      <w:pPr>
        <w:pStyle w:val="3"/>
        <w:keepNext/>
        <w:spacing w:before="360" w:after="240" w:line="276" w:lineRule="auto"/>
      </w:pPr>
      <w:r>
        <w:rPr>
          <w:rFonts w:ascii="微软雅黑" w:hAnsi="微软雅黑" w:eastAsia="微软雅黑"/>
          <w:b/>
          <w:color w:val="17365D"/>
          <w:sz w:val="40"/>
        </w:rPr>
        <w:t>十六、典型业务流程</w:t>
      </w:r>
    </w:p>
    <w:p w14:paraId="70BB498F">
      <w:pPr>
        <w:pStyle w:val="4"/>
        <w:keepNext/>
        <w:spacing w:before="240" w:after="140" w:line="269" w:lineRule="auto"/>
      </w:pPr>
      <w:r>
        <w:rPr>
          <w:rFonts w:ascii="微软雅黑" w:hAnsi="微软雅黑" w:eastAsia="微软雅黑"/>
          <w:b/>
          <w:color w:val="1F4E79"/>
          <w:sz w:val="30"/>
        </w:rPr>
        <w:t>新站点上线流程</w:t>
      </w:r>
    </w:p>
    <w:p w14:paraId="1BAF8B9F">
      <w:pPr>
        <w:pStyle w:val="14"/>
        <w:spacing w:after="4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40" w:line="276" w:lineRule="auto"/>
      </w:pPr>
      <w:r>
        <w:rPr>
          <w:rFonts w:ascii="微软雅黑" w:hAnsi="微软雅黑" w:eastAsia="微软雅黑"/>
          <w:b w:val="0"/>
          <w:sz w:val="20"/>
        </w:rPr>
        <w:t>检查首页、登录、充值、客服、活动入口和分享入口。</w:t>
      </w:r>
    </w:p>
    <w:p w14:paraId="168AB731">
      <w:pPr>
        <w:pStyle w:val="14"/>
        <w:spacing w:after="4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color w:val="1F4E79"/>
          <w:sz w:val="30"/>
        </w:rPr>
        <w:t>发布活动流程</w:t>
      </w:r>
    </w:p>
    <w:p w14:paraId="4774C0F3">
      <w:pPr>
        <w:pStyle w:val="14"/>
        <w:spacing w:after="40" w:line="276" w:lineRule="auto"/>
      </w:pPr>
      <w:r>
        <w:rPr>
          <w:rFonts w:ascii="微软雅黑" w:hAnsi="微软雅黑" w:eastAsia="微软雅黑"/>
          <w:b w:val="0"/>
          <w:sz w:val="20"/>
        </w:rPr>
        <w:t>进入优惠活动，创建或编辑活动规则。</w:t>
      </w:r>
    </w:p>
    <w:p w14:paraId="6A3597AD">
      <w:pPr>
        <w:pStyle w:val="14"/>
        <w:spacing w:after="40" w:line="276" w:lineRule="auto"/>
      </w:pPr>
      <w:r>
        <w:rPr>
          <w:rFonts w:ascii="微软雅黑" w:hAnsi="微软雅黑" w:eastAsia="微软雅黑"/>
          <w:b w:val="0"/>
          <w:sz w:val="20"/>
        </w:rPr>
        <w:t>检查活动展示入口、票券或任务关联、预算、领取限制和目标人群。</w:t>
      </w:r>
    </w:p>
    <w:p w14:paraId="5CFFB797">
      <w:pPr>
        <w:pStyle w:val="14"/>
        <w:spacing w:after="4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color w:val="1F4E79"/>
          <w:sz w:val="30"/>
        </w:rPr>
        <w:t>处理提现流程</w:t>
      </w:r>
    </w:p>
    <w:p w14:paraId="5C660526">
      <w:pPr>
        <w:pStyle w:val="14"/>
        <w:spacing w:after="40" w:line="276" w:lineRule="auto"/>
      </w:pPr>
      <w:r>
        <w:rPr>
          <w:rFonts w:ascii="微软雅黑" w:hAnsi="微软雅黑" w:eastAsia="微软雅黑"/>
          <w:b w:val="0"/>
          <w:sz w:val="20"/>
        </w:rPr>
        <w:t>进入财务中心的提现订单列表，筛选待审核或处理中订单。</w:t>
      </w:r>
    </w:p>
    <w:p w14:paraId="3679A577">
      <w:pPr>
        <w:pStyle w:val="14"/>
        <w:spacing w:after="40" w:line="276" w:lineRule="auto"/>
      </w:pPr>
      <w:r>
        <w:rPr>
          <w:rFonts w:ascii="微软雅黑" w:hAnsi="微软雅黑" w:eastAsia="微软雅黑"/>
          <w:b w:val="0"/>
          <w:sz w:val="20"/>
        </w:rPr>
        <w:t>核对会员、金额、账户、打码、风控提示和历史资金记录。</w:t>
      </w:r>
    </w:p>
    <w:p w14:paraId="0A17D8AB">
      <w:pPr>
        <w:pStyle w:val="14"/>
        <w:spacing w:after="4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color w:val="1F4E79"/>
          <w:sz w:val="30"/>
        </w:rPr>
        <w:t>排查用户资金问题</w:t>
      </w:r>
    </w:p>
    <w:p w14:paraId="702E2197">
      <w:pPr>
        <w:pStyle w:val="14"/>
        <w:spacing w:after="40" w:line="276" w:lineRule="auto"/>
      </w:pPr>
      <w:r>
        <w:rPr>
          <w:rFonts w:ascii="微软雅黑" w:hAnsi="微软雅黑" w:eastAsia="微软雅黑"/>
          <w:b w:val="0"/>
          <w:sz w:val="20"/>
        </w:rPr>
        <w:t>进入用户管理定位会员，或进入财务中心账变记录筛选会员账号。</w:t>
      </w:r>
    </w:p>
    <w:p w14:paraId="2B823D5C">
      <w:pPr>
        <w:pStyle w:val="14"/>
        <w:spacing w:after="40" w:line="276" w:lineRule="auto"/>
      </w:pPr>
      <w:r>
        <w:rPr>
          <w:rFonts w:ascii="微软雅黑" w:hAnsi="微软雅黑" w:eastAsia="微软雅黑"/>
          <w:b w:val="0"/>
          <w:sz w:val="20"/>
        </w:rPr>
        <w:t>结合充值订单、提现订单、人工加扣款和账变记录核对完整资金链路。</w:t>
      </w:r>
    </w:p>
    <w:p w14:paraId="76A689A3">
      <w:pPr>
        <w:pStyle w:val="14"/>
        <w:spacing w:after="4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color w:val="1F4E79"/>
          <w:sz w:val="30"/>
        </w:rPr>
        <w:t>查看活动效果</w:t>
      </w:r>
    </w:p>
    <w:p w14:paraId="5E594233">
      <w:pPr>
        <w:pStyle w:val="14"/>
        <w:spacing w:after="40" w:line="276" w:lineRule="auto"/>
      </w:pPr>
      <w:r>
        <w:rPr>
          <w:rFonts w:ascii="微软雅黑" w:hAnsi="微软雅黑" w:eastAsia="微软雅黑"/>
          <w:b w:val="0"/>
          <w:sz w:val="20"/>
        </w:rPr>
        <w:t>固定活动名称、统计时间和渠道范围。</w:t>
      </w:r>
    </w:p>
    <w:p w14:paraId="26F69E7F">
      <w:pPr>
        <w:pStyle w:val="14"/>
        <w:spacing w:after="40" w:line="276" w:lineRule="auto"/>
      </w:pPr>
      <w:r>
        <w:rPr>
          <w:rFonts w:ascii="微软雅黑" w:hAnsi="微软雅黑" w:eastAsia="微软雅黑"/>
          <w:b w:val="0"/>
          <w:sz w:val="20"/>
        </w:rPr>
        <w:t>查看优惠活动、数据报表中的活动相关报表。</w:t>
      </w:r>
    </w:p>
    <w:p w14:paraId="65D27FAC">
      <w:pPr>
        <w:pStyle w:val="14"/>
        <w:spacing w:after="4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color w:val="17365D"/>
          <w:sz w:val="40"/>
        </w:rPr>
        <w:t>十七、常见问题与排查</w:t>
      </w:r>
    </w:p>
    <w:p w14:paraId="43636AFA">
      <w:pPr>
        <w:pStyle w:val="4"/>
        <w:keepNext/>
        <w:spacing w:before="240" w:after="140" w:line="269" w:lineRule="auto"/>
      </w:pPr>
      <w:r>
        <w:rPr>
          <w:rFonts w:ascii="微软雅黑" w:hAnsi="微软雅黑" w:eastAsia="微软雅黑"/>
          <w:b/>
          <w:color w:val="1F4E79"/>
          <w:sz w:val="30"/>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color w:val="1F4E79"/>
          <w:sz w:val="30"/>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color w:val="1F4E79"/>
          <w:sz w:val="30"/>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color w:val="1F4E79"/>
          <w:sz w:val="30"/>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color w:val="1F4E79"/>
          <w:sz w:val="30"/>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color w:val="1F4E79"/>
          <w:sz w:val="30"/>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 w14:paraId="393E9EBB">
      <w:pPr>
        <w:spacing w:after="100" w:line="276" w:lineRule="auto"/>
      </w:pPr>
    </w:p>
    <w:p w14:paraId="66682869"/>
    <w:p w14:paraId="6C6D7087"/>
    <w:p w14:paraId="688758C8">
      <w:pPr>
        <w:spacing w:after="120"/>
      </w:pPr>
    </w:p>
    <w:p w14:paraId="1F15235A">
      <w:pPr>
        <w:spacing w:after="60" w:line="269" w:lineRule="auto"/>
      </w:pPr>
    </w:p>
    <w:p w14:paraId="195A08DA">
      <w:pPr>
        <w:spacing w:after="60" w:line="269" w:lineRule="auto"/>
      </w:pPr>
    </w:p>
    <w:p w14:paraId="63F9AA70">
      <w:pPr>
        <w:spacing w:after="60" w:line="269" w:lineRule="auto"/>
      </w:pPr>
    </w:p>
    <w:p w14:paraId="67B79A75">
      <w:pPr>
        <w:spacing w:after="60" w:line="269" w:lineRule="auto"/>
      </w:pPr>
    </w:p>
    <w:p w14:paraId="2F8803BA"/>
    <w:p w14:paraId="2F99EF47"/>
    <w:p w14:paraId="5D28C9C9">
      <w:pPr>
        <w:spacing w:after="120"/>
      </w:pPr>
    </w:p>
    <w:p w14:paraId="07C27F22"/>
    <w:p w14:paraId="2CF4C6E7">
      <w:pPr>
        <w:spacing w:after="120"/>
      </w:pPr>
    </w:p>
    <w:p w14:paraId="4A03717D">
      <w:pPr>
        <w:spacing w:after="60" w:line="269" w:lineRule="auto"/>
      </w:pPr>
    </w:p>
    <w:p w14:paraId="4BA85CEB">
      <w:pPr>
        <w:spacing w:after="60" w:line="269" w:lineRule="auto"/>
      </w:pPr>
    </w:p>
    <w:p w14:paraId="3D2D3864">
      <w:pPr>
        <w:spacing w:after="60" w:line="269" w:lineRule="auto"/>
      </w:pPr>
    </w:p>
    <w:p w14:paraId="197A029B">
      <w:pPr>
        <w:spacing w:after="60" w:line="269" w:lineRule="auto"/>
      </w:pPr>
    </w:p>
    <w:p w14:paraId="252F9DAA"/>
    <w:p w14:paraId="544BBD31"/>
    <w:p w14:paraId="11F5B84E">
      <w:pPr>
        <w:spacing w:after="120"/>
      </w:pPr>
    </w:p>
    <w:p w14:paraId="3C7FC679">
      <w:pPr>
        <w:spacing w:after="60" w:line="269" w:lineRule="auto"/>
      </w:pPr>
    </w:p>
    <w:p w14:paraId="49223AEC">
      <w:pPr>
        <w:spacing w:after="60" w:line="269" w:lineRule="auto"/>
      </w:pPr>
    </w:p>
    <w:p w14:paraId="7F1AE6FA">
      <w:pPr>
        <w:spacing w:after="60" w:line="269" w:lineRule="auto"/>
      </w:pPr>
    </w:p>
    <w:p w14:paraId="5F88A574"/>
    <w:p w14:paraId="42B7D96E"/>
    <w:p w14:paraId="6BBD660E">
      <w:pPr>
        <w:spacing w:after="120"/>
      </w:pPr>
    </w:p>
    <w:p w14:paraId="5E7B1FD9">
      <w:pPr>
        <w:spacing w:after="60" w:line="269" w:lineRule="auto"/>
      </w:pPr>
    </w:p>
    <w:p w14:paraId="11615F03">
      <w:pPr>
        <w:spacing w:after="60" w:line="269" w:lineRule="auto"/>
      </w:pPr>
    </w:p>
    <w:p w14:paraId="10128A2D">
      <w:pPr>
        <w:spacing w:after="60" w:line="269" w:lineRule="auto"/>
      </w:pPr>
    </w:p>
    <w:p w14:paraId="3A3C4D99">
      <w:pPr>
        <w:spacing w:after="60" w:line="269" w:lineRule="auto"/>
      </w:pPr>
    </w:p>
    <w:p w14:paraId="3C8BE310">
      <w:pPr>
        <w:spacing w:after="60" w:line="269" w:lineRule="auto"/>
      </w:pPr>
    </w:p>
    <w:p w14:paraId="0FAD7D55"/>
    <w:p w14:paraId="6FB94385">
      <w:pPr>
        <w:spacing w:after="60" w:line="269" w:lineRule="auto"/>
      </w:pPr>
    </w:p>
    <w:p w14:paraId="1A374389">
      <w:pPr>
        <w:spacing w:after="60" w:line="269" w:lineRule="auto"/>
      </w:pPr>
    </w:p>
    <w:p w14:paraId="0807081C">
      <w:pPr>
        <w:spacing w:after="60" w:line="269" w:lineRule="auto"/>
      </w:pPr>
    </w:p>
    <w:p w14:paraId="35D19F87">
      <w:pPr>
        <w:spacing w:after="60" w:line="276" w:lineRule="auto"/>
      </w:pPr>
    </w:p>
    <w:p w14:paraId="7D4C4EB7">
      <w:pPr>
        <w:spacing w:after="100"/>
      </w:pPr>
    </w:p>
    <w:p w14:paraId="7739DEB5">
      <w:pPr>
        <w:spacing w:after="40"/>
      </w:pPr>
    </w:p>
    <w:p w14:paraId="0C481A95">
      <w:pPr>
        <w:spacing w:after="120"/>
      </w:pPr>
    </w:p>
    <w:p w14:paraId="4634F96F">
      <w:pPr>
        <w:spacing w:after="60" w:line="276" w:lineRule="auto"/>
      </w:pPr>
    </w:p>
    <w:p w14:paraId="3FA6B5A7">
      <w:pPr>
        <w:spacing w:after="60" w:line="276" w:lineRule="auto"/>
      </w:pPr>
    </w:p>
    <w:p w14:paraId="26B0048B">
      <w:pPr>
        <w:spacing w:after="60" w:line="276" w:lineRule="auto"/>
      </w:pPr>
    </w:p>
    <w:p w14:paraId="42262274">
      <w:pPr>
        <w:spacing w:after="100"/>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100"/>
      </w:pPr>
    </w:p>
    <w:p w14:paraId="21057CBB">
      <w:pPr>
        <w:spacing w:after="40"/>
      </w:pPr>
    </w:p>
    <w:p w14:paraId="79292A2A">
      <w:pPr>
        <w:spacing w:after="120"/>
      </w:pPr>
    </w:p>
    <w:p w14:paraId="072D6B6F">
      <w:pPr>
        <w:spacing w:after="60" w:line="269" w:lineRule="auto"/>
      </w:pPr>
    </w:p>
    <w:p w14:paraId="0B8A5A98">
      <w:pPr>
        <w:spacing w:after="60" w:line="269" w:lineRule="auto"/>
      </w:pPr>
    </w:p>
    <w:p w14:paraId="06403F2C">
      <w:pPr>
        <w:spacing w:after="60" w:line="269" w:lineRule="auto"/>
      </w:pPr>
    </w:p>
    <w:p w14:paraId="205CB57D">
      <w:pPr>
        <w:spacing w:after="60" w:line="269" w:lineRule="auto"/>
      </w:pPr>
    </w:p>
    <w:p w14:paraId="6CF15502">
      <w:pPr>
        <w:spacing w:after="60" w:line="269" w:lineRule="auto"/>
      </w:pPr>
    </w:p>
    <w:p w14:paraId="696BB553">
      <w:pPr>
        <w:spacing w:after="100"/>
      </w:pPr>
    </w:p>
    <w:p w14:paraId="126506A2">
      <w:pPr>
        <w:spacing w:after="40"/>
      </w:pPr>
    </w:p>
    <w:p w14:paraId="7DC09688">
      <w:pPr>
        <w:spacing w:after="120"/>
      </w:pPr>
    </w:p>
    <w:p w14:paraId="2E3FD6D3">
      <w:pPr>
        <w:spacing w:after="60" w:line="269" w:lineRule="auto"/>
      </w:pPr>
    </w:p>
    <w:p w14:paraId="4647978B">
      <w:pPr>
        <w:spacing w:after="60" w:line="269" w:lineRule="auto"/>
      </w:pPr>
    </w:p>
    <w:p w14:paraId="54E152BC">
      <w:pPr>
        <w:spacing w:after="60" w:line="269" w:lineRule="auto"/>
      </w:pPr>
    </w:p>
    <w:p w14:paraId="23317F21">
      <w:pPr>
        <w:spacing w:after="60" w:line="269" w:lineRule="auto"/>
      </w:pPr>
    </w:p>
    <w:p w14:paraId="2EE7C924">
      <w:pPr>
        <w:spacing w:after="100"/>
      </w:pPr>
    </w:p>
    <w:p w14:paraId="1DC44322">
      <w:pPr>
        <w:spacing w:after="40"/>
      </w:pPr>
    </w:p>
    <w:p w14:paraId="7B062477">
      <w:pPr>
        <w:spacing w:after="120"/>
      </w:pPr>
    </w:p>
    <w:p w14:paraId="4CCA95E9">
      <w:pPr>
        <w:spacing w:after="60" w:line="269" w:lineRule="auto"/>
      </w:pPr>
    </w:p>
    <w:p w14:paraId="4A0D200E">
      <w:pPr>
        <w:spacing w:after="60" w:line="269" w:lineRule="auto"/>
      </w:pPr>
    </w:p>
    <w:p w14:paraId="451DAF78">
      <w:pPr>
        <w:spacing w:after="60" w:line="269" w:lineRule="auto"/>
      </w:pPr>
    </w:p>
    <w:p w14:paraId="7A542EB3">
      <w:pPr>
        <w:spacing w:after="60" w:line="269" w:lineRule="auto"/>
      </w:pPr>
    </w:p>
    <w:p w14:paraId="03D43E26">
      <w:pPr>
        <w:spacing w:after="100"/>
      </w:pPr>
    </w:p>
    <w:p w14:paraId="7E59604B">
      <w:pPr>
        <w:spacing w:after="40"/>
      </w:pPr>
    </w:p>
    <w:p w14:paraId="17FCF476">
      <w:pPr>
        <w:spacing w:after="120"/>
      </w:pPr>
    </w:p>
    <w:p w14:paraId="54F2CC82">
      <w:pPr>
        <w:spacing w:after="60" w:line="269" w:lineRule="auto"/>
      </w:pPr>
    </w:p>
    <w:p w14:paraId="143085A7">
      <w:pPr>
        <w:spacing w:after="60" w:line="269" w:lineRule="auto"/>
      </w:pPr>
    </w:p>
    <w:p w14:paraId="56795024">
      <w:pPr>
        <w:spacing w:after="60" w:line="269" w:lineRule="auto"/>
      </w:pPr>
    </w:p>
    <w:p w14:paraId="3FCC45A5">
      <w:pPr>
        <w:spacing w:after="60" w:line="269" w:lineRule="auto"/>
      </w:pPr>
    </w:p>
    <w:p w14:paraId="70494047">
      <w:pPr>
        <w:spacing w:after="100"/>
      </w:pPr>
    </w:p>
    <w:p w14:paraId="0BC82775">
      <w:pPr>
        <w:spacing w:after="60" w:line="269" w:lineRule="auto"/>
      </w:pPr>
    </w:p>
    <w:p w14:paraId="0BB6FE11">
      <w:pPr>
        <w:spacing w:after="60" w:line="269" w:lineRule="auto"/>
      </w:pPr>
    </w:p>
    <w:p w14:paraId="3A6073B9">
      <w:pPr>
        <w:spacing w:after="60" w:line="269" w:lineRule="auto"/>
      </w:pPr>
    </w:p>
    <w:p w14:paraId="2B845291">
      <w:pPr>
        <w:spacing w:after="60" w:line="276" w:lineRule="auto"/>
      </w:pPr>
    </w:p>
    <w:p w14:paraId="0DA87E22">
      <w:pPr>
        <w:spacing w:after="100"/>
      </w:pPr>
    </w:p>
    <w:p w14:paraId="1B6845EA">
      <w:pPr>
        <w:spacing w:after="40"/>
      </w:pPr>
    </w:p>
    <w:p w14:paraId="4F30D84F">
      <w:pPr>
        <w:spacing w:after="120"/>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100"/>
      </w:pPr>
    </w:p>
    <w:p w14:paraId="42B32885">
      <w:pPr>
        <w:spacing w:after="40"/>
      </w:pPr>
    </w:p>
    <w:p w14:paraId="4D292919">
      <w:pPr>
        <w:spacing w:after="120"/>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100"/>
      </w:pPr>
    </w:p>
    <w:p w14:paraId="51BF3E65">
      <w:pPr>
        <w:spacing w:after="40"/>
      </w:pPr>
    </w:p>
    <w:p w14:paraId="00DEBB6E">
      <w:pPr>
        <w:spacing w:after="120"/>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100"/>
      </w:pPr>
    </w:p>
    <w:p w14:paraId="530B1821">
      <w:pPr>
        <w:spacing w:after="40"/>
      </w:pPr>
    </w:p>
    <w:p w14:paraId="0F032AB3">
      <w:pPr>
        <w:spacing w:after="120"/>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100"/>
      </w:pPr>
    </w:p>
    <w:p w14:paraId="1376ABFA">
      <w:pPr>
        <w:spacing w:after="40"/>
      </w:pPr>
    </w:p>
    <w:p w14:paraId="580A02B7">
      <w:pPr>
        <w:spacing w:after="120"/>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100"/>
      </w:pPr>
    </w:p>
    <w:p w14:paraId="41EA98B1">
      <w:pPr>
        <w:spacing w:after="40"/>
      </w:pPr>
    </w:p>
    <w:p w14:paraId="390F1DD9">
      <w:pPr>
        <w:spacing w:after="120"/>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40"/>
      </w:pPr>
    </w:p>
    <w:p w14:paraId="1085B1FC">
      <w:pPr>
        <w:spacing w:after="120"/>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100"/>
      </w:pPr>
    </w:p>
    <w:p w14:paraId="3B3403BE">
      <w:pPr>
        <w:spacing w:after="40"/>
      </w:pPr>
    </w:p>
    <w:p w14:paraId="0C6B7BF7">
      <w:pPr>
        <w:spacing w:after="120"/>
      </w:pPr>
    </w:p>
    <w:p w14:paraId="0C0E1EFD">
      <w:pPr>
        <w:spacing w:after="60" w:line="276" w:lineRule="auto"/>
      </w:pPr>
    </w:p>
    <w:p w14:paraId="6972E727">
      <w:pPr>
        <w:spacing w:after="60" w:line="276" w:lineRule="auto"/>
      </w:pPr>
    </w:p>
    <w:p w14:paraId="04354D13">
      <w:pPr>
        <w:spacing w:after="60" w:line="276" w:lineRule="auto"/>
      </w:pPr>
    </w:p>
    <w:p w14:paraId="2FE9BE7E">
      <w:pPr>
        <w:spacing w:after="100"/>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100"/>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100"/>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100"/>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100"/>
      </w:pPr>
    </w:p>
    <w:p w14:paraId="57E48406">
      <w:pPr>
        <w:spacing w:after="60" w:line="276" w:lineRule="auto"/>
      </w:pPr>
    </w:p>
    <w:p w14:paraId="7DF8D061">
      <w:pPr>
        <w:spacing w:after="60" w:line="276" w:lineRule="auto"/>
      </w:pPr>
    </w:p>
    <w:p w14:paraId="5CB46794">
      <w:pPr>
        <w:spacing w:after="60" w:line="276" w:lineRule="auto"/>
      </w:pPr>
    </w:p>
    <w:p w14:paraId="0E3EA809">
      <w:pPr>
        <w:spacing w:after="100"/>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100"/>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100"/>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100"/>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100"/>
      </w:pPr>
    </w:p>
    <w:p w14:paraId="189FF565">
      <w:pPr>
        <w:spacing w:after="40"/>
      </w:pPr>
    </w:p>
    <w:p w14:paraId="1A9B1709">
      <w:pPr>
        <w:spacing w:after="120"/>
      </w:pPr>
    </w:p>
    <w:p w14:paraId="78ABB238">
      <w:pPr>
        <w:spacing w:after="60" w:line="276" w:lineRule="auto"/>
      </w:pPr>
    </w:p>
    <w:p w14:paraId="168340E3">
      <w:pPr>
        <w:spacing w:after="60" w:line="276" w:lineRule="auto"/>
      </w:pPr>
    </w:p>
    <w:p w14:paraId="78D7AB2C">
      <w:pPr>
        <w:spacing w:after="60" w:line="276" w:lineRule="auto"/>
      </w:pPr>
    </w:p>
    <w:p w14:paraId="7E857B9D">
      <w:pPr>
        <w:spacing w:after="100"/>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100"/>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100"/>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100"/>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100"/>
      </w:pPr>
    </w:p>
    <w:p w14:paraId="1584DDC3">
      <w:pPr>
        <w:spacing w:after="40"/>
      </w:pPr>
    </w:p>
    <w:p w14:paraId="2D9ABFA4">
      <w:pPr>
        <w:spacing w:after="120"/>
      </w:pPr>
    </w:p>
    <w:p w14:paraId="7F0F1586">
      <w:pPr>
        <w:spacing w:after="60" w:line="276" w:lineRule="auto"/>
      </w:pPr>
    </w:p>
    <w:p w14:paraId="6E9E547C">
      <w:pPr>
        <w:spacing w:after="60" w:line="276" w:lineRule="auto"/>
      </w:pPr>
    </w:p>
    <w:p w14:paraId="07049432">
      <w:pPr>
        <w:spacing w:after="60" w:line="276" w:lineRule="auto"/>
      </w:pPr>
    </w:p>
    <w:p w14:paraId="348CBFC0">
      <w:pPr>
        <w:spacing w:after="100"/>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100"/>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100"/>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100"/>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pPr>
        <w:spacing w:after="60" w:line="276" w:lineRule="auto"/>
      </w:pPr>
    </w:p>
    <w:p>
      <w:pPr>
        <w:spacing w:after="100"/>
      </w:pPr>
    </w:p>
    <w:p>
      <w:pPr>
        <w:spacing w:after="40"/>
      </w:pPr>
    </w:p>
    <w:p>
      <w:pPr>
        <w:spacing w:after="120"/>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10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40"/>
      </w:pPr>
    </w:p>
    <w:p>
      <w:pPr>
        <w:spacing w:after="120"/>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p>
      <w:pPr>
        <w:spacing w:after="60" w:line="276" w:lineRule="auto"/>
      </w:pP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956E55"/>
    <w:rsid w:val="068766C3"/>
    <w:rsid w:val="0FFB4C2D"/>
    <w:rsid w:val="15F63412"/>
    <w:rsid w:val="18FA3DCE"/>
    <w:rsid w:val="1E20265C"/>
    <w:rsid w:val="259865AB"/>
    <w:rsid w:val="308E051A"/>
    <w:rsid w:val="38A20FFB"/>
    <w:rsid w:val="3AEF22C6"/>
    <w:rsid w:val="4E892E94"/>
    <w:rsid w:val="4F407994"/>
    <w:rsid w:val="578C750D"/>
    <w:rsid w:val="61DB474F"/>
    <w:rsid w:val="6E5F3FAE"/>
    <w:rsid w:val="79F022DC"/>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17365D"/>
      <w:sz w:val="40"/>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1F4E79"/>
      <w:sz w:val="30"/>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5"/>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44546A"/>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customXml" Target="../customXml/item1.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57</Pages>
  <Words>18216</Words>
  <Characters>19144</Characters>
  <Lines>0</Lines>
  <Paragraphs>0</Paragraphs>
  <TotalTime>7</TotalTime>
  <ScaleCrop>false</ScaleCrop>
  <LinksUpToDate>false</LinksUpToDate>
  <CharactersWithSpaces>19374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2026-06-08T07:32:09Z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