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会员提现设置</w:t>
      </w:r>
    </w:p>
    <w:p>
      <w:pPr>
        <w:pStyle w:val="16"/>
        <w:spacing w:after="60" w:line="276" w:lineRule="auto"/>
      </w:pPr>
      <w:r>
        <w:rPr>
          <w:rFonts w:ascii="Microsoft YaHei" w:hAnsi="Microsoft YaHei" w:eastAsia="Microsoft YaHei"/>
          <w:b/>
          <w:color w:val="2F5597"/>
          <w:sz w:val="20"/>
        </w:rPr>
        <w:t>页面说明</w:t>
      </w:r>
      <w:r>
        <w:rPr>
          <w:rFonts w:ascii="Microsoft YaHei" w:hAnsi="Microsoft YaHei" w:eastAsia="Microsoft YaHei"/>
          <w:b w:val="0"/>
          <w:sz w:val="20"/>
        </w:rPr>
        <w:t>：会员提现设置用于维护会员提现规则、出款限制与审核相关参数，图1展示主表，图2展示修改弹窗，后续图片对应主表按钮打开的说明弹窗或配置弹窗。</w:t>
      </w:r>
    </w:p>
    <w:p>
      <w:pPr>
        <w:pStyle w:val="16"/>
        <w:spacing w:after="60" w:line="276" w:lineRule="auto"/>
      </w:pPr>
      <w:r>
        <w:rPr>
          <w:rFonts w:ascii="Microsoft YaHei" w:hAnsi="Microsoft YaHei" w:eastAsia="Microsoft YaHei"/>
          <w:b/>
          <w:color w:val="2F5597"/>
          <w:sz w:val="20"/>
        </w:rPr>
        <w:t>图1主表</w:t>
      </w:r>
      <w:r>
        <w:rPr>
          <w:rFonts w:ascii="Microsoft YaHei" w:hAnsi="Microsoft YaHei" w:eastAsia="Microsoft YaHei"/>
          <w:b w:val="0"/>
          <w:sz w:val="20"/>
        </w:rPr>
        <w:t>：主表用于集中查看当前提现规则的配置结果，通常可直接核对站点、币种、提现方式、限额区间、手续费、状态和最后更新时间等信息，并通过操作列进入修改或查看关联弹窗。</w:t>
      </w:r>
    </w:p>
    <w:p>
      <w:pPr>
        <w:pStyle w:val="16"/>
        <w:spacing w:after="60" w:line="276" w:lineRule="auto"/>
      </w:pPr>
      <w:r>
        <w:rPr>
          <w:rFonts w:ascii="Microsoft YaHei" w:hAnsi="Microsoft YaHei" w:eastAsia="Microsoft YaHei"/>
          <w:b/>
          <w:color w:val="2F5597"/>
          <w:sz w:val="20"/>
        </w:rPr>
        <w:t>筛选与列表</w:t>
      </w:r>
      <w:r>
        <w:rPr>
          <w:rFonts w:ascii="Microsoft YaHei" w:hAnsi="Microsoft YaHei" w:eastAsia="Microsoft YaHei"/>
          <w:b w:val="0"/>
          <w:sz w:val="20"/>
        </w:rPr>
        <w:t>：如主表顶部提供站点、状态或提现方式等筛选项，可先按条件缩小范围后再执行搜索；列表字段应重点核对单笔最小/最大提现金额、每日提现次数、手续费规则、稽核条件和启停状态是否符合当前出款口径。</w:t>
      </w:r>
    </w:p>
    <w:p>
      <w:pPr>
        <w:pStyle w:val="16"/>
        <w:spacing w:after="60" w:line="276" w:lineRule="auto"/>
      </w:pPr>
      <w:r>
        <w:rPr>
          <w:rFonts w:ascii="Microsoft YaHei" w:hAnsi="Microsoft YaHei" w:eastAsia="Microsoft YaHei"/>
          <w:b/>
          <w:color w:val="2F5597"/>
          <w:sz w:val="20"/>
        </w:rPr>
        <w:t>图2修改弹窗</w:t>
      </w:r>
      <w:r>
        <w:rPr>
          <w:rFonts w:ascii="Microsoft YaHei" w:hAnsi="Microsoft YaHei" w:eastAsia="Microsoft YaHei"/>
          <w:b w:val="0"/>
          <w:sz w:val="20"/>
        </w:rPr>
        <w:t>：修改弹窗用于维护当前提现规则的核心参数，按页面从上到下依次填写或复核提现金额范围、每日次数、手续费收取方式、稽核倍数、审核条件、到账限制、备注和状态开关，确认无误后再保存。</w:t>
      </w:r>
    </w:p>
    <w:p>
      <w:pPr>
        <w:pStyle w:val="16"/>
        <w:spacing w:after="60" w:line="276" w:lineRule="auto"/>
      </w:pPr>
      <w:r>
        <w:rPr>
          <w:rFonts w:ascii="Microsoft YaHei" w:hAnsi="Microsoft YaHei" w:eastAsia="Microsoft YaHei"/>
          <w:b/>
          <w:color w:val="2F5597"/>
          <w:sz w:val="20"/>
        </w:rPr>
        <w:t>金额与次数</w:t>
      </w:r>
      <w:r>
        <w:rPr>
          <w:rFonts w:ascii="Microsoft YaHei" w:hAnsi="Microsoft YaHei" w:eastAsia="Microsoft YaHei"/>
          <w:b w:val="0"/>
          <w:sz w:val="20"/>
        </w:rPr>
        <w:t>：调整金额区间或次数限制时，应同时考虑前台提现体验、财务出款效率与风险控制要求；如存在单笔上限、单日上限、免费提现次数或超次收费规则，应按弹窗中的字段分别维护，避免只改其中一项导致口径不一致。</w:t>
      </w:r>
    </w:p>
    <w:p>
      <w:pPr>
        <w:pStyle w:val="16"/>
        <w:spacing w:after="60" w:line="276" w:lineRule="auto"/>
      </w:pPr>
      <w:r>
        <w:rPr>
          <w:rFonts w:ascii="Microsoft YaHei" w:hAnsi="Microsoft YaHei" w:eastAsia="Microsoft YaHei"/>
          <w:b/>
          <w:color w:val="2F5597"/>
          <w:sz w:val="20"/>
        </w:rPr>
        <w:t>手续费与稽核</w:t>
      </w:r>
      <w:r>
        <w:rPr>
          <w:rFonts w:ascii="Microsoft YaHei" w:hAnsi="Microsoft YaHei" w:eastAsia="Microsoft YaHei"/>
          <w:b w:val="0"/>
          <w:sz w:val="20"/>
        </w:rPr>
        <w:t>：涉及手续费、行政费、稽核倍数或流水校验的字段时，应明确收费触发条件、扣费方式和未达条件时的处理结果；保存前建议结合财务中心的提现审核和打码管理口径再次复核。</w:t>
      </w:r>
    </w:p>
    <w:p>
      <w:pPr>
        <w:pStyle w:val="16"/>
        <w:spacing w:after="60" w:line="276" w:lineRule="auto"/>
      </w:pPr>
      <w:r>
        <w:rPr>
          <w:rFonts w:ascii="Microsoft YaHei" w:hAnsi="Microsoft YaHei" w:eastAsia="Microsoft YaHei"/>
          <w:b/>
          <w:color w:val="2F5597"/>
          <w:sz w:val="20"/>
        </w:rPr>
        <w:t>按钮弹窗</w:t>
      </w:r>
      <w:r>
        <w:rPr>
          <w:rFonts w:ascii="Microsoft YaHei" w:hAnsi="Microsoft YaHei" w:eastAsia="Microsoft YaHei"/>
          <w:b w:val="0"/>
          <w:sz w:val="20"/>
        </w:rPr>
        <w:t>：图2之后的按钮弹窗用于说明某个规则项的详细配置、查看条件说明或执行确认操作；进入此类弹窗后，应重点确认弹窗标题、当前规则归属、字段是否只影响当前配置以及确认按钮提交后的生效范围。</w:t>
      </w:r>
    </w:p>
    <w:p>
      <w:pPr>
        <w:pStyle w:val="16"/>
        <w:spacing w:after="60" w:line="276" w:lineRule="auto"/>
      </w:pPr>
      <w:r>
        <w:rPr>
          <w:rFonts w:ascii="Microsoft YaHei" w:hAnsi="Microsoft YaHei" w:eastAsia="Microsoft YaHei"/>
          <w:b/>
          <w:color w:val="2F5597"/>
          <w:sz w:val="20"/>
        </w:rPr>
        <w:t>使用要点</w:t>
      </w:r>
      <w:r>
        <w:rPr>
          <w:rFonts w:ascii="Microsoft YaHei" w:hAnsi="Microsoft YaHei" w:eastAsia="Microsoft YaHei"/>
          <w:b w:val="0"/>
          <w:sz w:val="20"/>
        </w:rPr>
        <w:t>：提现规则变更会直接影响会员申请提现、风控审核与财务出款结果，调整后应同步检查提现订单列表中的审核口径是否一致；对于涉及状态停用、限额收紧或收费上调的修改，建议在业务低峰期处理并保留变更说明。</w:t>
      </w:r>
    </w:p>
    <w:p w14:paraId="56BB1826">
      <w:r>
        <w:drawing>
          <wp:inline distT="0" distB="0" distL="114300" distR="114300">
            <wp:extent cx="6387465" cy="2023110"/>
            <wp:effectExtent l="0" t="0" r="13335" b="1524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60"/>
                    <a:stretch>
                      <a:fillRect/>
                    </a:stretch>
                  </pic:blipFill>
                  <pic:spPr>
                    <a:xfrm>
                      <a:off x="0" y="0"/>
                      <a:ext cx="6387465" cy="2023110"/>
                    </a:xfrm>
                    <a:prstGeom prst="rect">
                      <a:avLst/>
                    </a:prstGeom>
                    <a:noFill/>
                    <a:ln>
                      <a:noFill/>
                    </a:ln>
                  </pic:spPr>
                </pic:pic>
              </a:graphicData>
            </a:graphic>
          </wp:inline>
        </w:drawing>
      </w:r>
    </w:p>
    <w:p w14:paraId="71B6883D">
      <w:r>
        <w:drawing>
          <wp:inline distT="0" distB="0" distL="114300" distR="114300">
            <wp:extent cx="3403600" cy="4997450"/>
            <wp:effectExtent l="0" t="0" r="6350" b="1270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61"/>
                    <a:stretch>
                      <a:fillRect/>
                    </a:stretch>
                  </pic:blipFill>
                  <pic:spPr>
                    <a:xfrm>
                      <a:off x="0" y="0"/>
                      <a:ext cx="3403600" cy="4997450"/>
                    </a:xfrm>
                    <a:prstGeom prst="rect">
                      <a:avLst/>
                    </a:prstGeom>
                    <a:noFill/>
                    <a:ln>
                      <a:noFill/>
                    </a:ln>
                  </pic:spPr>
                </pic:pic>
              </a:graphicData>
            </a:graphic>
          </wp:inline>
        </w:drawing>
      </w:r>
    </w:p>
    <w:p w14:paraId="2764D172">
      <w:r>
        <w:drawing>
          <wp:inline distT="0" distB="0" distL="114300" distR="114300">
            <wp:extent cx="6398895" cy="3742690"/>
            <wp:effectExtent l="0" t="0" r="1905" b="1016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62"/>
                    <a:stretch>
                      <a:fillRect/>
                    </a:stretch>
                  </pic:blipFill>
                  <pic:spPr>
                    <a:xfrm>
                      <a:off x="0" y="0"/>
                      <a:ext cx="6398895" cy="3742690"/>
                    </a:xfrm>
                    <a:prstGeom prst="rect">
                      <a:avLst/>
                    </a:prstGeom>
                    <a:noFill/>
                    <a:ln>
                      <a:noFill/>
                    </a:ln>
                  </pic:spPr>
                </pic:pic>
              </a:graphicData>
            </a:graphic>
          </wp:inline>
        </w:drawing>
      </w:r>
      <w:r>
        <w:drawing>
          <wp:inline distT="0" distB="0" distL="114300" distR="114300">
            <wp:extent cx="6398260" cy="5485130"/>
            <wp:effectExtent l="0" t="0" r="2540" b="1270"/>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63"/>
                    <a:stretch>
                      <a:fillRect/>
                    </a:stretch>
                  </pic:blipFill>
                  <pic:spPr>
                    <a:xfrm>
                      <a:off x="0" y="0"/>
                      <a:ext cx="6398260" cy="5485130"/>
                    </a:xfrm>
                    <a:prstGeom prst="rect">
                      <a:avLst/>
                    </a:prstGeom>
                    <a:noFill/>
                    <a:ln>
                      <a:noFill/>
                    </a:ln>
                  </pic:spPr>
                </pic:pic>
              </a:graphicData>
            </a:graphic>
          </wp:inline>
        </w:drawing>
      </w:r>
      <w:r>
        <w:drawing>
          <wp:inline distT="0" distB="0" distL="114300" distR="114300">
            <wp:extent cx="6396990" cy="4758055"/>
            <wp:effectExtent l="0" t="0" r="3810" b="4445"/>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64"/>
                    <a:stretch>
                      <a:fillRect/>
                    </a:stretch>
                  </pic:blipFill>
                  <pic:spPr>
                    <a:xfrm>
                      <a:off x="0" y="0"/>
                      <a:ext cx="6396990" cy="4758055"/>
                    </a:xfrm>
                    <a:prstGeom prst="rect">
                      <a:avLst/>
                    </a:prstGeom>
                    <a:noFill/>
                    <a:ln>
                      <a:noFill/>
                    </a:ln>
                  </pic:spPr>
                </pic:pic>
              </a:graphicData>
            </a:graphic>
          </wp:inline>
        </w:drawing>
      </w:r>
      <w:bookmarkStart w:id="0" w:name="_GoBack"/>
      <w:bookmarkEnd w:id="0"/>
    </w:p>
    <w:p w14:paraId="233CA22C">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会员充值配置</w:t>
      </w:r>
    </w:p>
    <w:p>
      <w:pPr>
        <w:pStyle w:val="16"/>
        <w:spacing w:after="60" w:line="276" w:lineRule="auto"/>
      </w:pPr>
      <w:r>
        <w:rPr>
          <w:rFonts w:ascii="Microsoft YaHei" w:hAnsi="Microsoft YaHei" w:eastAsia="Microsoft YaHei"/>
          <w:b/>
          <w:color w:val="2F5597"/>
          <w:sz w:val="20"/>
        </w:rPr>
        <w:t>页面说明</w:t>
      </w:r>
      <w:r>
        <w:rPr>
          <w:rFonts w:ascii="Microsoft YaHei" w:hAnsi="Microsoft YaHei" w:eastAsia="Microsoft YaHei"/>
          <w:b w:val="0"/>
          <w:sz w:val="20"/>
        </w:rPr>
        <w:t>：会员充值配置用于维护会员充值入口、金额档位和前台展示规则，图1展示主表，图2展示修改弹窗，后续图片对应主表按钮打开的说明弹窗或配置弹窗。</w:t>
      </w:r>
    </w:p>
    <w:p>
      <w:pPr>
        <w:pStyle w:val="16"/>
        <w:spacing w:after="60" w:line="276" w:lineRule="auto"/>
      </w:pPr>
      <w:r>
        <w:rPr>
          <w:rFonts w:ascii="Microsoft YaHei" w:hAnsi="Microsoft YaHei" w:eastAsia="Microsoft YaHei"/>
          <w:b/>
          <w:color w:val="2F5597"/>
          <w:sz w:val="20"/>
        </w:rPr>
        <w:t>图1主表</w:t>
      </w:r>
      <w:r>
        <w:rPr>
          <w:rFonts w:ascii="Microsoft YaHei" w:hAnsi="Microsoft YaHei" w:eastAsia="Microsoft YaHei"/>
          <w:b w:val="0"/>
          <w:sz w:val="20"/>
        </w:rPr>
        <w:t>：主表用于集中查看当前充值配置的启用情况，通常可核对站点、币种、充值方式、金额档位、赠送或优惠提示、状态和更新时间等信息，并通过操作列进入修改或查看详情。</w:t>
      </w:r>
    </w:p>
    <w:p>
      <w:pPr>
        <w:pStyle w:val="16"/>
        <w:spacing w:after="60" w:line="276" w:lineRule="auto"/>
      </w:pPr>
      <w:r>
        <w:rPr>
          <w:rFonts w:ascii="Microsoft YaHei" w:hAnsi="Microsoft YaHei" w:eastAsia="Microsoft YaHei"/>
          <w:b/>
          <w:color w:val="2F5597"/>
          <w:sz w:val="20"/>
        </w:rPr>
        <w:t>筛选与列表</w:t>
      </w:r>
      <w:r>
        <w:rPr>
          <w:rFonts w:ascii="Microsoft YaHei" w:hAnsi="Microsoft YaHei" w:eastAsia="Microsoft YaHei"/>
          <w:b w:val="0"/>
          <w:sz w:val="20"/>
        </w:rPr>
        <w:t>：如页面提供站点、充值方式、状态或币种等筛选条件，可先搜索再维护目标配置；列表字段应重点检查充值最小/最大金额、快捷金额档位、默认推荐金额、文案提示和状态是否与实际支付通道能力一致。</w:t>
      </w:r>
    </w:p>
    <w:p>
      <w:pPr>
        <w:pStyle w:val="16"/>
        <w:spacing w:after="60" w:line="276" w:lineRule="auto"/>
      </w:pPr>
      <w:r>
        <w:rPr>
          <w:rFonts w:ascii="Microsoft YaHei" w:hAnsi="Microsoft YaHei" w:eastAsia="Microsoft YaHei"/>
          <w:b/>
          <w:color w:val="2F5597"/>
          <w:sz w:val="20"/>
        </w:rPr>
        <w:t>图2修改弹窗</w:t>
      </w:r>
      <w:r>
        <w:rPr>
          <w:rFonts w:ascii="Microsoft YaHei" w:hAnsi="Microsoft YaHei" w:eastAsia="Microsoft YaHei"/>
          <w:b w:val="0"/>
          <w:sz w:val="20"/>
        </w:rPr>
        <w:t>：修改弹窗用于维护充值配置的核心内容，按页面顺序设置充值金额范围、快捷金额选项、赠送说明、温馨提示、展示顺序、启停状态及备注信息，保存前应逐项确认前台是否可读、是否便于会员选择。</w:t>
      </w:r>
    </w:p>
    <w:p>
      <w:pPr>
        <w:pStyle w:val="16"/>
        <w:spacing w:after="60" w:line="276" w:lineRule="auto"/>
      </w:pPr>
      <w:r>
        <w:rPr>
          <w:rFonts w:ascii="Microsoft YaHei" w:hAnsi="Microsoft YaHei" w:eastAsia="Microsoft YaHei"/>
          <w:b/>
          <w:color w:val="2F5597"/>
          <w:sz w:val="20"/>
        </w:rPr>
        <w:t>金额档位</w:t>
      </w:r>
      <w:r>
        <w:rPr>
          <w:rFonts w:ascii="Microsoft YaHei" w:hAnsi="Microsoft YaHei" w:eastAsia="Microsoft YaHei"/>
          <w:b w:val="0"/>
          <w:sz w:val="20"/>
        </w:rPr>
        <w:t>：快捷金额或固定充值档位应覆盖常用充值场景，金额之间建议保持合理梯度；如支持自定义输入金额，应同时确认最小值、最大值和超限提示文案，避免会员提交后因金额不符被拦截。</w:t>
      </w:r>
    </w:p>
    <w:p>
      <w:pPr>
        <w:pStyle w:val="16"/>
        <w:spacing w:after="60" w:line="276" w:lineRule="auto"/>
      </w:pPr>
      <w:r>
        <w:rPr>
          <w:rFonts w:ascii="Microsoft YaHei" w:hAnsi="Microsoft YaHei" w:eastAsia="Microsoft YaHei"/>
          <w:b/>
          <w:color w:val="2F5597"/>
          <w:sz w:val="20"/>
        </w:rPr>
        <w:t>展示与提示</w:t>
      </w:r>
      <w:r>
        <w:rPr>
          <w:rFonts w:ascii="Microsoft YaHei" w:hAnsi="Microsoft YaHei" w:eastAsia="Microsoft YaHei"/>
          <w:b w:val="0"/>
          <w:sz w:val="20"/>
        </w:rPr>
        <w:t>：涉及前台展示文案、优惠提示、赠送说明或推荐标签时，应确保内容与当前活动规则、支付方式和站点策略一致；若某配置只对部分站点或部分充值方式生效，应在对应字段中明确限定范围。</w:t>
      </w:r>
    </w:p>
    <w:p>
      <w:pPr>
        <w:pStyle w:val="16"/>
        <w:spacing w:after="60" w:line="276" w:lineRule="auto"/>
      </w:pPr>
      <w:r>
        <w:rPr>
          <w:rFonts w:ascii="Microsoft YaHei" w:hAnsi="Microsoft YaHei" w:eastAsia="Microsoft YaHei"/>
          <w:b/>
          <w:color w:val="2F5597"/>
          <w:sz w:val="20"/>
        </w:rPr>
        <w:t>按钮弹窗</w:t>
      </w:r>
      <w:r>
        <w:rPr>
          <w:rFonts w:ascii="Microsoft YaHei" w:hAnsi="Microsoft YaHei" w:eastAsia="Microsoft YaHei"/>
          <w:b w:val="0"/>
          <w:sz w:val="20"/>
        </w:rPr>
        <w:t>：图2之后的按钮弹窗通常用于补充说明金额档位、查看配置明细、确认启停或处理关联设置；进入后应重点核对当前配置对象、操作影响范围以及确认提交后是否立即在前台生效。</w:t>
      </w:r>
    </w:p>
    <w:p>
      <w:pPr>
        <w:pStyle w:val="16"/>
        <w:spacing w:after="60" w:line="276" w:lineRule="auto"/>
      </w:pPr>
      <w:r>
        <w:rPr>
          <w:rFonts w:ascii="Microsoft YaHei" w:hAnsi="Microsoft YaHei" w:eastAsia="Microsoft YaHei"/>
          <w:b/>
          <w:color w:val="2F5597"/>
          <w:sz w:val="20"/>
        </w:rPr>
        <w:t>使用要点</w:t>
      </w:r>
      <w:r>
        <w:rPr>
          <w:rFonts w:ascii="Microsoft YaHei" w:hAnsi="Microsoft YaHei" w:eastAsia="Microsoft YaHei"/>
          <w:b w:val="0"/>
          <w:sz w:val="20"/>
        </w:rPr>
        <w:t>：充值配置调整后，应同步检查支付通道配置、充值订单列表和前台充值页的展示效果；对于停用充值方式、修改金额上限或更新优惠提示的操作，建议先确认对应支付通道可用，再执行保存。</w:t>
      </w:r>
    </w:p>
    <w:p w14:paraId="65EF2109">
      <w:r>
        <w:drawing>
          <wp:inline distT="0" distB="0" distL="114300" distR="114300">
            <wp:extent cx="6391910" cy="2562860"/>
            <wp:effectExtent l="0" t="0" r="8890" b="889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5"/>
                    <a:stretch>
                      <a:fillRect/>
                    </a:stretch>
                  </pic:blipFill>
                  <pic:spPr>
                    <a:xfrm>
                      <a:off x="0" y="0"/>
                      <a:ext cx="6391910" cy="2562860"/>
                    </a:xfrm>
                    <a:prstGeom prst="rect">
                      <a:avLst/>
                    </a:prstGeom>
                    <a:noFill/>
                    <a:ln>
                      <a:noFill/>
                    </a:ln>
                  </pic:spPr>
                </pic:pic>
              </a:graphicData>
            </a:graphic>
          </wp:inline>
        </w:drawing>
      </w:r>
      <w:r>
        <w:drawing>
          <wp:inline distT="0" distB="0" distL="114300" distR="114300">
            <wp:extent cx="4269105" cy="3075305"/>
            <wp:effectExtent l="0" t="0" r="17145" b="1079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6"/>
                    <a:stretch>
                      <a:fillRect/>
                    </a:stretch>
                  </pic:blipFill>
                  <pic:spPr>
                    <a:xfrm>
                      <a:off x="0" y="0"/>
                      <a:ext cx="4269105" cy="3075305"/>
                    </a:xfrm>
                    <a:prstGeom prst="rect">
                      <a:avLst/>
                    </a:prstGeom>
                    <a:noFill/>
                    <a:ln>
                      <a:noFill/>
                    </a:ln>
                  </pic:spPr>
                </pic:pic>
              </a:graphicData>
            </a:graphic>
          </wp:inline>
        </w:drawing>
      </w:r>
    </w:p>
    <w:p w14:paraId="42093642">
      <w:r>
        <w:drawing>
          <wp:inline distT="0" distB="0" distL="114300" distR="114300">
            <wp:extent cx="5215890" cy="3949700"/>
            <wp:effectExtent l="0" t="0" r="3810" b="1270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7"/>
                    <a:stretch>
                      <a:fillRect/>
                    </a:stretch>
                  </pic:blipFill>
                  <pic:spPr>
                    <a:xfrm>
                      <a:off x="0" y="0"/>
                      <a:ext cx="5215890" cy="3949700"/>
                    </a:xfrm>
                    <a:prstGeom prst="rect">
                      <a:avLst/>
                    </a:prstGeom>
                    <a:noFill/>
                    <a:ln>
                      <a:noFill/>
                    </a:ln>
                  </pic:spPr>
                </pic:pic>
              </a:graphicData>
            </a:graphic>
          </wp:inline>
        </w:drawing>
      </w:r>
    </w:p>
    <w:p w14:paraId="1C845537">
      <w:pPr>
        <w:pStyle w:val="5"/>
        <w:keepNext/>
        <w:spacing w:before="180" w:after="100" w:line="259" w:lineRule="auto"/>
      </w:pPr>
      <w:r>
        <w:rPr>
          <w:rFonts w:ascii="微软雅黑" w:hAnsi="微软雅黑" w:eastAsia="微软雅黑"/>
          <w:b/>
          <w:color w:val="2F5597"/>
          <w:sz w:val="25"/>
        </w:rPr>
        <w:t>充值订单列表</w:t>
      </w:r>
    </w:p>
    <w:p w14:paraId="520BAD9E">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14:paraId="16FD269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14:paraId="22A3572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14:paraId="591AF18A">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14:paraId="70D12FF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14:paraId="7378D31D">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14:paraId="2D338E1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7F0696C"/>
    <w:rsid w:val="183B3024"/>
    <w:rsid w:val="18FA3DCE"/>
    <w:rsid w:val="1E20265C"/>
    <w:rsid w:val="259865AB"/>
    <w:rsid w:val="308E051A"/>
    <w:rsid w:val="38A20FFB"/>
    <w:rsid w:val="3AEF22C6"/>
    <w:rsid w:val="449F4114"/>
    <w:rsid w:val="48E318B7"/>
    <w:rsid w:val="4E892E94"/>
    <w:rsid w:val="4F407994"/>
    <w:rsid w:val="578C750D"/>
    <w:rsid w:val="59C16051"/>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0" Type="http://schemas.openxmlformats.org/officeDocument/2006/relationships/fontTable" Target="fontTable.xml"/><Relationship Id="rId7" Type="http://schemas.openxmlformats.org/officeDocument/2006/relationships/image" Target="media/image2.png"/><Relationship Id="rId69" Type="http://schemas.openxmlformats.org/officeDocument/2006/relationships/customXml" Target="../customXml/item1.xml"/><Relationship Id="rId68" Type="http://schemas.openxmlformats.org/officeDocument/2006/relationships/numbering" Target="numbering.xml"/><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15967</Words>
  <Characters>16802</Characters>
  <Lines>0</Lines>
  <Paragraphs>0</Paragraphs>
  <TotalTime>29</TotalTime>
  <ScaleCrop>false</ScaleCrop>
  <LinksUpToDate>false</LinksUpToDate>
  <CharactersWithSpaces>17002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2026-06-09T09:26:44Z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