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会员提现设置</w:t>
      </w:r>
    </w:p>
    <w:p>
      <w:pPr>
        <w:spacing w:after="60" w:line="276" w:lineRule="auto"/>
      </w:pPr>
      <w:r>
        <w:rPr>
          <w:rFonts w:ascii="Microsoft YaHei" w:hAnsi="Microsoft YaHei" w:eastAsia="Microsoft YaHei"/>
          <w:b w:val="0"/>
          <w:sz w:val="20"/>
        </w:rPr>
        <w:t>会员提现设置用于维护在线提现规则、免审自动出款条件、提现参数和 VIP 提现限制。请按页面实际图示依次核对主表、修改弹窗以及各按钮打开的配置弹窗。</w:t>
      </w:r>
    </w:p>
    <w:p>
      <w:pPr>
        <w:pStyle w:val="6"/>
        <w:spacing w:after="60" w:line="276" w:lineRule="auto"/>
      </w:pPr>
      <w:r>
        <w:rPr>
          <w:rFonts w:ascii="Microsoft YaHei" w:hAnsi="Microsoft YaHei" w:eastAsia="Microsoft YaHei"/>
          <w:b/>
          <w:i w:val="0"/>
          <w:color w:val="2F5597"/>
          <w:sz w:val="21"/>
        </w:rPr>
        <w:t>在线提现设置</w:t>
      </w:r>
    </w:p>
    <w:p>
      <w:pPr>
        <w:spacing w:after="40"/>
        <w:jc w:val="center"/>
      </w:pPr>
      <w:r>
        <w:drawing>
          <wp:inline xmlns:a="http://schemas.openxmlformats.org/drawingml/2006/main" xmlns:pic="http://schemas.openxmlformats.org/drawingml/2006/picture">
            <wp:extent cx="5852160" cy="1853419"/>
            <wp:docPr id="94" name="Picture 9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852160" cy="185341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图：在线提现设置主表，用于查看各支付方式的提现规则、手续费和通道启用状态。</w:t>
      </w:r>
    </w:p>
    <w:p>
      <w:pPr>
        <w:pStyle w:val="16"/>
        <w:spacing w:after="60" w:line="276" w:lineRule="auto"/>
      </w:pPr>
      <w:r>
        <w:rPr>
          <w:rFonts w:ascii="Microsoft YaHei" w:hAnsi="Microsoft YaHei" w:eastAsia="Microsoft YaHei"/>
          <w:b/>
          <w:color w:val="2F5597"/>
          <w:sz w:val="20"/>
        </w:rPr>
        <w:t>主表说明</w:t>
      </w:r>
      <w:r>
        <w:rPr>
          <w:rFonts w:ascii="Microsoft YaHei" w:hAnsi="Microsoft YaHei" w:eastAsia="Microsoft YaHei"/>
          <w:b w:val="0"/>
          <w:sz w:val="20"/>
        </w:rPr>
        <w:t>：主表展示排序、支付方式、图标、是否开通通道、单笔限额、百分比手续费、固定手续费、最小手续费金额、备注和操作入口。可先从列表核对每个提现方式是否已开通、费率是否正确，再进入修改。</w:t>
      </w:r>
    </w:p>
    <w:p>
      <w:pPr>
        <w:pStyle w:val="16"/>
        <w:spacing w:after="60" w:line="276" w:lineRule="auto"/>
      </w:pPr>
      <w:r>
        <w:rPr>
          <w:rFonts w:ascii="Microsoft YaHei" w:hAnsi="Microsoft YaHei" w:eastAsia="Microsoft YaHei"/>
          <w:b/>
          <w:color w:val="2F5597"/>
          <w:sz w:val="20"/>
        </w:rPr>
        <w:t>操作入口</w:t>
      </w:r>
      <w:r>
        <w:rPr>
          <w:rFonts w:ascii="Microsoft YaHei" w:hAnsi="Microsoft YaHei" w:eastAsia="Microsoft YaHei"/>
          <w:b w:val="0"/>
          <w:sz w:val="20"/>
        </w:rPr>
        <w:t>：顶部包含“免审自动出款”“提现参数设置”“VIP提现限制设置”“导出报表”等入口，分别用于管理自动出款条件、全局提现参数和分级限制规则。</w:t>
      </w:r>
    </w:p>
    <w:p>
      <w:pPr>
        <w:pStyle w:val="6"/>
        <w:spacing w:after="60" w:line="276" w:lineRule="auto"/>
      </w:pPr>
      <w:r>
        <w:rPr>
          <w:rFonts w:ascii="Microsoft YaHei" w:hAnsi="Microsoft YaHei" w:eastAsia="Microsoft YaHei"/>
          <w:b/>
          <w:i w:val="0"/>
          <w:color w:val="2F5597"/>
          <w:sz w:val="21"/>
        </w:rPr>
        <w:t>修改</w:t>
      </w:r>
    </w:p>
    <w:p>
      <w:pPr>
        <w:spacing w:after="40"/>
        <w:jc w:val="center"/>
      </w:pPr>
      <w:r>
        <w:drawing>
          <wp:inline xmlns:a="http://schemas.openxmlformats.org/drawingml/2006/main" xmlns:pic="http://schemas.openxmlformats.org/drawingml/2006/picture">
            <wp:extent cx="5852160" cy="8591743"/>
            <wp:docPr id="95" name="Picture 9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852160" cy="859174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图：在线提现设置“修改”弹窗，用于维护单个支付方式的手续费、限额、图标和排序。</w:t>
      </w:r>
    </w:p>
    <w:p>
      <w:pPr>
        <w:pStyle w:val="16"/>
        <w:spacing w:after="60" w:line="276" w:lineRule="auto"/>
      </w:pPr>
      <w:r>
        <w:rPr>
          <w:rFonts w:ascii="Microsoft YaHei" w:hAnsi="Microsoft YaHei" w:eastAsia="Microsoft YaHei"/>
          <w:b/>
          <w:color w:val="2F5597"/>
          <w:sz w:val="20"/>
        </w:rPr>
        <w:t>修改弹窗</w:t>
      </w:r>
      <w:r>
        <w:rPr>
          <w:rFonts w:ascii="Microsoft YaHei" w:hAnsi="Microsoft YaHei" w:eastAsia="Microsoft YaHei"/>
          <w:b w:val="0"/>
          <w:sz w:val="20"/>
        </w:rPr>
        <w:t>：该弹窗用于编辑当前支付方式的百分比手续费、固定手续费、最小手续费金额、是否开启通道、单笔限制、图标、排序值和备注。保存前应同时核对费率公式和限额区间，避免前台提现金额通过但后台手续费口径错误。</w:t>
      </w:r>
    </w:p>
    <w:p>
      <w:pPr>
        <w:pStyle w:val="16"/>
        <w:spacing w:after="60" w:line="276" w:lineRule="auto"/>
      </w:pPr>
      <w:r>
        <w:rPr>
          <w:rFonts w:ascii="Microsoft YaHei" w:hAnsi="Microsoft YaHei" w:eastAsia="Microsoft YaHei"/>
          <w:b/>
          <w:color w:val="2F5597"/>
          <w:sz w:val="20"/>
        </w:rPr>
        <w:t>启停与限额</w:t>
      </w:r>
      <w:r>
        <w:rPr>
          <w:rFonts w:ascii="Microsoft YaHei" w:hAnsi="Microsoft YaHei" w:eastAsia="Microsoft YaHei"/>
          <w:b w:val="0"/>
          <w:sz w:val="20"/>
        </w:rPr>
        <w:t>：如关闭“是否开启通道”，对应支付方式将不再用于在线提现；调整单笔限制时，应与风控和财务审核口径保持一致，避免出现前台可申请但后台无法处理的情况。</w:t>
      </w:r>
    </w:p>
    <w:p>
      <w:pPr>
        <w:pStyle w:val="6"/>
        <w:spacing w:after="60" w:line="276" w:lineRule="auto"/>
      </w:pPr>
      <w:r>
        <w:rPr>
          <w:rFonts w:ascii="Microsoft YaHei" w:hAnsi="Microsoft YaHei" w:eastAsia="Microsoft YaHei"/>
          <w:b/>
          <w:i w:val="0"/>
          <w:color w:val="2F5597"/>
          <w:sz w:val="21"/>
        </w:rPr>
        <w:t>免审自动出款</w:t>
      </w:r>
    </w:p>
    <w:p>
      <w:pPr>
        <w:spacing w:after="40"/>
        <w:jc w:val="center"/>
      </w:pPr>
      <w:r>
        <w:drawing>
          <wp:inline xmlns:a="http://schemas.openxmlformats.org/drawingml/2006/main" xmlns:pic="http://schemas.openxmlformats.org/drawingml/2006/picture">
            <wp:extent cx="5852160" cy="3422962"/>
            <wp:docPr id="96" name="Picture 9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852160" cy="3422962"/>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图：免审自动出款弹窗，用于设置满足条件时可自动出款的门槛。</w:t>
      </w:r>
    </w:p>
    <w:p>
      <w:pPr>
        <w:pStyle w:val="16"/>
        <w:spacing w:after="60" w:line="276" w:lineRule="auto"/>
      </w:pPr>
      <w:r>
        <w:rPr>
          <w:rFonts w:ascii="Microsoft YaHei" w:hAnsi="Microsoft YaHei" w:eastAsia="Microsoft YaHei"/>
          <w:b/>
          <w:color w:val="2F5597"/>
          <w:sz w:val="20"/>
        </w:rPr>
        <w:t>免审自动出款</w:t>
      </w:r>
      <w:r>
        <w:rPr>
          <w:rFonts w:ascii="Microsoft YaHei" w:hAnsi="Microsoft YaHei" w:eastAsia="Microsoft YaHei"/>
          <w:b w:val="0"/>
          <w:sz w:val="20"/>
        </w:rPr>
        <w:t>：该弹窗用于设置免费提现金额上限、自动出款支付通道、充值次数、提现次数和适用 VIP 等级。满足配置条件的订单可直接进入自动出款流程，建议只为低风险支付方式开启。</w:t>
      </w:r>
    </w:p>
    <w:p>
      <w:pPr>
        <w:pStyle w:val="6"/>
        <w:spacing w:after="60" w:line="276" w:lineRule="auto"/>
      </w:pPr>
      <w:r>
        <w:rPr>
          <w:rFonts w:ascii="Microsoft YaHei" w:hAnsi="Microsoft YaHei" w:eastAsia="Microsoft YaHei"/>
          <w:b/>
          <w:i w:val="0"/>
          <w:color w:val="2F5597"/>
          <w:sz w:val="21"/>
        </w:rPr>
        <w:t>提现参数设置</w:t>
      </w:r>
    </w:p>
    <w:p>
      <w:pPr>
        <w:spacing w:after="40"/>
        <w:jc w:val="center"/>
      </w:pPr>
      <w:r>
        <w:drawing>
          <wp:inline xmlns:a="http://schemas.openxmlformats.org/drawingml/2006/main" xmlns:pic="http://schemas.openxmlformats.org/drawingml/2006/picture">
            <wp:extent cx="5852160" cy="5017099"/>
            <wp:docPr id="97" name="Picture 9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852160" cy="501709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图：提现参数设置弹窗，用于设置提现密码、风控审核、免费提现规则和独立提现规则。</w:t>
      </w:r>
    </w:p>
    <w:p>
      <w:pPr>
        <w:pStyle w:val="16"/>
        <w:spacing w:after="60" w:line="276" w:lineRule="auto"/>
      </w:pPr>
      <w:r>
        <w:rPr>
          <w:rFonts w:ascii="Microsoft YaHei" w:hAnsi="Microsoft YaHei" w:eastAsia="Microsoft YaHei"/>
          <w:b/>
          <w:color w:val="2F5597"/>
          <w:sz w:val="20"/>
        </w:rPr>
        <w:t>提现参数设置</w:t>
      </w:r>
      <w:r>
        <w:rPr>
          <w:rFonts w:ascii="Microsoft YaHei" w:hAnsi="Microsoft YaHei" w:eastAsia="Microsoft YaHei"/>
          <w:b w:val="0"/>
          <w:sz w:val="20"/>
        </w:rPr>
        <w:t>：该弹窗用于维护提现密码开关、会员可同时进行的提现笔数、是否需要风控审核、免风控层级以及免费提现规则。若开启独立提现规则，页面会提示该规则不受常规单笔上下限和 VIP 限制影响，保存前应确认实际适用范围。</w:t>
      </w:r>
    </w:p>
    <w:p>
      <w:pPr>
        <w:pStyle w:val="16"/>
        <w:spacing w:after="60" w:line="276" w:lineRule="auto"/>
      </w:pPr>
      <w:r>
        <w:rPr>
          <w:rFonts w:ascii="Microsoft YaHei" w:hAnsi="Microsoft YaHei" w:eastAsia="Microsoft YaHei"/>
          <w:b/>
          <w:color w:val="2F5597"/>
          <w:sz w:val="20"/>
        </w:rPr>
        <w:t>风控审核</w:t>
      </w:r>
      <w:r>
        <w:rPr>
          <w:rFonts w:ascii="Microsoft YaHei" w:hAnsi="Microsoft YaHei" w:eastAsia="Microsoft YaHei"/>
          <w:b w:val="0"/>
          <w:sz w:val="20"/>
        </w:rPr>
        <w:t>：开启风控审核后，相关提现需先经过风控审核再由财务审核出款；若关闭，应确认当前站点的提现风险较低，并同步检查风控中心和财务中心的后续处理流程。</w:t>
      </w:r>
    </w:p>
    <w:p>
      <w:pPr>
        <w:pStyle w:val="6"/>
        <w:spacing w:after="60" w:line="276" w:lineRule="auto"/>
      </w:pPr>
      <w:r>
        <w:rPr>
          <w:rFonts w:ascii="Microsoft YaHei" w:hAnsi="Microsoft YaHei" w:eastAsia="Microsoft YaHei"/>
          <w:b/>
          <w:i w:val="0"/>
          <w:color w:val="2F5597"/>
          <w:sz w:val="21"/>
        </w:rPr>
        <w:t>VIP提现限制设置</w:t>
      </w:r>
    </w:p>
    <w:p>
      <w:pPr>
        <w:spacing w:after="40"/>
        <w:jc w:val="center"/>
      </w:pPr>
      <w:r>
        <w:drawing>
          <wp:inline xmlns:a="http://schemas.openxmlformats.org/drawingml/2006/main" xmlns:pic="http://schemas.openxmlformats.org/drawingml/2006/picture">
            <wp:extent cx="5852160" cy="4352360"/>
            <wp:docPr id="98" name="Picture 9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852160" cy="4352360"/>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图：VIP 提现限制设置弹窗，用于按 VIP 等级维护每日次数、额度和前端提示语。</w:t>
      </w:r>
    </w:p>
    <w:p>
      <w:pPr>
        <w:pStyle w:val="16"/>
        <w:spacing w:after="60" w:line="276" w:lineRule="auto"/>
      </w:pPr>
      <w:r>
        <w:rPr>
          <w:rFonts w:ascii="Microsoft YaHei" w:hAnsi="Microsoft YaHei" w:eastAsia="Microsoft YaHei"/>
          <w:b/>
          <w:color w:val="2F5597"/>
          <w:sz w:val="20"/>
        </w:rPr>
        <w:t>VIP 提现限制</w:t>
      </w:r>
      <w:r>
        <w:rPr>
          <w:rFonts w:ascii="Microsoft YaHei" w:hAnsi="Microsoft YaHei" w:eastAsia="Microsoft YaHei"/>
          <w:b w:val="0"/>
          <w:sz w:val="20"/>
        </w:rPr>
        <w:t>：该弹窗以表格方式按 VIP 等级维护每日提款次数限制、每日提款总额限制、提款总次数限制、提款总额限制、每日免手续费交易笔数、单次最小/最大提现额度等配置，并支持启停各项规则。</w:t>
      </w:r>
    </w:p>
    <w:p>
      <w:pPr>
        <w:pStyle w:val="16"/>
        <w:spacing w:after="60" w:line="276" w:lineRule="auto"/>
      </w:pPr>
      <w:r>
        <w:rPr>
          <w:rFonts w:ascii="Microsoft YaHei" w:hAnsi="Microsoft YaHei" w:eastAsia="Microsoft YaHei"/>
          <w:b/>
          <w:color w:val="2F5597"/>
          <w:sz w:val="20"/>
        </w:rPr>
        <w:t>前端提示语</w:t>
      </w:r>
      <w:r>
        <w:rPr>
          <w:rFonts w:ascii="Microsoft YaHei" w:hAnsi="Microsoft YaHei" w:eastAsia="Microsoft YaHei"/>
          <w:b w:val="0"/>
          <w:sz w:val="20"/>
        </w:rPr>
        <w:t>：页面下方可维护 VIP 前端提示语，用于向会员说明提款规则、打码要求和注意事项。修改提示语后，建议同步检查前台文案是否与当前提款规则一致。</w:t>
      </w:r>
    </w:p>
    <w:p w14:paraId="233CA22C">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会员充值配置</w:t>
      </w:r>
    </w:p>
    <w:p>
      <w:pPr>
        <w:spacing w:after="60" w:line="276" w:lineRule="auto"/>
      </w:pPr>
      <w:r>
        <w:rPr>
          <w:rFonts w:ascii="Microsoft YaHei" w:hAnsi="Microsoft YaHei" w:eastAsia="Microsoft YaHei"/>
          <w:b w:val="0"/>
          <w:sz w:val="20"/>
        </w:rPr>
        <w:t>会员充值配置用于维护在线充值方式、支付方式分组和充值提示信息。请按图示顺序查看主表、支付方式分组编辑弹窗以及充值配置弹窗。</w:t>
      </w:r>
    </w:p>
    <w:p>
      <w:pPr>
        <w:pStyle w:val="6"/>
        <w:spacing w:after="60" w:line="276" w:lineRule="auto"/>
      </w:pPr>
      <w:r>
        <w:rPr>
          <w:rFonts w:ascii="Microsoft YaHei" w:hAnsi="Microsoft YaHei" w:eastAsia="Microsoft YaHei"/>
          <w:b/>
          <w:i w:val="0"/>
          <w:color w:val="2F5597"/>
          <w:sz w:val="21"/>
        </w:rPr>
        <w:t>在线充值配置</w:t>
      </w:r>
    </w:p>
    <w:p>
      <w:pPr>
        <w:spacing w:after="40"/>
        <w:jc w:val="center"/>
      </w:pPr>
      <w:r>
        <w:drawing>
          <wp:inline xmlns:a="http://schemas.openxmlformats.org/drawingml/2006/main" xmlns:pic="http://schemas.openxmlformats.org/drawingml/2006/picture">
            <wp:extent cx="5852160" cy="2346501"/>
            <wp:docPr id="99" name="Picture 99"/>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852160" cy="234650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图：在线充值配置主表，用于查看各支付方式分组、通道推荐金额、限额和启用状态。</w:t>
      </w:r>
    </w:p>
    <w:p>
      <w:pPr>
        <w:pStyle w:val="16"/>
        <w:spacing w:after="60" w:line="276" w:lineRule="auto"/>
      </w:pPr>
      <w:r>
        <w:rPr>
          <w:rFonts w:ascii="Microsoft YaHei" w:hAnsi="Microsoft YaHei" w:eastAsia="Microsoft YaHei"/>
          <w:b/>
          <w:color w:val="2F5597"/>
          <w:sz w:val="20"/>
        </w:rPr>
        <w:t>主表说明</w:t>
      </w:r>
      <w:r>
        <w:rPr>
          <w:rFonts w:ascii="Microsoft YaHei" w:hAnsi="Microsoft YaHei" w:eastAsia="Microsoft YaHei"/>
          <w:b w:val="0"/>
          <w:sz w:val="20"/>
        </w:rPr>
        <w:t>：主表支持按支付通道和状态筛选，列表中可查看支付方式、排序、图标、前台通道名称、通道名称、是否启用、推荐充值金额、最小/最大限额、前台提示、备注和操作入口。</w:t>
      </w:r>
    </w:p>
    <w:p>
      <w:pPr>
        <w:pStyle w:val="16"/>
        <w:spacing w:after="60" w:line="276" w:lineRule="auto"/>
      </w:pPr>
      <w:r>
        <w:rPr>
          <w:rFonts w:ascii="Microsoft YaHei" w:hAnsi="Microsoft YaHei" w:eastAsia="Microsoft YaHei"/>
          <w:b/>
          <w:color w:val="2F5597"/>
          <w:sz w:val="20"/>
        </w:rPr>
        <w:t>分组层级</w:t>
      </w:r>
      <w:r>
        <w:rPr>
          <w:rFonts w:ascii="Microsoft YaHei" w:hAnsi="Microsoft YaHei" w:eastAsia="Microsoft YaHei"/>
          <w:b w:val="0"/>
          <w:sz w:val="20"/>
        </w:rPr>
        <w:t>：列表按支付方式分组展示，展开后可查看组内通道配置。调整前应先确认当前支付方式属于哪个分组，再进入对应行的修改操作。</w:t>
      </w:r>
    </w:p>
    <w:p>
      <w:pPr>
        <w:pStyle w:val="6"/>
        <w:spacing w:after="60" w:line="276" w:lineRule="auto"/>
      </w:pPr>
      <w:r>
        <w:rPr>
          <w:rFonts w:ascii="Microsoft YaHei" w:hAnsi="Microsoft YaHei" w:eastAsia="Microsoft YaHei"/>
          <w:b/>
          <w:i w:val="0"/>
          <w:color w:val="2F5597"/>
          <w:sz w:val="21"/>
        </w:rPr>
        <w:t>编辑支付方式分组</w:t>
      </w:r>
    </w:p>
    <w:p>
      <w:pPr>
        <w:spacing w:after="40"/>
        <w:jc w:val="center"/>
      </w:pPr>
      <w:r>
        <w:drawing>
          <wp:inline xmlns:a="http://schemas.openxmlformats.org/drawingml/2006/main" xmlns:pic="http://schemas.openxmlformats.org/drawingml/2006/picture">
            <wp:extent cx="5852160" cy="4215267"/>
            <wp:docPr id="100" name="Picture 10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852160" cy="421526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图：编辑支付方式分组弹窗，用于维护前台展示名称、图标和排序。</w:t>
      </w:r>
    </w:p>
    <w:p>
      <w:pPr>
        <w:pStyle w:val="16"/>
        <w:spacing w:after="60" w:line="276" w:lineRule="auto"/>
      </w:pPr>
      <w:r>
        <w:rPr>
          <w:rFonts w:ascii="Microsoft YaHei" w:hAnsi="Microsoft YaHei" w:eastAsia="Microsoft YaHei"/>
          <w:b/>
          <w:color w:val="2F5597"/>
          <w:sz w:val="20"/>
        </w:rPr>
        <w:t>支付方式分组</w:t>
      </w:r>
      <w:r>
        <w:rPr>
          <w:rFonts w:ascii="Microsoft YaHei" w:hAnsi="Microsoft YaHei" w:eastAsia="Microsoft YaHei"/>
          <w:b w:val="0"/>
          <w:sz w:val="20"/>
        </w:rPr>
        <w:t>：该弹窗用于编辑前台支付方式名字、图标和排序。前台名称会直接影响充值页展示文案，图标建议保持统一尺寸和格式，排序值用于控制分组在前台的展示先后。</w:t>
      </w:r>
    </w:p>
    <w:p>
      <w:pPr>
        <w:pStyle w:val="6"/>
        <w:spacing w:after="60" w:line="276" w:lineRule="auto"/>
      </w:pPr>
      <w:r>
        <w:rPr>
          <w:rFonts w:ascii="Microsoft YaHei" w:hAnsi="Microsoft YaHei" w:eastAsia="Microsoft YaHei"/>
          <w:b/>
          <w:i w:val="0"/>
          <w:color w:val="2F5597"/>
          <w:sz w:val="21"/>
        </w:rPr>
        <w:t>充值配置</w:t>
      </w:r>
    </w:p>
    <w:p>
      <w:pPr>
        <w:spacing w:after="40"/>
        <w:jc w:val="center"/>
      </w:pPr>
      <w:r>
        <w:drawing>
          <wp:inline xmlns:a="http://schemas.openxmlformats.org/drawingml/2006/main" xmlns:pic="http://schemas.openxmlformats.org/drawingml/2006/picture">
            <wp:extent cx="5852160" cy="4432151"/>
            <wp:docPr id="101" name="Picture 101"/>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852160" cy="443215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图：充值配置弹窗，用于设置并发充值订单数和充值提示语。</w:t>
      </w:r>
    </w:p>
    <w:p>
      <w:pPr>
        <w:pStyle w:val="16"/>
        <w:spacing w:after="60" w:line="276" w:lineRule="auto"/>
      </w:pPr>
      <w:r>
        <w:rPr>
          <w:rFonts w:ascii="Microsoft YaHei" w:hAnsi="Microsoft YaHei" w:eastAsia="Microsoft YaHei"/>
          <w:b/>
          <w:color w:val="2F5597"/>
          <w:sz w:val="20"/>
        </w:rPr>
        <w:t>充值配置</w:t>
      </w:r>
      <w:r>
        <w:rPr>
          <w:rFonts w:ascii="Microsoft YaHei" w:hAnsi="Microsoft YaHei" w:eastAsia="Microsoft YaHei"/>
          <w:b w:val="0"/>
          <w:sz w:val="20"/>
        </w:rPr>
        <w:t>：该弹窗用于维护每个用户最大可同时进行中的充值订单数，以及充值提示语内容。提示语支持富文本编辑和实时预览，适合填写到账时效、汇率说明、异常处理方式和客服引导。</w:t>
      </w:r>
    </w:p>
    <w:p>
      <w:pPr>
        <w:pStyle w:val="16"/>
        <w:spacing w:after="60" w:line="276" w:lineRule="auto"/>
      </w:pPr>
      <w:r>
        <w:rPr>
          <w:rFonts w:ascii="Microsoft YaHei" w:hAnsi="Microsoft YaHei" w:eastAsia="Microsoft YaHei"/>
          <w:b/>
          <w:color w:val="2F5597"/>
          <w:sz w:val="20"/>
        </w:rPr>
        <w:t>提示语维护</w:t>
      </w:r>
      <w:r>
        <w:rPr>
          <w:rFonts w:ascii="Microsoft YaHei" w:hAnsi="Microsoft YaHei" w:eastAsia="Microsoft YaHei"/>
          <w:b w:val="0"/>
          <w:sz w:val="20"/>
        </w:rPr>
        <w:t>：提示语内容应与当前支付方式、活动规则和人工处理流程一致。保存前建议检查预览区显示效果，避免出现 HTML 结构错误、文案截断或与当前业务口径不一致的情况。</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