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pPr>
        <w:pStyle w:val="6"/>
        <w:spacing w:after="60" w:line="276" w:lineRule="auto"/>
      </w:pPr>
      <w:r>
        <w:rPr>
          <w:rFonts w:ascii="Microsoft YaHei" w:hAnsi="Microsoft YaHei" w:eastAsia="Microsoft YaHei"/>
          <w:b/>
          <w:i/>
          <w:color w:val="2F5597"/>
          <w:sz w:val="21"/>
        </w:rPr>
        <w:t>在线提现设置</w:t>
      </w:r>
    </w:p>
    <w:p>
      <w:pPr>
        <w:spacing w:after="40"/>
        <w:jc w:val="center"/>
      </w:pPr>
      <w:r>
        <w:drawing>
          <wp:inline xmlns:a="http://schemas.openxmlformats.org/drawingml/2006/main" xmlns:pic="http://schemas.openxmlformats.org/drawingml/2006/picture">
            <wp:extent cx="5852160" cy="1853419"/>
            <wp:docPr id="102" name="Picture 10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页面用途</w:t>
      </w:r>
      <w:r>
        <w:rPr>
          <w:rFonts w:ascii="Microsoft YaHei" w:hAnsi="Microsoft YaHei" w:eastAsia="Microsoft YaHei"/>
          <w:b w:val="0"/>
          <w:sz w:val="20"/>
        </w:rPr>
        <w:t>：在线提现设置页面用于集中管理各提现方式的展示顺序、通道开关、手续费口径和限额范围，是日常核对提现配置的主入口。</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：主表通常展示排序、支付方式、图标、是否开通通道、单笔限额、百分比手续费、固定手续费、最小手续费金额、备注和操作入口，适合先按列表逐项核对当前提现方式是否已正确启用。</w:t>
      </w:r>
    </w:p>
    <w:p>
      <w:pPr>
        <w:pStyle w:val="16"/>
        <w:spacing w:after="60" w:line="276" w:lineRule="auto"/>
      </w:pPr>
      <w:r>
        <w:rPr>
          <w:rFonts w:ascii="Microsoft YaHei" w:hAnsi="Microsoft YaHei" w:eastAsia="Microsoft YaHei"/>
          <w:b/>
          <w:color w:val="2F5597"/>
          <w:sz w:val="20"/>
        </w:rPr>
        <w:t>操作说明</w:t>
      </w:r>
      <w:r>
        <w:rPr>
          <w:rFonts w:ascii="Microsoft YaHei" w:hAnsi="Microsoft YaHei" w:eastAsia="Microsoft YaHei"/>
          <w:b w:val="0"/>
          <w:sz w:val="20"/>
        </w:rPr>
        <w:t>：页面顶部可进入“免审自动出款”“提现参数设置”“VIP提现限制设置”等配置弹窗；如需调整单个提现方式，则在对应行点击“修改”进入明细维护。</w:t>
      </w:r>
    </w:p>
    <w:p>
      <w:pPr>
        <w:pStyle w:val="6"/>
        <w:spacing w:after="60" w:line="276" w:lineRule="auto"/>
      </w:pPr>
      <w:r>
        <w:rPr>
          <w:rFonts w:ascii="Microsoft YaHei" w:hAnsi="Microsoft YaHei" w:eastAsia="Microsoft YaHei"/>
          <w:b/>
          <w:i/>
          <w:color w:val="2F5597"/>
          <w:sz w:val="21"/>
        </w:rPr>
        <w:t>修改</w:t>
      </w:r>
    </w:p>
    <w:p>
      <w:pPr>
        <w:spacing w:after="40"/>
        <w:jc w:val="center"/>
      </w:pPr>
      <w:r>
        <w:drawing>
          <wp:inline xmlns:a="http://schemas.openxmlformats.org/drawingml/2006/main" xmlns:pic="http://schemas.openxmlformats.org/drawingml/2006/picture">
            <wp:extent cx="5852160" cy="8591743"/>
            <wp:docPr id="103" name="Picture 10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弹窗用途</w:t>
      </w:r>
      <w:r>
        <w:rPr>
          <w:rFonts w:ascii="Microsoft YaHei" w:hAnsi="Microsoft YaHei" w:eastAsia="Microsoft YaHei"/>
          <w:b w:val="0"/>
          <w:sz w:val="20"/>
        </w:rPr>
        <w:t>：修改弹窗用于维护单个提现方式的基础配置，适合在不影响其他通道的前提下单独调整当前支付方式。</w:t>
      </w:r>
    </w:p>
    <w:p>
      <w:pPr>
        <w:pStyle w:val="16"/>
        <w:spacing w:after="60" w:line="276" w:lineRule="auto"/>
      </w:pPr>
      <w:r>
        <w:rPr>
          <w:rFonts w:ascii="Microsoft YaHei" w:hAnsi="Microsoft YaHei" w:eastAsia="Microsoft YaHei"/>
          <w:b/>
          <w:color w:val="2F5597"/>
          <w:sz w:val="20"/>
        </w:rPr>
        <w:t>配置字段</w:t>
      </w:r>
      <w:r>
        <w:rPr>
          <w:rFonts w:ascii="Microsoft YaHei" w:hAnsi="Microsoft YaHei" w:eastAsia="Microsoft YaHei"/>
          <w:b w:val="0"/>
          <w:sz w:val="20"/>
        </w:rPr>
        <w:t>：弹窗内一般可维护百分比手续费、固定手续费、最小手续费金额、是否开启通道、单笔限制、图标、排序值和备注等字段。</w:t>
      </w:r>
    </w:p>
    <w:p>
      <w:pPr>
        <w:pStyle w:val="16"/>
        <w:spacing w:after="60" w:line="276" w:lineRule="auto"/>
      </w:pPr>
      <w:r>
        <w:rPr>
          <w:rFonts w:ascii="Microsoft YaHei" w:hAnsi="Microsoft YaHei" w:eastAsia="Microsoft YaHei"/>
          <w:b/>
          <w:color w:val="2F5597"/>
          <w:sz w:val="20"/>
        </w:rPr>
        <w:t>保存规则</w:t>
      </w:r>
      <w:r>
        <w:rPr>
          <w:rFonts w:ascii="Microsoft YaHei" w:hAnsi="Microsoft YaHei" w:eastAsia="Microsoft YaHei"/>
          <w:b w:val="0"/>
          <w:sz w:val="20"/>
        </w:rPr>
        <w:t>：保存前应同时核对手续费公式和提现上下限；如关闭“是否开启通道”，对应支付方式将不再用于前台在线提现，调整后应同步确认财务和风控口径是否一致。</w:t>
      </w:r>
    </w:p>
    <w:p>
      <w:pPr>
        <w:pStyle w:val="6"/>
        <w:spacing w:after="60" w:line="276" w:lineRule="auto"/>
      </w:pPr>
      <w:r>
        <w:rPr>
          <w:rFonts w:ascii="Microsoft YaHei" w:hAnsi="Microsoft YaHei" w:eastAsia="Microsoft YaHei"/>
          <w:b/>
          <w:i/>
          <w:color w:val="2F5597"/>
          <w:sz w:val="21"/>
        </w:rPr>
        <w:t>免审自动出款</w:t>
      </w:r>
    </w:p>
    <w:p>
      <w:pPr>
        <w:spacing w:after="40"/>
        <w:jc w:val="center"/>
      </w:pPr>
      <w:r>
        <w:drawing>
          <wp:inline xmlns:a="http://schemas.openxmlformats.org/drawingml/2006/main" xmlns:pic="http://schemas.openxmlformats.org/drawingml/2006/picture">
            <wp:extent cx="5852160" cy="3422962"/>
            <wp:docPr id="104" name="Picture 10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弹窗用途</w:t>
      </w:r>
      <w:r>
        <w:rPr>
          <w:rFonts w:ascii="Microsoft YaHei" w:hAnsi="Microsoft YaHei" w:eastAsia="Microsoft YaHei"/>
          <w:b w:val="0"/>
          <w:sz w:val="20"/>
        </w:rPr>
        <w:t>：免审自动出款弹窗用于配置满足条件后可直接进入自动出款流程的订单规则，适合用于低风险、标准化的提现场景。</w:t>
      </w:r>
    </w:p>
    <w:p>
      <w:pPr>
        <w:pStyle w:val="16"/>
        <w:spacing w:after="60" w:line="276" w:lineRule="auto"/>
      </w:pPr>
      <w:r>
        <w:rPr>
          <w:rFonts w:ascii="Microsoft YaHei" w:hAnsi="Microsoft YaHei" w:eastAsia="Microsoft YaHei"/>
          <w:b/>
          <w:color w:val="2F5597"/>
          <w:sz w:val="20"/>
        </w:rPr>
        <w:t>配置字段</w:t>
      </w:r>
      <w:r>
        <w:rPr>
          <w:rFonts w:ascii="Microsoft YaHei" w:hAnsi="Microsoft YaHei" w:eastAsia="Microsoft YaHei"/>
          <w:b w:val="0"/>
          <w:sz w:val="20"/>
        </w:rPr>
        <w:t>：通常可设置免费提现金额上限、自动出款支付通道、充值次数、提现次数和适用 VIP 等级，用于限定哪些会员和订单可以命中免审条件。</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：开启前应先确认自动出款通道稳定可用，并核对当前站点风控策略；如条件设置过宽，可能导致本应人工审核的提现单直接进入自动出款。</w:t>
      </w:r>
    </w:p>
    <w:p>
      <w:pPr>
        <w:pStyle w:val="6"/>
        <w:spacing w:after="60" w:line="276" w:lineRule="auto"/>
      </w:pPr>
      <w:r>
        <w:rPr>
          <w:rFonts w:ascii="Microsoft YaHei" w:hAnsi="Microsoft YaHei" w:eastAsia="Microsoft YaHei"/>
          <w:b/>
          <w:i/>
          <w:color w:val="2F5597"/>
          <w:sz w:val="21"/>
        </w:rPr>
        <w:t>提现参数设置</w:t>
      </w:r>
    </w:p>
    <w:p>
      <w:pPr>
        <w:spacing w:after="40"/>
        <w:jc w:val="center"/>
      </w:pPr>
      <w:r>
        <w:drawing>
          <wp:inline xmlns:a="http://schemas.openxmlformats.org/drawingml/2006/main" xmlns:pic="http://schemas.openxmlformats.org/drawingml/2006/picture">
            <wp:extent cx="5852160" cy="5017099"/>
            <wp:docPr id="105" name="Picture 10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弹窗用途</w:t>
      </w:r>
      <w:r>
        <w:rPr>
          <w:rFonts w:ascii="Microsoft YaHei" w:hAnsi="Microsoft YaHei" w:eastAsia="Microsoft YaHei"/>
          <w:b w:val="0"/>
          <w:sz w:val="20"/>
        </w:rPr>
        <w:t>：提现参数设置弹窗用于维护站点级提现审核和免费提现规则，是控制提现流程门槛和审核路径的核心配置区域。</w:t>
      </w:r>
    </w:p>
    <w:p>
      <w:pPr>
        <w:pStyle w:val="16"/>
        <w:spacing w:after="60" w:line="276" w:lineRule="auto"/>
      </w:pPr>
      <w:r>
        <w:rPr>
          <w:rFonts w:ascii="Microsoft YaHei" w:hAnsi="Microsoft YaHei" w:eastAsia="Microsoft YaHei"/>
          <w:b/>
          <w:color w:val="2F5597"/>
          <w:sz w:val="20"/>
        </w:rPr>
        <w:t>配置字段</w:t>
      </w:r>
      <w:r>
        <w:rPr>
          <w:rFonts w:ascii="Microsoft YaHei" w:hAnsi="Microsoft YaHei" w:eastAsia="Microsoft YaHei"/>
          <w:b w:val="0"/>
          <w:sz w:val="20"/>
        </w:rPr>
        <w:t>：弹窗内一般包含提现密码开关、会员可同时进行的提现笔数、是否需要风控审核、免风控层级、免费提现规则以及独立提现规则等参数。</w:t>
      </w:r>
    </w:p>
    <w:p>
      <w:pPr>
        <w:pStyle w:val="16"/>
        <w:spacing w:after="60" w:line="276" w:lineRule="auto"/>
      </w:pPr>
      <w:r>
        <w:rPr>
          <w:rFonts w:ascii="Microsoft YaHei" w:hAnsi="Microsoft YaHei" w:eastAsia="Microsoft YaHei"/>
          <w:b/>
          <w:color w:val="2F5597"/>
          <w:sz w:val="20"/>
        </w:rPr>
        <w:t>注意事项</w:t>
      </w:r>
      <w:r>
        <w:rPr>
          <w:rFonts w:ascii="Microsoft YaHei" w:hAnsi="Microsoft YaHei" w:eastAsia="Microsoft YaHei"/>
          <w:b w:val="0"/>
          <w:sz w:val="20"/>
        </w:rPr>
        <w:t>：若开启独立提现规则，应确认其适用范围不与常规单笔上下限和 VIP 限制冲突；如开启风控审核，相关订单需先经过风控审核再流转至财务出款。</w:t>
      </w:r>
    </w:p>
    <w:p>
      <w:pPr>
        <w:pStyle w:val="6"/>
        <w:spacing w:after="60" w:line="276" w:lineRule="auto"/>
      </w:pPr>
      <w:r>
        <w:rPr>
          <w:rFonts w:ascii="Microsoft YaHei" w:hAnsi="Microsoft YaHei" w:eastAsia="Microsoft YaHei"/>
          <w:b/>
          <w:i/>
          <w:color w:val="2F5597"/>
          <w:sz w:val="21"/>
        </w:rPr>
        <w:t>VIP提现限制设置</w:t>
      </w:r>
    </w:p>
    <w:p>
      <w:pPr>
        <w:spacing w:after="40"/>
        <w:jc w:val="center"/>
      </w:pPr>
      <w:r>
        <w:drawing>
          <wp:inline xmlns:a="http://schemas.openxmlformats.org/drawingml/2006/main" xmlns:pic="http://schemas.openxmlformats.org/drawingml/2006/picture">
            <wp:extent cx="5852160" cy="4352360"/>
            <wp:docPr id="106" name="Picture 10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弹窗用途</w:t>
      </w:r>
      <w:r>
        <w:rPr>
          <w:rFonts w:ascii="Microsoft YaHei" w:hAnsi="Microsoft YaHei" w:eastAsia="Microsoft YaHei"/>
          <w:b w:val="0"/>
          <w:sz w:val="20"/>
        </w:rPr>
        <w:t>：VIP 提现限制设置弹窗用于按会员等级维护不同的提现次数、额度和手续费优惠规则，适合做分层运营和差异化限制。</w:t>
      </w:r>
    </w:p>
    <w:p>
      <w:pPr>
        <w:pStyle w:val="16"/>
        <w:spacing w:after="60" w:line="276" w:lineRule="auto"/>
      </w:pPr>
      <w:r>
        <w:rPr>
          <w:rFonts w:ascii="Microsoft YaHei" w:hAnsi="Microsoft YaHei" w:eastAsia="Microsoft YaHei"/>
          <w:b/>
          <w:color w:val="2F5597"/>
          <w:sz w:val="20"/>
        </w:rPr>
        <w:t>配置字段</w:t>
      </w:r>
      <w:r>
        <w:rPr>
          <w:rFonts w:ascii="Microsoft YaHei" w:hAnsi="Microsoft YaHei" w:eastAsia="Microsoft YaHei"/>
          <w:b w:val="0"/>
          <w:sz w:val="20"/>
        </w:rPr>
        <w:t>：页面通常按 VIP 等级维护每日提款次数限制、每日提款总额限制、提款总次数限制、提款总额限制、每日免手续费交易笔数以及单次最小/最大提现额度等规则。</w:t>
      </w:r>
    </w:p>
    <w:p>
      <w:pPr>
        <w:pStyle w:val="16"/>
        <w:spacing w:after="60" w:line="276" w:lineRule="auto"/>
      </w:pPr>
      <w:r>
        <w:rPr>
          <w:rFonts w:ascii="Microsoft YaHei" w:hAnsi="Microsoft YaHei" w:eastAsia="Microsoft YaHei"/>
          <w:b/>
          <w:color w:val="2F5597"/>
          <w:sz w:val="20"/>
        </w:rPr>
        <w:t>提示说明</w:t>
      </w:r>
      <w:r>
        <w:rPr>
          <w:rFonts w:ascii="Microsoft YaHei" w:hAnsi="Microsoft YaHei" w:eastAsia="Microsoft YaHei"/>
          <w:b w:val="0"/>
          <w:sz w:val="20"/>
        </w:rPr>
        <w:t>：页面下方可同步维护 VIP 前端提示语，用于向会员说明提款规则、打码要求和注意事项；修改后应一并检查前台文案是否与当前限制口径一致。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会员充值配置用于统一维护在线充值方式、支付方式分组展示和充值提示语。日常配置时可先从在线充值配置主表核对分组与通道状态，再进入支付方式分组或充值配置弹窗补充对应参数。</w:t>
      </w:r>
    </w:p>
    <w:p>
      <w:pPr>
        <w:pStyle w:val="6"/>
        <w:spacing w:after="60" w:line="276" w:lineRule="auto"/>
      </w:pPr>
      <w:r>
        <w:rPr>
          <w:rFonts w:ascii="Microsoft YaHei" w:hAnsi="Microsoft YaHei" w:eastAsia="Microsoft YaHei"/>
          <w:b/>
          <w:i/>
          <w:color w:val="2F5597"/>
          <w:sz w:val="21"/>
        </w:rPr>
        <w:t>在线充值配置</w:t>
      </w:r>
    </w:p>
    <w:p>
      <w:pPr>
        <w:spacing w:after="40"/>
        <w:jc w:val="center"/>
      </w:pPr>
      <w:r>
        <w:drawing>
          <wp:inline xmlns:a="http://schemas.openxmlformats.org/drawingml/2006/main" xmlns:pic="http://schemas.openxmlformats.org/drawingml/2006/picture">
            <wp:extent cx="5852160" cy="2346501"/>
            <wp:docPr id="107" name="Picture 10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页面用途</w:t>
      </w:r>
      <w:r>
        <w:rPr>
          <w:rFonts w:ascii="Microsoft YaHei" w:hAnsi="Microsoft YaHei" w:eastAsia="Microsoft YaHei"/>
          <w:b w:val="0"/>
          <w:sz w:val="20"/>
        </w:rPr>
        <w:t>：在线充值配置页面用于集中查看和维护各充值分组下的支付通道配置，是日常核对通道启停、限额和前台展示信息的主入口。</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：主表通常支持按支付通道和状态筛选，列表中可查看支付方式、排序、图标、前台通道名称、通道名称、是否启用、推荐充值金额、最小/最大限额、前台提示、备注和操作入口。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操作说明</w:t>
      </w:r>
      <w:r>
        <w:rPr>
          <w:rFonts w:ascii="Microsoft YaHei" w:hAnsi="Microsoft YaHei" w:eastAsia="Microsoft YaHei"/>
          <w:b w:val="0"/>
          <w:sz w:val="20"/>
        </w:rPr>
        <w:t>：列表按支付方式分组展示，展开后可查看组内通道配置；调整前应先确认当前支付方式所在分组，再进入对应行执行修改或查看。</w:t>
      </w:r>
    </w:p>
    <w:p>
      <w:pPr>
        <w:pStyle w:val="6"/>
        <w:spacing w:after="60" w:line="276" w:lineRule="auto"/>
      </w:pPr>
      <w:r>
        <w:rPr>
          <w:rFonts w:ascii="Microsoft YaHei" w:hAnsi="Microsoft YaHei" w:eastAsia="Microsoft YaHei"/>
          <w:b/>
          <w:i/>
          <w:color w:val="2F5597"/>
          <w:sz w:val="21"/>
        </w:rPr>
        <w:t>编辑支付方式分组</w:t>
      </w:r>
    </w:p>
    <w:p>
      <w:pPr>
        <w:spacing w:after="40"/>
        <w:jc w:val="center"/>
      </w:pPr>
      <w:r>
        <w:drawing>
          <wp:inline xmlns:a="http://schemas.openxmlformats.org/drawingml/2006/main" xmlns:pic="http://schemas.openxmlformats.org/drawingml/2006/picture">
            <wp:extent cx="5852160" cy="4215267"/>
            <wp:docPr id="108" name="Picture 10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弹窗用途</w:t>
      </w:r>
      <w:r>
        <w:rPr>
          <w:rFonts w:ascii="Microsoft YaHei" w:hAnsi="Microsoft YaHei" w:eastAsia="Microsoft YaHei"/>
          <w:b w:val="0"/>
          <w:sz w:val="20"/>
        </w:rPr>
        <w:t>：编辑支付方式分组弹窗用于维护充值页分组的前台展示信息，适合统一调整同类支付方式的展示名称和排序。</w:t>
      </w:r>
    </w:p>
    <w:p>
      <w:pPr>
        <w:pStyle w:val="16"/>
        <w:spacing w:after="60" w:line="276" w:lineRule="auto"/>
      </w:pPr>
      <w:r>
        <w:rPr>
          <w:rFonts w:ascii="Microsoft YaHei" w:hAnsi="Microsoft YaHei" w:eastAsia="Microsoft YaHei"/>
          <w:b/>
          <w:color w:val="2F5597"/>
          <w:sz w:val="20"/>
        </w:rPr>
        <w:t>配置字段</w:t>
      </w:r>
      <w:r>
        <w:rPr>
          <w:rFonts w:ascii="Microsoft YaHei" w:hAnsi="Microsoft YaHei" w:eastAsia="Microsoft YaHei"/>
          <w:b w:val="0"/>
          <w:sz w:val="20"/>
        </w:rPr>
        <w:t>：弹窗内通常可维护前台支付方式名字、图标和排序值，其中名称和图标会直接影响前台充值页的视觉展示。</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：图标建议保持统一尺寸和格式，排序值用于控制分组在前台的展示先后；保存前应确认分组名称与当前支付通道的实际用途一致。</w:t>
      </w:r>
    </w:p>
    <w:p>
      <w:pPr>
        <w:pStyle w:val="6"/>
        <w:spacing w:after="60" w:line="276" w:lineRule="auto"/>
      </w:pPr>
      <w:r>
        <w:rPr>
          <w:rFonts w:ascii="Microsoft YaHei" w:hAnsi="Microsoft YaHei" w:eastAsia="Microsoft YaHei"/>
          <w:b/>
          <w:i/>
          <w:color w:val="2F5597"/>
          <w:sz w:val="21"/>
        </w:rPr>
        <w:t>充值配置</w:t>
      </w:r>
    </w:p>
    <w:p>
      <w:pPr>
        <w:spacing w:after="40"/>
        <w:jc w:val="center"/>
      </w:pPr>
      <w:r>
        <w:drawing>
          <wp:inline xmlns:a="http://schemas.openxmlformats.org/drawingml/2006/main" xmlns:pic="http://schemas.openxmlformats.org/drawingml/2006/picture">
            <wp:extent cx="5852160" cy="4432151"/>
            <wp:docPr id="109" name="Picture 10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弹窗用途</w:t>
      </w:r>
      <w:r>
        <w:rPr>
          <w:rFonts w:ascii="Microsoft YaHei" w:hAnsi="Microsoft YaHei" w:eastAsia="Microsoft YaHei"/>
          <w:b w:val="0"/>
          <w:sz w:val="20"/>
        </w:rPr>
        <w:t>：充值配置弹窗用于维护站点级充值提示信息和并发订单限制，是控制充值体验和前台引导文案的统一入口。</w:t>
      </w:r>
    </w:p>
    <w:p>
      <w:pPr>
        <w:pStyle w:val="16"/>
        <w:spacing w:after="60" w:line="276" w:lineRule="auto"/>
      </w:pPr>
      <w:r>
        <w:rPr>
          <w:rFonts w:ascii="Microsoft YaHei" w:hAnsi="Microsoft YaHei" w:eastAsia="Microsoft YaHei"/>
          <w:b/>
          <w:color w:val="2F5597"/>
          <w:sz w:val="20"/>
        </w:rPr>
        <w:t>配置字段</w:t>
      </w:r>
      <w:r>
        <w:rPr>
          <w:rFonts w:ascii="Microsoft YaHei" w:hAnsi="Microsoft YaHei" w:eastAsia="Microsoft YaHei"/>
          <w:b w:val="0"/>
          <w:sz w:val="20"/>
        </w:rPr>
        <w:t>：弹窗内一般可维护每个用户最大可同时进行中的充值订单数，以及充值提示语内容；提示语支持富文本编辑和实时预览。</w:t>
      </w:r>
    </w:p>
    <w:p>
      <w:pPr>
        <w:pStyle w:val="16"/>
        <w:spacing w:after="60" w:line="276" w:lineRule="auto"/>
      </w:pPr>
      <w:r>
        <w:rPr>
          <w:rFonts w:ascii="Microsoft YaHei" w:hAnsi="Microsoft YaHei" w:eastAsia="Microsoft YaHei"/>
          <w:b/>
          <w:color w:val="2F5597"/>
          <w:sz w:val="20"/>
        </w:rPr>
        <w:t>注意事项</w:t>
      </w:r>
      <w:r>
        <w:rPr>
          <w:rFonts w:ascii="Microsoft YaHei" w:hAnsi="Microsoft YaHei" w:eastAsia="Microsoft YaHei"/>
          <w:b w:val="0"/>
          <w:sz w:val="20"/>
        </w:rPr>
        <w:t>：提示语内容应与当前支付方式、活动规则和人工处理流程保持一致；保存前建议检查预览区显示效果，避免出现文案截断或与当前业务口径不一致的情况。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