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35767">
      <w:pPr>
        <w:spacing w:after="240"/>
        <w:jc w:val="center"/>
      </w:pPr>
      <w:r>
        <w:rPr>
          <w:rFonts w:ascii="微软雅黑" w:hAnsi="微软雅黑" w:eastAsia="微软雅黑"/>
          <w:b/>
          <w:color w:val="254061"/>
          <w:sz w:val="36"/>
        </w:rPr>
        <w:t>商户后台操作手册</w:t>
      </w:r>
    </w:p>
    <w:p w14:paraId="696FE8DC">
      <w:pPr>
        <w:pStyle w:val="3"/>
        <w:keepNext/>
        <w:spacing w:before="360" w:after="240" w:line="276" w:lineRule="auto"/>
        <w:rPr>
          <w:sz w:val="32"/>
          <w:szCs w:val="32"/>
        </w:rPr>
      </w:pPr>
      <w:r>
        <w:rPr>
          <w:rFonts w:ascii="微软雅黑" w:hAnsi="微软雅黑" w:eastAsia="微软雅黑"/>
          <w:b/>
          <w:color w:val="17365D"/>
          <w:sz w:val="40"/>
          <w:szCs w:val="32"/>
        </w:rPr>
        <w:t>一、手册说明</w:t>
      </w:r>
    </w:p>
    <w:p w14:paraId="3F2BB956">
      <w:pPr>
        <w:pStyle w:val="4"/>
        <w:keepNext/>
        <w:spacing w:before="240" w:after="140" w:line="269" w:lineRule="auto"/>
      </w:pPr>
      <w:r>
        <w:rPr>
          <w:rFonts w:ascii="微软雅黑" w:hAnsi="微软雅黑" w:eastAsia="微软雅黑"/>
          <w:b/>
          <w:color w:val="1F4E79"/>
          <w:sz w:val="30"/>
        </w:rPr>
        <w:t>适用对象</w:t>
      </w:r>
    </w:p>
    <w:p w14:paraId="444207F1">
      <w:pPr>
        <w:spacing w:after="60" w:line="276" w:lineRule="auto"/>
      </w:pPr>
      <w:r>
        <w:rPr>
          <w:rFonts w:ascii="微软雅黑" w:hAnsi="微软雅黑" w:eastAsia="微软雅黑"/>
          <w:b w:val="0"/>
          <w:sz w:val="20"/>
        </w:rPr>
        <w:t>本手册适用于商户后台的运营、客服、财务、风控、代理管理、数据分析和管理员等后台使用人员。</w:t>
      </w:r>
    </w:p>
    <w:p w14:paraId="30B473FA">
      <w:pPr>
        <w:pStyle w:val="4"/>
        <w:keepNext/>
        <w:spacing w:before="240" w:after="140" w:line="269" w:lineRule="auto"/>
      </w:pPr>
      <w:r>
        <w:rPr>
          <w:rFonts w:ascii="微软雅黑" w:hAnsi="微软雅黑" w:eastAsia="微软雅黑"/>
          <w:b/>
          <w:color w:val="1F4E79"/>
          <w:sz w:val="30"/>
        </w:rPr>
        <w:t>后台角色说明</w:t>
      </w:r>
    </w:p>
    <w:p w14:paraId="71333E6F">
      <w:pPr>
        <w:spacing w:after="60" w:line="276" w:lineRule="auto"/>
      </w:pPr>
      <w:r>
        <w:rPr>
          <w:rFonts w:ascii="微软雅黑" w:hAnsi="微软雅黑" w:eastAsia="微软雅黑"/>
          <w:b w:val="0"/>
          <w:sz w:val="20"/>
        </w:rPr>
        <w:t>商户创建或维护后台账号时，只能选择系统已配置好的角色；不同角色对应不同菜单、按钮和数据范围。若角色权限不满足业务需要，需要联系平台管理员或上级管理方调整。</w:t>
      </w:r>
    </w:p>
    <w:p w14:paraId="45E9A768">
      <w:pPr>
        <w:pStyle w:val="4"/>
        <w:keepNext/>
        <w:spacing w:before="240" w:after="140" w:line="269" w:lineRule="auto"/>
      </w:pPr>
      <w:r>
        <w:rPr>
          <w:rFonts w:ascii="微软雅黑" w:hAnsi="微软雅黑" w:eastAsia="微软雅黑"/>
          <w:b/>
          <w:color w:val="1F4E79"/>
          <w:sz w:val="30"/>
        </w:rPr>
        <w:t>常见操作约定</w:t>
      </w:r>
    </w:p>
    <w:p w14:paraId="251E6B23">
      <w:pPr>
        <w:spacing w:after="60" w:line="276" w:lineRule="auto"/>
      </w:pPr>
      <w:r>
        <w:rPr>
          <w:rFonts w:ascii="微软雅黑" w:hAnsi="微软雅黑" w:eastAsia="微软雅黑"/>
          <w:b w:val="0"/>
          <w:sz w:val="20"/>
        </w:rPr>
        <w:t>查询用于按条件筛选数据；重置用于清空筛选条件；新增/编辑通常在弹窗或表单中完成；启用/停用控制配置是否生效；导出需先确认数据范围；审核类操作必须填写明确处理意见。</w:t>
      </w:r>
    </w:p>
    <w:p w14:paraId="78C3B691">
      <w:pPr>
        <w:pStyle w:val="4"/>
        <w:keepNext/>
        <w:spacing w:before="240" w:after="140" w:line="269" w:lineRule="auto"/>
      </w:pPr>
      <w:r>
        <w:rPr>
          <w:rFonts w:ascii="微软雅黑" w:hAnsi="微软雅黑" w:eastAsia="微软雅黑"/>
          <w:b/>
          <w:color w:val="1F4E79"/>
          <w:sz w:val="30"/>
        </w:rPr>
        <w:t>数据与权限说明</w:t>
      </w:r>
    </w:p>
    <w:p w14:paraId="7C79F28F">
      <w:pPr>
        <w:spacing w:after="60" w:line="276" w:lineRule="auto"/>
      </w:pPr>
      <w:r>
        <w:rPr>
          <w:rFonts w:ascii="微软雅黑" w:hAnsi="微软雅黑" w:eastAsia="微软雅黑"/>
          <w:b w:val="0"/>
          <w:sz w:val="20"/>
        </w:rPr>
        <w:t>后台数据受站点、角色、菜单权限和数据权限共同控制。同一页面在不同账号下看到的按钮、字段和数据范围可能不同。报表数据可能存在统计延迟，资金和订单问题应以订单明细与账变记录交叉核对。</w:t>
      </w:r>
    </w:p>
    <w:p w14:paraId="058A6547">
      <w:pPr>
        <w:pStyle w:val="3"/>
        <w:keepNext/>
        <w:spacing w:before="360" w:after="240" w:line="276" w:lineRule="auto"/>
      </w:pPr>
      <w:r>
        <w:rPr>
          <w:rFonts w:ascii="微软雅黑" w:hAnsi="微软雅黑" w:eastAsia="微软雅黑"/>
          <w:b/>
          <w:color w:val="17365D"/>
          <w:sz w:val="40"/>
        </w:rPr>
        <w:t>二、登录与基础导航</w:t>
      </w:r>
    </w:p>
    <w:p w14:paraId="1E9B3755">
      <w:pPr>
        <w:pStyle w:val="4"/>
        <w:keepNext/>
        <w:spacing w:before="240" w:after="140" w:line="269" w:lineRule="auto"/>
      </w:pPr>
      <w:r>
        <w:rPr>
          <w:rFonts w:ascii="微软雅黑" w:hAnsi="微软雅黑" w:eastAsia="微软雅黑"/>
          <w:b/>
          <w:color w:val="1F4E79"/>
          <w:sz w:val="30"/>
        </w:rPr>
        <w:t>登录</w:t>
      </w:r>
    </w:p>
    <w:p w14:paraId="6DC5364C">
      <w:pPr>
        <w:pStyle w:val="16"/>
        <w:spacing w:after="40" w:line="276" w:lineRule="auto"/>
      </w:pPr>
      <w:r>
        <w:rPr>
          <w:rFonts w:ascii="微软雅黑" w:hAnsi="微软雅黑" w:eastAsia="微软雅黑"/>
          <w:b w:val="0"/>
          <w:sz w:val="20"/>
        </w:rPr>
        <w:t>打开后台地址进入登录界面，输入账号和密码后登录。登录后仅展示当前角色有权限访问的菜单。</w:t>
      </w:r>
    </w:p>
    <w:p w14:paraId="2ED3C41C">
      <w:pPr>
        <w:pStyle w:val="16"/>
        <w:spacing w:after="40" w:line="276" w:lineRule="auto"/>
      </w:pPr>
      <w:r>
        <w:rPr>
          <w:rFonts w:ascii="微软雅黑" w:hAnsi="微软雅黑" w:eastAsia="微软雅黑"/>
          <w:b w:val="0"/>
          <w:sz w:val="20"/>
        </w:rPr>
        <w:t>第一次登录会要求绑定谷歌验证器，之后登录需要输入正确的谷歌验证码才可登录成功。</w:t>
      </w:r>
    </w:p>
    <w:p w14:paraId="03B40B16">
      <w:pPr>
        <w:pStyle w:val="4"/>
        <w:keepNext/>
        <w:spacing w:before="240" w:after="140" w:line="269" w:lineRule="auto"/>
      </w:pPr>
      <w:r>
        <w:rPr>
          <w:rFonts w:ascii="微软雅黑" w:hAnsi="微软雅黑" w:eastAsia="微软雅黑"/>
          <w:b/>
          <w:color w:val="1F4E79"/>
          <w:sz w:val="30"/>
        </w:rPr>
        <w:t>菜单导航</w:t>
      </w:r>
    </w:p>
    <w:p w14:paraId="036DA0D9">
      <w:pPr>
        <w:spacing w:after="40"/>
        <w:jc w:val="center"/>
      </w:pPr>
      <w:r>
        <w:drawing>
          <wp:inline distT="0" distB="0" distL="114300" distR="114300">
            <wp:extent cx="5715000" cy="612775"/>
            <wp:effectExtent l="0" t="0" r="0"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15000" cy="613028"/>
                    </a:xfrm>
                    <a:prstGeom prst="rect">
                      <a:avLst/>
                    </a:prstGeom>
                  </pic:spPr>
                </pic:pic>
              </a:graphicData>
            </a:graphic>
          </wp:inline>
        </w:drawing>
      </w:r>
    </w:p>
    <w:p w14:paraId="5BC0C96E">
      <w:pPr>
        <w:spacing w:after="80"/>
        <w:jc w:val="center"/>
      </w:pPr>
      <w:r>
        <w:rPr>
          <w:rFonts w:ascii="微软雅黑" w:hAnsi="微软雅黑" w:eastAsia="微软雅黑"/>
          <w:b w:val="0"/>
          <w:color w:val="606C80"/>
          <w:sz w:val="18"/>
        </w:rPr>
        <w:t>图1：顶部导航栏与基础入口。</w:t>
      </w:r>
    </w:p>
    <w:p w14:paraId="7DB56B7B">
      <w:pPr>
        <w:pStyle w:val="16"/>
        <w:spacing w:after="40" w:line="276" w:lineRule="auto"/>
      </w:pPr>
      <w:r>
        <w:rPr>
          <w:rFonts w:ascii="微软雅黑" w:hAnsi="微软雅黑" w:eastAsia="微软雅黑"/>
          <w:b w:val="0"/>
          <w:sz w:val="20"/>
        </w:rPr>
        <w:t>左上角菜单图标用于展开或收起页面目录。</w:t>
      </w:r>
    </w:p>
    <w:p w14:paraId="479393E5">
      <w:pPr>
        <w:pStyle w:val="16"/>
        <w:spacing w:after="40" w:line="276" w:lineRule="auto"/>
      </w:pPr>
      <w:r>
        <w:rPr>
          <w:rFonts w:ascii="微软雅黑" w:hAnsi="微软雅黑" w:eastAsia="微软雅黑"/>
          <w:b w:val="0"/>
          <w:sz w:val="20"/>
        </w:rPr>
        <w:t>页面目录是主要导航入口，可先点击一级模块，再进入对应页面处理业务。</w:t>
      </w:r>
    </w:p>
    <w:p w14:paraId="40BCF88C">
      <w:pPr>
        <w:pStyle w:val="16"/>
        <w:spacing w:after="40" w:line="276" w:lineRule="auto"/>
      </w:pPr>
      <w:r>
        <w:rPr>
          <w:rFonts w:ascii="微软雅黑" w:hAnsi="微软雅黑" w:eastAsia="微软雅黑"/>
          <w:b w:val="0"/>
          <w:sz w:val="20"/>
        </w:rPr>
        <w:t>顶部时间区域用于查看当前系统时间及对应时区；商户余额区域用于查看当前商户账户可用额度。</w:t>
      </w:r>
    </w:p>
    <w:p w14:paraId="5EF1D3F1">
      <w:pPr>
        <w:pStyle w:val="16"/>
        <w:spacing w:after="40" w:line="276" w:lineRule="auto"/>
      </w:pPr>
      <w:r>
        <w:rPr>
          <w:rFonts w:ascii="微软雅黑" w:hAnsi="微软雅黑" w:eastAsia="微软雅黑"/>
          <w:b w:val="0"/>
          <w:sz w:val="20"/>
        </w:rPr>
        <w:t>点击“充值”按钮可进入商户充值页面；点击站点下拉框可切换当前操作和查看的站点。</w:t>
      </w:r>
    </w:p>
    <w:p w14:paraId="5CF69300">
      <w:pPr>
        <w:spacing w:after="40"/>
        <w:jc w:val="center"/>
      </w:pPr>
      <w:r>
        <w:drawing>
          <wp:inline distT="0" distB="0" distL="114300" distR="114300">
            <wp:extent cx="5715000" cy="3384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15000" cy="338667"/>
                    </a:xfrm>
                    <a:prstGeom prst="rect">
                      <a:avLst/>
                    </a:prstGeom>
                  </pic:spPr>
                </pic:pic>
              </a:graphicData>
            </a:graphic>
          </wp:inline>
        </w:drawing>
      </w:r>
    </w:p>
    <w:p w14:paraId="0CBFCFE7">
      <w:pPr>
        <w:spacing w:after="80"/>
        <w:jc w:val="center"/>
      </w:pPr>
      <w:r>
        <w:rPr>
          <w:rFonts w:ascii="微软雅黑" w:hAnsi="微软雅黑" w:eastAsia="微软雅黑"/>
          <w:b w:val="0"/>
          <w:color w:val="606C80"/>
          <w:sz w:val="18"/>
        </w:rPr>
        <w:t>图2：顶部导航栏右侧区域。</w:t>
      </w:r>
    </w:p>
    <w:p w14:paraId="4E5A0E73">
      <w:pPr>
        <w:pStyle w:val="16"/>
        <w:spacing w:after="40" w:line="276" w:lineRule="auto"/>
      </w:pPr>
      <w:r>
        <w:rPr>
          <w:rFonts w:ascii="微软雅黑" w:hAnsi="微软雅黑" w:eastAsia="微软雅黑"/>
          <w:b w:val="0"/>
          <w:sz w:val="20"/>
        </w:rPr>
        <w:t>点击主题开关，可切换页面显示模式。</w:t>
      </w:r>
    </w:p>
    <w:p w14:paraId="0F8AD9E8">
      <w:pPr>
        <w:pStyle w:val="16"/>
        <w:spacing w:after="40" w:line="276" w:lineRule="auto"/>
      </w:pPr>
      <w:r>
        <w:rPr>
          <w:rFonts w:ascii="微软雅黑" w:hAnsi="微软雅黑" w:eastAsia="微软雅黑"/>
          <w:b w:val="0"/>
          <w:sz w:val="20"/>
        </w:rPr>
        <w:t>点击声音图标，可开启或关闭系统提示音。</w:t>
      </w:r>
    </w:p>
    <w:p w14:paraId="5C7D4480">
      <w:pPr>
        <w:pStyle w:val="16"/>
        <w:spacing w:after="40" w:line="276" w:lineRule="auto"/>
      </w:pPr>
      <w:r>
        <w:rPr>
          <w:rFonts w:ascii="微软雅黑" w:hAnsi="微软雅黑" w:eastAsia="微软雅黑"/>
          <w:b w:val="0"/>
          <w:sz w:val="20"/>
        </w:rPr>
        <w:t>点击背景样式图标，可切换页面背景显示效果。</w:t>
      </w:r>
    </w:p>
    <w:p w14:paraId="4A55B6A9">
      <w:pPr>
        <w:pStyle w:val="16"/>
        <w:spacing w:after="40" w:line="276" w:lineRule="auto"/>
      </w:pPr>
      <w:r>
        <w:rPr>
          <w:rFonts w:ascii="微软雅黑" w:hAnsi="微软雅黑" w:eastAsia="微软雅黑"/>
          <w:b w:val="0"/>
          <w:sz w:val="20"/>
        </w:rPr>
        <w:t>点击界面尺寸选项，可在默认、中、小、迷你之间切换页面显示尺寸。</w:t>
      </w:r>
    </w:p>
    <w:p w14:paraId="4B423F7E">
      <w:pPr>
        <w:pStyle w:val="16"/>
        <w:spacing w:after="40" w:line="276" w:lineRule="auto"/>
      </w:pPr>
      <w:r>
        <w:rPr>
          <w:rFonts w:ascii="微软雅黑" w:hAnsi="微软雅黑" w:eastAsia="微软雅黑"/>
          <w:b w:val="0"/>
          <w:sz w:val="20"/>
        </w:rPr>
        <w:t>点击语言入口，可切换系统显示语言。</w:t>
      </w:r>
    </w:p>
    <w:p w14:paraId="09AA4FBD">
      <w:pPr>
        <w:pStyle w:val="16"/>
        <w:spacing w:after="40" w:line="276" w:lineRule="auto"/>
      </w:pPr>
      <w:r>
        <w:rPr>
          <w:rFonts w:ascii="微软雅黑" w:hAnsi="微软雅黑" w:eastAsia="微软雅黑"/>
          <w:b w:val="0"/>
          <w:sz w:val="20"/>
        </w:rPr>
        <w:t>点击通知图标，可查看系统通知或消息提醒。</w:t>
      </w:r>
    </w:p>
    <w:p w14:paraId="004514B3">
      <w:pPr>
        <w:pStyle w:val="16"/>
        <w:spacing w:after="40" w:line="276" w:lineRule="auto"/>
      </w:pPr>
      <w:r>
        <w:rPr>
          <w:rFonts w:ascii="微软雅黑" w:hAnsi="微软雅黑" w:eastAsia="微软雅黑"/>
          <w:b w:val="0"/>
          <w:sz w:val="20"/>
        </w:rPr>
        <w:t>点击站点下拉框，可切换当前操作和查看的站点。</w:t>
      </w:r>
    </w:p>
    <w:p w14:paraId="65A72DD5">
      <w:pPr>
        <w:pStyle w:val="16"/>
        <w:spacing w:after="40" w:line="276" w:lineRule="auto"/>
      </w:pPr>
      <w:r>
        <w:rPr>
          <w:rFonts w:ascii="微软雅黑" w:hAnsi="微软雅黑" w:eastAsia="微软雅黑"/>
          <w:b w:val="0"/>
          <w:sz w:val="20"/>
        </w:rPr>
        <w:t>点击头像图标，可退出当前登录账号。</w:t>
      </w:r>
    </w:p>
    <w:p w14:paraId="6DBB32BC">
      <w:pPr>
        <w:pStyle w:val="4"/>
        <w:keepNext/>
        <w:spacing w:before="240" w:after="140" w:line="269" w:lineRule="auto"/>
      </w:pPr>
      <w:r>
        <w:rPr>
          <w:rFonts w:ascii="微软雅黑" w:hAnsi="微软雅黑" w:eastAsia="微软雅黑"/>
          <w:b/>
          <w:color w:val="1F4E79"/>
          <w:sz w:val="30"/>
        </w:rPr>
        <w:t>筛选、表格、分页、弹窗、状态开关等通用操作</w:t>
      </w:r>
    </w:p>
    <w:p w14:paraId="4460A6EB">
      <w:pPr>
        <w:pStyle w:val="16"/>
        <w:spacing w:after="40" w:line="276" w:lineRule="auto"/>
      </w:pPr>
      <w:r>
        <w:rPr>
          <w:rFonts w:ascii="微软雅黑" w:hAnsi="微软雅黑" w:eastAsia="微软雅黑"/>
          <w:b/>
          <w:color w:val="254061"/>
          <w:sz w:val="20"/>
        </w:rPr>
        <w:t>筛选：</w:t>
      </w:r>
      <w:r>
        <w:rPr>
          <w:rFonts w:ascii="微软雅黑" w:hAnsi="微软雅黑" w:eastAsia="微软雅黑"/>
          <w:b w:val="0"/>
          <w:sz w:val="20"/>
        </w:rPr>
        <w:t>输入时间、账号、状态、渠道、类型等条件后点击查询；结果不符合预期时先重置再重新查询。</w:t>
      </w:r>
    </w:p>
    <w:p w14:paraId="2D0F5F1A">
      <w:pPr>
        <w:pStyle w:val="16"/>
        <w:spacing w:after="40" w:line="276" w:lineRule="auto"/>
      </w:pPr>
      <w:r>
        <w:rPr>
          <w:rFonts w:ascii="微软雅黑" w:hAnsi="微软雅黑" w:eastAsia="微软雅黑"/>
          <w:b/>
          <w:color w:val="254061"/>
          <w:sz w:val="20"/>
        </w:rPr>
        <w:t>表格：</w:t>
      </w:r>
      <w:r>
        <w:rPr>
          <w:rFonts w:ascii="微软雅黑" w:hAnsi="微软雅黑" w:eastAsia="微软雅黑"/>
          <w:b w:val="0"/>
          <w:sz w:val="20"/>
        </w:rPr>
        <w:t>表格通常承载列表数据，支持查看状态、金额、时间、操作人和行内操作。</w:t>
      </w:r>
    </w:p>
    <w:p w14:paraId="4046FDC4">
      <w:pPr>
        <w:pStyle w:val="16"/>
        <w:spacing w:after="40" w:line="276" w:lineRule="auto"/>
      </w:pPr>
      <w:r>
        <w:rPr>
          <w:rFonts w:ascii="微软雅黑" w:hAnsi="微软雅黑" w:eastAsia="微软雅黑"/>
          <w:b/>
          <w:color w:val="254061"/>
          <w:sz w:val="20"/>
        </w:rPr>
        <w:t>分页：</w:t>
      </w:r>
      <w:r>
        <w:rPr>
          <w:rFonts w:ascii="微软雅黑" w:hAnsi="微软雅黑" w:eastAsia="微软雅黑"/>
          <w:b w:val="0"/>
          <w:sz w:val="20"/>
        </w:rPr>
        <w:t>列表数据较多时通过分页切换；排查问题时注意当前页码和每页条数。</w:t>
      </w:r>
    </w:p>
    <w:p w14:paraId="35437CEB">
      <w:pPr>
        <w:pStyle w:val="16"/>
        <w:spacing w:after="40" w:line="276" w:lineRule="auto"/>
      </w:pPr>
      <w:r>
        <w:rPr>
          <w:rFonts w:ascii="微软雅黑" w:hAnsi="微软雅黑" w:eastAsia="微软雅黑"/>
          <w:b/>
          <w:color w:val="254061"/>
          <w:sz w:val="20"/>
        </w:rPr>
        <w:t>弹窗：</w:t>
      </w:r>
      <w:r>
        <w:rPr>
          <w:rFonts w:ascii="微软雅黑" w:hAnsi="微软雅黑" w:eastAsia="微软雅黑"/>
          <w:b w:val="0"/>
          <w:sz w:val="20"/>
        </w:rPr>
        <w:t>新增、编辑、审核、确认等操作通常在弹窗中完成，关闭前需确认是否保存。</w:t>
      </w:r>
    </w:p>
    <w:p w14:paraId="59FC8821">
      <w:pPr>
        <w:pStyle w:val="16"/>
        <w:spacing w:after="40" w:line="276" w:lineRule="auto"/>
      </w:pPr>
      <w:r>
        <w:rPr>
          <w:rFonts w:ascii="微软雅黑" w:hAnsi="微软雅黑" w:eastAsia="微软雅黑"/>
          <w:b/>
          <w:color w:val="254061"/>
          <w:sz w:val="20"/>
        </w:rPr>
        <w:t>状态开关：</w:t>
      </w:r>
      <w:r>
        <w:rPr>
          <w:rFonts w:ascii="微软雅黑" w:hAnsi="微软雅黑" w:eastAsia="微软雅黑"/>
          <w:b w:val="0"/>
          <w:sz w:val="20"/>
        </w:rPr>
        <w:t>启用后配置生效，停用后配置隐藏或失效；停用前应确认是否影响线上业务。</w:t>
      </w:r>
    </w:p>
    <w:p w14:paraId="24826FDC">
      <w:pPr>
        <w:pStyle w:val="3"/>
        <w:keepNext/>
        <w:spacing w:before="360" w:after="240" w:line="276" w:lineRule="auto"/>
      </w:pPr>
      <w:r>
        <w:rPr>
          <w:rFonts w:ascii="微软雅黑" w:hAnsi="微软雅黑" w:eastAsia="微软雅黑"/>
          <w:b/>
          <w:color w:val="17365D"/>
          <w:sz w:val="40"/>
        </w:rPr>
        <w:t>三、首页</w:t>
      </w:r>
    </w:p>
    <w:p w14:paraId="011B137F">
      <w:pPr>
        <w:pStyle w:val="4"/>
        <w:keepNext/>
        <w:spacing w:before="240" w:after="140" w:line="269" w:lineRule="auto"/>
      </w:pPr>
      <w:r>
        <w:rPr>
          <w:rFonts w:ascii="微软雅黑" w:hAnsi="微软雅黑" w:eastAsia="微软雅黑"/>
          <w:b/>
          <w:color w:val="1F4E79"/>
          <w:sz w:val="30"/>
        </w:rPr>
        <w:t>默认看板</w:t>
      </w:r>
    </w:p>
    <w:p w14:paraId="31BDE987">
      <w:pPr>
        <w:spacing w:after="60" w:line="276" w:lineRule="auto"/>
      </w:pPr>
      <w:r>
        <w:rPr>
          <w:rFonts w:ascii="微软雅黑" w:hAnsi="微软雅黑" w:eastAsia="微软雅黑"/>
          <w:b w:val="0"/>
          <w:sz w:val="20"/>
        </w:rPr>
        <w:t>登入后台后即可见首页看板，用于快速查看站点当下的即时状况。</w:t>
      </w:r>
    </w:p>
    <w:p w14:paraId="65BE6AE2">
      <w:pPr>
        <w:spacing w:after="40"/>
        <w:jc w:val="center"/>
      </w:pPr>
      <w:r>
        <w:drawing>
          <wp:inline distT="0" distB="0" distL="114300" distR="114300">
            <wp:extent cx="5715000" cy="24536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15000" cy="2453799"/>
                    </a:xfrm>
                    <a:prstGeom prst="rect">
                      <a:avLst/>
                    </a:prstGeom>
                  </pic:spPr>
                </pic:pic>
              </a:graphicData>
            </a:graphic>
          </wp:inline>
        </w:drawing>
      </w:r>
    </w:p>
    <w:p w14:paraId="29B9A087">
      <w:pPr>
        <w:spacing w:after="80"/>
        <w:jc w:val="center"/>
      </w:pPr>
      <w:r>
        <w:rPr>
          <w:rFonts w:ascii="微软雅黑" w:hAnsi="微软雅黑" w:eastAsia="微软雅黑"/>
          <w:b w:val="0"/>
          <w:color w:val="606C80"/>
          <w:sz w:val="18"/>
        </w:rPr>
        <w:t>图3：首页看板，用于查看站点核心数据与待处理事项。</w:t>
      </w:r>
    </w:p>
    <w:p w14:paraId="26EB95C4">
      <w:pPr>
        <w:pStyle w:val="16"/>
        <w:spacing w:after="40" w:line="276" w:lineRule="auto"/>
      </w:pPr>
      <w:r>
        <w:rPr>
          <w:rFonts w:ascii="微软雅黑" w:hAnsi="微软雅黑" w:eastAsia="微软雅黑"/>
          <w:b/>
          <w:color w:val="254061"/>
          <w:sz w:val="20"/>
        </w:rPr>
        <w:t>模块定位：</w:t>
      </w:r>
      <w:r>
        <w:rPr>
          <w:rFonts w:ascii="微软雅黑" w:hAnsi="微软雅黑" w:eastAsia="微软雅黑"/>
          <w:b w:val="0"/>
          <w:sz w:val="20"/>
        </w:rPr>
        <w:t>首页用于经营总览和待办提醒，是商户进入后台后的默认查看入口。</w:t>
      </w:r>
    </w:p>
    <w:p w14:paraId="26DE2C9B">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重点查看今日、昨日、本月等关键指标，并通过快捷入口进入高频业务页面。</w:t>
      </w:r>
    </w:p>
    <w:p w14:paraId="2615A54D">
      <w:pPr>
        <w:pStyle w:val="16"/>
        <w:spacing w:after="40" w:line="276" w:lineRule="auto"/>
      </w:pPr>
      <w:r>
        <w:rPr>
          <w:rFonts w:ascii="微软雅黑" w:hAnsi="微软雅黑" w:eastAsia="微软雅黑"/>
          <w:b/>
          <w:color w:val="254061"/>
          <w:sz w:val="20"/>
        </w:rPr>
        <w:t>字段说明：</w:t>
      </w:r>
      <w:r>
        <w:rPr>
          <w:rFonts w:ascii="微软雅黑" w:hAnsi="微软雅黑" w:eastAsia="微软雅黑"/>
          <w:b w:val="0"/>
          <w:sz w:val="20"/>
        </w:rPr>
        <w:t>常见字段包含注册人数、充值金额、提现金额、投注金额、输赢、待审核订单和异常提醒。</w:t>
      </w:r>
    </w:p>
    <w:p w14:paraId="7F24189B">
      <w:pPr>
        <w:pStyle w:val="16"/>
        <w:spacing w:after="40" w:line="276" w:lineRule="auto"/>
      </w:pPr>
      <w:r>
        <w:rPr>
          <w:rFonts w:ascii="微软雅黑" w:hAnsi="微软雅黑" w:eastAsia="微软雅黑"/>
          <w:b/>
          <w:color w:val="254061"/>
          <w:sz w:val="20"/>
        </w:rPr>
        <w:t>操作流程：</w:t>
      </w:r>
      <w:r>
        <w:rPr>
          <w:rFonts w:ascii="微软雅黑" w:hAnsi="微软雅黑" w:eastAsia="微软雅黑"/>
          <w:b w:val="0"/>
          <w:sz w:val="20"/>
        </w:rPr>
        <w:t>进入后台后先查看看板指标，再根据待办或异常入口进入对应模块处理。</w:t>
      </w:r>
    </w:p>
    <w:p w14:paraId="3F736219">
      <w:pPr>
        <w:pStyle w:val="16"/>
        <w:spacing w:after="40" w:line="276" w:lineRule="auto"/>
      </w:pPr>
      <w:r>
        <w:rPr>
          <w:rFonts w:ascii="微软雅黑" w:hAnsi="微软雅黑" w:eastAsia="微软雅黑"/>
          <w:b/>
          <w:color w:val="254061"/>
          <w:sz w:val="20"/>
        </w:rPr>
        <w:t>注意事项：</w:t>
      </w:r>
      <w:r>
        <w:rPr>
          <w:rFonts w:ascii="微软雅黑" w:hAnsi="微软雅黑" w:eastAsia="微软雅黑"/>
          <w:b w:val="0"/>
          <w:sz w:val="20"/>
        </w:rPr>
        <w:t>看板数据通常存在刷新周期，遇到口径差异时以具体报表和订单明细为准。</w:t>
      </w:r>
    </w:p>
    <w:p w14:paraId="4D4F2705">
      <w:pPr>
        <w:pStyle w:val="16"/>
        <w:spacing w:after="40" w:line="276" w:lineRule="auto"/>
      </w:pPr>
      <w:r>
        <w:rPr>
          <w:rFonts w:ascii="微软雅黑" w:hAnsi="微软雅黑" w:eastAsia="微软雅黑"/>
          <w:b/>
          <w:color w:val="254061"/>
          <w:sz w:val="20"/>
        </w:rPr>
        <w:t>常见问题：</w:t>
      </w:r>
      <w:r>
        <w:rPr>
          <w:rFonts w:ascii="微软雅黑" w:hAnsi="微软雅黑" w:eastAsia="微软雅黑"/>
          <w:b w:val="0"/>
          <w:sz w:val="20"/>
        </w:rPr>
        <w:t>看板数据与报表不同步时，优先检查统计时间、刷新频率、站点筛选和数据口径。</w:t>
      </w:r>
    </w:p>
    <w:p w14:paraId="50AB8CB3">
      <w:pPr>
        <w:pStyle w:val="3"/>
        <w:keepNext/>
        <w:spacing w:before="360" w:after="240" w:line="276" w:lineRule="auto"/>
      </w:pPr>
      <w:r>
        <w:rPr>
          <w:rFonts w:ascii="微软雅黑" w:hAnsi="微软雅黑" w:eastAsia="微软雅黑"/>
          <w:b/>
          <w:color w:val="17365D"/>
          <w:sz w:val="40"/>
        </w:rPr>
        <w:t>四、站点配置</w:t>
      </w:r>
    </w:p>
    <w:p w14:paraId="09A77A3A">
      <w:pPr>
        <w:pStyle w:val="4"/>
        <w:keepNext/>
        <w:spacing w:before="240" w:after="140" w:line="269" w:lineRule="auto"/>
      </w:pPr>
      <w:r>
        <w:rPr>
          <w:rFonts w:ascii="微软雅黑" w:hAnsi="微软雅黑" w:eastAsia="微软雅黑"/>
          <w:b/>
          <w:color w:val="1F4E79"/>
          <w:sz w:val="30"/>
        </w:rPr>
        <w:t>模块定位</w:t>
      </w:r>
    </w:p>
    <w:p w14:paraId="34C890A4">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A2E6C01">
      <w:pPr>
        <w:pStyle w:val="4"/>
        <w:keepNext/>
        <w:spacing w:before="240" w:after="140" w:line="269" w:lineRule="auto"/>
      </w:pPr>
      <w:r>
        <w:rPr>
          <w:rFonts w:ascii="微软雅黑" w:hAnsi="微软雅黑" w:eastAsia="微软雅黑"/>
          <w:b/>
          <w:color w:val="1F4E79"/>
          <w:sz w:val="30"/>
        </w:rPr>
        <w:t>页面说明</w:t>
      </w:r>
    </w:p>
    <w:p w14:paraId="6F34775A">
      <w:pPr>
        <w:pStyle w:val="5"/>
        <w:keepNext/>
        <w:spacing w:before="180" w:after="100" w:line="259" w:lineRule="auto"/>
        <w:rPr>
          <w:sz w:val="24"/>
          <w:szCs w:val="28"/>
        </w:rPr>
      </w:pPr>
      <w:r>
        <w:rPr>
          <w:rFonts w:ascii="微软雅黑" w:hAnsi="微软雅黑" w:eastAsia="微软雅黑"/>
          <w:b/>
          <w:color w:val="2F5597"/>
          <w:sz w:val="25"/>
          <w:szCs w:val="28"/>
        </w:rPr>
        <w:t>模板管理</w:t>
      </w:r>
    </w:p>
    <w:p w14:paraId="67DB1E2D">
      <w:pPr>
        <w:spacing w:after="40"/>
        <w:jc w:val="center"/>
      </w:pPr>
      <w:r>
        <w:drawing>
          <wp:inline distT="0" distB="0" distL="114300" distR="114300">
            <wp:extent cx="5715000" cy="2611120"/>
            <wp:effectExtent l="0" t="0" r="0" b="177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15000" cy="2611530"/>
                    </a:xfrm>
                    <a:prstGeom prst="rect">
                      <a:avLst/>
                    </a:prstGeom>
                  </pic:spPr>
                </pic:pic>
              </a:graphicData>
            </a:graphic>
          </wp:inline>
        </w:drawing>
      </w:r>
    </w:p>
    <w:p w14:paraId="6A77B95A">
      <w:pPr>
        <w:spacing w:after="80"/>
        <w:jc w:val="center"/>
      </w:pPr>
      <w:r>
        <w:rPr>
          <w:rFonts w:ascii="微软雅黑" w:hAnsi="微软雅黑" w:eastAsia="微软雅黑"/>
          <w:b w:val="0"/>
          <w:color w:val="606C80"/>
          <w:sz w:val="18"/>
        </w:rPr>
        <w:t>图4：模板管理页面，用于维护首页、登录页和 VIP 页展示方案。</w:t>
      </w:r>
    </w:p>
    <w:p w14:paraId="6AE206A0">
      <w:pPr>
        <w:spacing w:after="60" w:line="276" w:lineRule="auto"/>
      </w:pPr>
      <w:r>
        <w:rPr>
          <w:rFonts w:ascii="微软雅黑" w:hAnsi="微软雅黑" w:eastAsia="微软雅黑"/>
          <w:b w:val="0"/>
          <w:sz w:val="20"/>
        </w:rPr>
        <w:t>模板管理用于维护前台页面的装修模板和展示方案，位于站点配置目录下。运营人员可在同一页面内选择首页、登录页、VIP 页模板，添加页面组件，预览手机端效果，并调整页面主题或组件属性。模板保存并启用后，会影响用户在前台看到的页面结构、视觉风格和功能入口。</w:t>
      </w:r>
    </w:p>
    <w:p w14:paraId="4EA9C39D">
      <w:pPr>
        <w:pStyle w:val="6"/>
        <w:keepNext/>
        <w:spacing w:before="120" w:after="60" w:line="252" w:lineRule="auto"/>
      </w:pPr>
      <w:r>
        <w:rPr>
          <w:rFonts w:ascii="微软雅黑" w:hAnsi="微软雅黑" w:eastAsia="微软雅黑"/>
          <w:b/>
          <w:color w:val="44546A"/>
          <w:sz w:val="22"/>
        </w:rPr>
        <w:t>左侧组件区</w:t>
      </w:r>
    </w:p>
    <w:p w14:paraId="1D3F2BD9">
      <w:pPr>
        <w:pStyle w:val="16"/>
        <w:spacing w:after="40" w:line="276" w:lineRule="auto"/>
      </w:pPr>
      <w:r>
        <w:rPr>
          <w:rFonts w:ascii="微软雅黑" w:hAnsi="微软雅黑" w:eastAsia="微软雅黑"/>
          <w:b/>
          <w:color w:val="254061"/>
          <w:sz w:val="20"/>
        </w:rPr>
        <w:t>页面类型：</w:t>
      </w:r>
      <w:r>
        <w:rPr>
          <w:rFonts w:ascii="微软雅黑" w:hAnsi="微软雅黑" w:eastAsia="微软雅黑"/>
          <w:b w:val="0"/>
          <w:sz w:val="20"/>
        </w:rPr>
        <w:t>顶部可在首页模板、登录模板、VIP 模板之间切换，不同模板下展示可用的组件或样式。</w:t>
      </w:r>
    </w:p>
    <w:p w14:paraId="24B068C0">
      <w:pPr>
        <w:pStyle w:val="16"/>
        <w:spacing w:after="40" w:line="276" w:lineRule="auto"/>
      </w:pPr>
      <w:r>
        <w:rPr>
          <w:rFonts w:ascii="微软雅黑" w:hAnsi="微软雅黑" w:eastAsia="微软雅黑"/>
          <w:b/>
          <w:color w:val="254061"/>
          <w:sz w:val="20"/>
        </w:rPr>
        <w:t>首页模板：</w:t>
      </w:r>
      <w:r>
        <w:rPr>
          <w:rFonts w:ascii="微软雅黑" w:hAnsi="微软雅黑" w:eastAsia="微软雅黑"/>
          <w:b w:val="0"/>
          <w:sz w:val="20"/>
        </w:rPr>
        <w:t>按营销、导航、内容、基础等分组选择组件，例如轮播图、奖池、公告栏、快捷入口、楼层导航、个人引导、底部导航和游戏模块。</w:t>
      </w:r>
    </w:p>
    <w:p w14:paraId="47731CC1">
      <w:pPr>
        <w:pStyle w:val="16"/>
        <w:spacing w:after="40" w:line="276" w:lineRule="auto"/>
      </w:pPr>
      <w:r>
        <w:rPr>
          <w:rFonts w:ascii="微软雅黑" w:hAnsi="微软雅黑" w:eastAsia="微软雅黑"/>
          <w:b/>
          <w:color w:val="254061"/>
          <w:sz w:val="20"/>
        </w:rPr>
        <w:t>登录模板：</w:t>
      </w:r>
      <w:r>
        <w:rPr>
          <w:rFonts w:ascii="微软雅黑" w:hAnsi="微软雅黑" w:eastAsia="微软雅黑"/>
          <w:b w:val="0"/>
          <w:sz w:val="20"/>
        </w:rPr>
        <w:t>用于选择登录展示方式，包含弹框模式和页面模式。</w:t>
      </w:r>
    </w:p>
    <w:p w14:paraId="421409C1">
      <w:pPr>
        <w:pStyle w:val="16"/>
        <w:spacing w:after="40" w:line="276" w:lineRule="auto"/>
      </w:pPr>
      <w:r>
        <w:rPr>
          <w:rFonts w:ascii="微软雅黑" w:hAnsi="微软雅黑" w:eastAsia="微软雅黑"/>
          <w:b/>
          <w:color w:val="254061"/>
          <w:sz w:val="20"/>
        </w:rPr>
        <w:t>VIP模板：</w:t>
      </w:r>
      <w:r>
        <w:rPr>
          <w:rFonts w:ascii="微软雅黑" w:hAnsi="微软雅黑" w:eastAsia="微软雅黑"/>
          <w:b w:val="0"/>
          <w:sz w:val="20"/>
        </w:rPr>
        <w:t>用于选择 VIP 页面展示样式，包含模板 A、模板 B、模板 C 等不同布局。</w:t>
      </w:r>
    </w:p>
    <w:p w14:paraId="17F1547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点击或拖拽组件到中间预览区；当前选中的 Tab、模板或组件会高亮显示。</w:t>
      </w:r>
    </w:p>
    <w:p w14:paraId="193F00FC">
      <w:pPr>
        <w:pStyle w:val="6"/>
        <w:keepNext/>
        <w:spacing w:before="120" w:after="60" w:line="252" w:lineRule="auto"/>
      </w:pPr>
      <w:r>
        <w:rPr>
          <w:rFonts w:ascii="微软雅黑" w:hAnsi="微软雅黑" w:eastAsia="微软雅黑"/>
          <w:b/>
          <w:color w:val="44546A"/>
          <w:sz w:val="22"/>
        </w:rPr>
        <w:t>中间页面预览区</w:t>
      </w:r>
    </w:p>
    <w:p w14:paraId="7153ADD5">
      <w:pPr>
        <w:pStyle w:val="16"/>
        <w:spacing w:after="40" w:line="276" w:lineRule="auto"/>
      </w:pPr>
      <w:r>
        <w:rPr>
          <w:rFonts w:ascii="微软雅黑" w:hAnsi="微软雅黑" w:eastAsia="微软雅黑"/>
          <w:b/>
          <w:color w:val="254061"/>
          <w:sz w:val="20"/>
        </w:rPr>
        <w:t>页面预览：</w:t>
      </w:r>
      <w:r>
        <w:rPr>
          <w:rFonts w:ascii="微软雅黑" w:hAnsi="微软雅黑" w:eastAsia="微软雅黑"/>
          <w:b w:val="0"/>
          <w:sz w:val="20"/>
        </w:rPr>
        <w:t>中间区域用于实时预览当前页面装修效果，顶部可编辑页面名称，并提供创建/更改、撤销、重做等操作。</w:t>
      </w:r>
    </w:p>
    <w:p w14:paraId="4BECB090">
      <w:pPr>
        <w:pStyle w:val="16"/>
        <w:spacing w:after="40" w:line="276" w:lineRule="auto"/>
      </w:pPr>
      <w:r>
        <w:rPr>
          <w:rFonts w:ascii="微软雅黑" w:hAnsi="微软雅黑" w:eastAsia="微软雅黑"/>
          <w:b/>
          <w:color w:val="254061"/>
          <w:sz w:val="20"/>
        </w:rPr>
        <w:t>预览内容：</w:t>
      </w:r>
      <w:r>
        <w:rPr>
          <w:rFonts w:ascii="微软雅黑" w:hAnsi="微软雅黑" w:eastAsia="微软雅黑"/>
          <w:b w:val="0"/>
          <w:sz w:val="20"/>
        </w:rPr>
        <w:t>首页模板展示首页布局和已添加组件；登录模板展示弹框登录或页面登录；VIP 模板展示对应 VIP 页面样式。</w:t>
      </w:r>
    </w:p>
    <w:p w14:paraId="342D70B7">
      <w:pPr>
        <w:pStyle w:val="16"/>
        <w:spacing w:after="40" w:line="276" w:lineRule="auto"/>
      </w:pPr>
      <w:r>
        <w:rPr>
          <w:rFonts w:ascii="微软雅黑" w:hAnsi="微软雅黑" w:eastAsia="微软雅黑"/>
          <w:b/>
          <w:color w:val="254061"/>
          <w:sz w:val="20"/>
        </w:rPr>
        <w:t>组件操作：</w:t>
      </w:r>
      <w:r>
        <w:rPr>
          <w:rFonts w:ascii="微软雅黑" w:hAnsi="微软雅黑" w:eastAsia="微软雅黑"/>
          <w:b w:val="0"/>
          <w:sz w:val="20"/>
        </w:rPr>
        <w:t>未添加组件时显示添加提示；添加组件后按页面顺序展示。点击组件后可看到选中边框、组件标题以及上移、下移、删除等操作。</w:t>
      </w:r>
    </w:p>
    <w:p w14:paraId="572CCD5D">
      <w:pPr>
        <w:pStyle w:val="16"/>
        <w:spacing w:after="40" w:line="276" w:lineRule="auto"/>
      </w:pPr>
      <w:r>
        <w:rPr>
          <w:rFonts w:ascii="微软雅黑" w:hAnsi="微软雅黑" w:eastAsia="微软雅黑"/>
          <w:b/>
          <w:color w:val="254061"/>
          <w:sz w:val="20"/>
        </w:rPr>
        <w:t>联动规则：</w:t>
      </w:r>
      <w:r>
        <w:rPr>
          <w:rFonts w:ascii="微软雅黑" w:hAnsi="微软雅黑" w:eastAsia="微软雅黑"/>
          <w:b w:val="0"/>
          <w:sz w:val="20"/>
        </w:rPr>
        <w:t>选中预览区组件后，右侧会同步切换为该组件的属性配置。</w:t>
      </w:r>
    </w:p>
    <w:p w14:paraId="71BF1D1F">
      <w:pPr>
        <w:pStyle w:val="6"/>
        <w:keepNext/>
        <w:spacing w:before="120" w:after="60" w:line="252" w:lineRule="auto"/>
      </w:pPr>
      <w:r>
        <w:rPr>
          <w:rFonts w:ascii="微软雅黑" w:hAnsi="微软雅黑" w:eastAsia="微软雅黑"/>
          <w:b/>
          <w:color w:val="44546A"/>
          <w:sz w:val="22"/>
        </w:rPr>
        <w:t>右侧设置区</w:t>
      </w:r>
    </w:p>
    <w:p w14:paraId="032B67C5">
      <w:pPr>
        <w:pStyle w:val="16"/>
        <w:spacing w:after="40" w:line="276" w:lineRule="auto"/>
      </w:pPr>
      <w:r>
        <w:rPr>
          <w:rFonts w:ascii="微软雅黑" w:hAnsi="微软雅黑" w:eastAsia="微软雅黑"/>
          <w:b/>
          <w:color w:val="254061"/>
          <w:sz w:val="20"/>
        </w:rPr>
        <w:t>页面设置：</w:t>
      </w:r>
      <w:r>
        <w:rPr>
          <w:rFonts w:ascii="微软雅黑" w:hAnsi="微软雅黑" w:eastAsia="微软雅黑"/>
          <w:b w:val="0"/>
          <w:sz w:val="20"/>
        </w:rPr>
        <w:t>未选中组件时，右侧用于配置页面全局主题和视觉样式，例如主题预设、自定义主色调、页面背景色、页面背景图片、高级颜色配置和按钮样式。</w:t>
      </w:r>
    </w:p>
    <w:p w14:paraId="09C7F70C">
      <w:pPr>
        <w:pStyle w:val="16"/>
        <w:spacing w:after="40" w:line="276" w:lineRule="auto"/>
      </w:pPr>
      <w:r>
        <w:rPr>
          <w:rFonts w:ascii="微软雅黑" w:hAnsi="微软雅黑" w:eastAsia="微软雅黑"/>
          <w:b/>
          <w:color w:val="254061"/>
          <w:sz w:val="20"/>
        </w:rPr>
        <w:t>组件属性：</w:t>
      </w:r>
      <w:r>
        <w:rPr>
          <w:rFonts w:ascii="微软雅黑" w:hAnsi="微软雅黑" w:eastAsia="微软雅黑"/>
          <w:b w:val="0"/>
          <w:sz w:val="20"/>
        </w:rPr>
        <w:t>选中组件时，右侧用于配置当前组件的展示状态、样式、内容、图片、滚动、播放、颜色、跳转和排序等参数。</w:t>
      </w:r>
    </w:p>
    <w:p w14:paraId="20C841A0">
      <w:pPr>
        <w:pStyle w:val="16"/>
        <w:spacing w:after="40" w:line="276" w:lineRule="auto"/>
      </w:pPr>
      <w:r>
        <w:rPr>
          <w:rFonts w:ascii="微软雅黑" w:hAnsi="微软雅黑" w:eastAsia="微软雅黑"/>
          <w:b/>
          <w:color w:val="254061"/>
          <w:sz w:val="20"/>
        </w:rPr>
        <w:t>应用更改：</w:t>
      </w:r>
      <w:r>
        <w:rPr>
          <w:rFonts w:ascii="微软雅黑" w:hAnsi="微软雅黑" w:eastAsia="微软雅黑"/>
          <w:b w:val="0"/>
          <w:sz w:val="20"/>
        </w:rPr>
        <w:t>修改组件属性后，需要点击应用更改或保存，配置才会同步到中间预览区和最终模板。</w:t>
      </w:r>
    </w:p>
    <w:p w14:paraId="44DF108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区分页面全局设置和组件属性，避免把右侧全局主题配置误认为某个组件的单独配置。</w:t>
      </w:r>
    </w:p>
    <w:p w14:paraId="004854E8">
      <w:pPr>
        <w:pStyle w:val="6"/>
        <w:keepNext/>
        <w:spacing w:before="120" w:after="60" w:line="252" w:lineRule="auto"/>
      </w:pPr>
      <w:r>
        <w:rPr>
          <w:rFonts w:ascii="微软雅黑" w:hAnsi="微软雅黑" w:eastAsia="微软雅黑"/>
          <w:b/>
          <w:color w:val="44546A"/>
          <w:sz w:val="22"/>
        </w:rPr>
        <w:t>组件说明</w:t>
      </w:r>
    </w:p>
    <w:p w14:paraId="11D85364">
      <w:pPr>
        <w:spacing w:after="60" w:line="276" w:lineRule="auto"/>
      </w:pPr>
      <w:r>
        <w:rPr>
          <w:rFonts w:ascii="微软雅黑" w:hAnsi="微软雅黑" w:eastAsia="微软雅黑"/>
          <w:b w:val="0"/>
          <w:sz w:val="20"/>
        </w:rPr>
        <w:t>组件说明按模板管理中常见组件逐项整理。后续补充截图时，可在对应组件下继续追加字段截图、弹窗说明或配置示例。</w:t>
      </w:r>
    </w:p>
    <w:p w14:paraId="52A0F926">
      <w:pPr>
        <w:pStyle w:val="6"/>
        <w:keepNext/>
        <w:spacing w:before="120" w:after="60" w:line="252" w:lineRule="auto"/>
      </w:pPr>
      <w:r>
        <w:rPr>
          <w:rFonts w:ascii="微软雅黑" w:hAnsi="微软雅黑" w:eastAsia="微软雅黑"/>
          <w:b/>
          <w:color w:val="44546A"/>
          <w:sz w:val="22"/>
        </w:rPr>
        <w:t>轮播图（Banner/Carousel）</w:t>
      </w:r>
    </w:p>
    <w:p w14:paraId="68CABF8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用于配置首页或活动页 Banner 轮播，是前台最主要的视觉入口之一，常用于展示活动、品牌、游戏推荐或充值引导。</w:t>
      </w:r>
    </w:p>
    <w:p w14:paraId="2D1423AA">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组件名称、删除、可见性、轮播样式、自动播放、播放间隔、显示指示器、指示器样式、轮播项列表、圆角和应用更改。</w:t>
      </w:r>
    </w:p>
    <w:p w14:paraId="3557161F">
      <w:pPr>
        <w:pStyle w:val="16"/>
        <w:spacing w:after="40" w:line="276" w:lineRule="auto"/>
      </w:pPr>
      <w:r>
        <w:rPr>
          <w:rFonts w:ascii="微软雅黑" w:hAnsi="微软雅黑" w:eastAsia="微软雅黑"/>
          <w:b/>
          <w:color w:val="254061"/>
          <w:sz w:val="20"/>
        </w:rPr>
        <w:t>轮播项配置：</w:t>
      </w:r>
      <w:r>
        <w:rPr>
          <w:rFonts w:ascii="微软雅黑" w:hAnsi="微软雅黑" w:eastAsia="微软雅黑"/>
          <w:b w:val="0"/>
          <w:sz w:val="20"/>
        </w:rPr>
        <w:t>每一帧可配置图片、跳转链接、打开方式、排序权重和生效时间；多张 Banner 同时配置时，应检查展示顺序和生效时间是否冲突。</w:t>
      </w:r>
    </w:p>
    <w:p w14:paraId="460F1E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重点检查图片尺寸、移动端裁切、跳转地址、打开方式和活动有效期；上线前确认自动播放间隔不会影响用户阅读。</w:t>
      </w:r>
    </w:p>
    <w:p w14:paraId="37D2A502">
      <w:pPr>
        <w:pStyle w:val="6"/>
        <w:keepNext/>
        <w:spacing w:before="120" w:after="60" w:line="252" w:lineRule="auto"/>
      </w:pPr>
      <w:r>
        <w:rPr>
          <w:rFonts w:ascii="微软雅黑" w:hAnsi="微软雅黑" w:eastAsia="微软雅黑"/>
          <w:b/>
          <w:color w:val="44546A"/>
          <w:sz w:val="22"/>
        </w:rPr>
        <w:t>奖池（Jackpot）</w:t>
      </w:r>
    </w:p>
    <w:p w14:paraId="0115193A">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用于展示奖金池或动态金额，适合放在首页营销区域，用来强化活动氛围和奖金规模感。</w:t>
      </w:r>
    </w:p>
    <w:p w14:paraId="307FBBC0">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组件名称、删除、可见性、背景图片、数值变动速度、奖金数字颜色、奖金字体大小、奖金字体粗细、数字动画效果、起始数值、货币符号、千分位分隔符和应用更改。</w:t>
      </w:r>
    </w:p>
    <w:p w14:paraId="3EB22F81">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背景图片决定奖池区域视觉效果；数字颜色、字号、字重和动画决定金额可读性；起始数值和变动速度影响前台展示节奏。</w:t>
      </w:r>
    </w:p>
    <w:p w14:paraId="68EE9F46">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检查金额格式、货币符号、千分位分隔和背景图对比度，避免数字不清晰或与实际活动口径冲突。</w:t>
      </w:r>
    </w:p>
    <w:p w14:paraId="2A997B6B">
      <w:pPr>
        <w:pStyle w:val="6"/>
        <w:keepNext/>
        <w:spacing w:before="120" w:after="60" w:line="252" w:lineRule="auto"/>
      </w:pPr>
      <w:r>
        <w:rPr>
          <w:rFonts w:ascii="微软雅黑" w:hAnsi="微软雅黑" w:eastAsia="微软雅黑"/>
          <w:b/>
          <w:color w:val="44546A"/>
          <w:sz w:val="22"/>
        </w:rPr>
        <w:t>公告栏（Notice/Marquee）</w:t>
      </w:r>
    </w:p>
    <w:p w14:paraId="4EF9DA20">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用于展示平台公告、活动提醒、中奖播报或重要通知，通常放在首页靠前位置。</w:t>
      </w:r>
    </w:p>
    <w:p w14:paraId="519B8FA9">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组件名称、删除、可见性、滚动方向、滚动速度、背景颜色、文字颜色、消息图标、自定义消息图标、公告内容列表、单行显示行数和应用更改。</w:t>
      </w:r>
    </w:p>
    <w:p w14:paraId="0CD614B3">
      <w:pPr>
        <w:pStyle w:val="16"/>
        <w:spacing w:after="40" w:line="276" w:lineRule="auto"/>
      </w:pPr>
      <w:r>
        <w:rPr>
          <w:rFonts w:ascii="微软雅黑" w:hAnsi="微软雅黑" w:eastAsia="微软雅黑"/>
          <w:b/>
          <w:color w:val="254061"/>
          <w:sz w:val="20"/>
        </w:rPr>
        <w:t>公告内容配置：</w:t>
      </w:r>
      <w:r>
        <w:rPr>
          <w:rFonts w:ascii="微软雅黑" w:hAnsi="微软雅黑" w:eastAsia="微软雅黑"/>
          <w:b w:val="0"/>
          <w:sz w:val="20"/>
        </w:rPr>
        <w:t>每条公告可配置消息文本、跳转链接和排序；横向滚动适合单行短消息，纵向滚动适合多条公告轮播。</w:t>
      </w:r>
    </w:p>
    <w:p w14:paraId="4000DB34">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发布前检查文字长度、颜色对比、跳转链接和排序；重要公告建议避免滚动过快。</w:t>
      </w:r>
    </w:p>
    <w:p w14:paraId="19C17F47">
      <w:pPr>
        <w:pStyle w:val="6"/>
        <w:keepNext/>
        <w:spacing w:before="120" w:after="60" w:line="252" w:lineRule="auto"/>
      </w:pPr>
      <w:r>
        <w:rPr>
          <w:rFonts w:ascii="微软雅黑" w:hAnsi="微软雅黑" w:eastAsia="微软雅黑"/>
          <w:b/>
          <w:color w:val="44546A"/>
          <w:sz w:val="22"/>
        </w:rPr>
        <w:t>快捷入口（Quick Entry）</w:t>
      </w:r>
    </w:p>
    <w:p w14:paraId="2F8BC3AC">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用于配置首页常用功能入口，帮助用户快速进入充值、提现、活动、客服、VIP、任务等高频页面。</w:t>
      </w:r>
    </w:p>
    <w:p w14:paraId="77180B81">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组件名称、删除、可见性、展示样式、每行数量、行数、入口项列表、图标大小、文字大小和应用更改。</w:t>
      </w:r>
    </w:p>
    <w:p w14:paraId="5B9186B7">
      <w:pPr>
        <w:pStyle w:val="16"/>
        <w:spacing w:after="40" w:line="276" w:lineRule="auto"/>
      </w:pPr>
      <w:r>
        <w:rPr>
          <w:rFonts w:ascii="微软雅黑" w:hAnsi="微软雅黑" w:eastAsia="微软雅黑"/>
          <w:b/>
          <w:color w:val="254061"/>
          <w:sz w:val="20"/>
        </w:rPr>
        <w:t>入口项配置：</w:t>
      </w:r>
      <w:r>
        <w:rPr>
          <w:rFonts w:ascii="微软雅黑" w:hAnsi="微软雅黑" w:eastAsia="微软雅黑"/>
          <w:b w:val="0"/>
          <w:sz w:val="20"/>
        </w:rPr>
        <w:t>每个入口可配置入口名称、图标、选中图标、跳转信息、打开方式、角标、排序权重和单项可见性。</w:t>
      </w:r>
    </w:p>
    <w:p w14:paraId="1F235A0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检查入口名称是否简洁、图标是否匹配业务含义、跳转目标是否正确、角标是否误导用户，并控制入口数量避免首页拥挤。</w:t>
      </w:r>
    </w:p>
    <w:p w14:paraId="2767962E">
      <w:pPr>
        <w:pStyle w:val="6"/>
        <w:keepNext/>
        <w:spacing w:before="120" w:after="60" w:line="252" w:lineRule="auto"/>
      </w:pPr>
      <w:r>
        <w:rPr>
          <w:rFonts w:ascii="微软雅黑" w:hAnsi="微软雅黑" w:eastAsia="微软雅黑"/>
          <w:b/>
          <w:color w:val="44546A"/>
          <w:sz w:val="22"/>
        </w:rPr>
        <w:t>楼层导航（Floor Navigation）</w:t>
      </w:r>
    </w:p>
    <w:p w14:paraId="7CCB47A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用于页面内分区导航，帮助用户快速跳转到指定楼层或组件区域，适合内容较长的首页或活动页。</w:t>
      </w:r>
    </w:p>
    <w:p w14:paraId="409CF8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组件名称、删除、可见性、展示样式、吸顶偏移、导航项列表、背景颜色、文字颜色、选中文字颜色、滚动动画和应用更改。</w:t>
      </w:r>
    </w:p>
    <w:p w14:paraId="6B6E0089">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每个导航项可配置楼层名称、锚点目标、图标、选中态样式和排序；锚点目标应与页面组件或区域 ID 对应。</w:t>
      </w:r>
    </w:p>
    <w:p w14:paraId="06C935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检查锚点是否能准确定位、吸顶偏移是否遮挡内容、选中态是否清晰；移动端尤其要关注导航宽度和滚动体验。</w:t>
      </w:r>
    </w:p>
    <w:p w14:paraId="1480D2E5">
      <w:pPr>
        <w:pStyle w:val="6"/>
        <w:keepNext/>
        <w:spacing w:before="120" w:after="60" w:line="252" w:lineRule="auto"/>
      </w:pPr>
      <w:r>
        <w:rPr>
          <w:rFonts w:ascii="微软雅黑" w:hAnsi="微软雅黑" w:eastAsia="微软雅黑"/>
          <w:b/>
          <w:color w:val="44546A"/>
          <w:sz w:val="22"/>
        </w:rPr>
        <w:t>个人引导（User Guide / Profile Entry）</w:t>
      </w:r>
    </w:p>
    <w:p w14:paraId="067B3665">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用于展示用户登录前后的引导区域，承担登录注册引导、用户信息展示和快捷功能入口。</w:t>
      </w:r>
    </w:p>
    <w:p w14:paraId="2C4F1865">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组件名称、删除、可见性、未登录展示内容、已登录展示内容、背景图和应用更改。</w:t>
      </w:r>
    </w:p>
    <w:p w14:paraId="51143D27">
      <w:pPr>
        <w:pStyle w:val="16"/>
        <w:spacing w:after="40" w:line="276" w:lineRule="auto"/>
      </w:pPr>
      <w:r>
        <w:rPr>
          <w:rFonts w:ascii="微软雅黑" w:hAnsi="微软雅黑" w:eastAsia="微软雅黑"/>
          <w:b/>
          <w:color w:val="254061"/>
          <w:sz w:val="20"/>
        </w:rPr>
        <w:t>未登录配置：</w:t>
      </w:r>
      <w:r>
        <w:rPr>
          <w:rFonts w:ascii="微软雅黑" w:hAnsi="微软雅黑" w:eastAsia="微软雅黑"/>
          <w:b w:val="0"/>
          <w:sz w:val="20"/>
        </w:rPr>
        <w:t>可配置标题文案、副标题、登录按钮文案、注册按钮文案、按钮样式和默认头像。</w:t>
      </w:r>
    </w:p>
    <w:p w14:paraId="3F345067">
      <w:pPr>
        <w:pStyle w:val="16"/>
        <w:spacing w:after="40" w:line="276" w:lineRule="auto"/>
      </w:pPr>
      <w:r>
        <w:rPr>
          <w:rFonts w:ascii="微软雅黑" w:hAnsi="微软雅黑" w:eastAsia="微软雅黑"/>
          <w:b/>
          <w:color w:val="254061"/>
          <w:sz w:val="20"/>
        </w:rPr>
        <w:t>已登录配置：</w:t>
      </w:r>
      <w:r>
        <w:rPr>
          <w:rFonts w:ascii="微软雅黑" w:hAnsi="微软雅黑" w:eastAsia="微软雅黑"/>
          <w:b w:val="0"/>
          <w:sz w:val="20"/>
        </w:rPr>
        <w:t>可配置是否显示用户昵称、用户头像、VIP 等级、账户余额、快捷功能和跳转信息。</w:t>
      </w:r>
    </w:p>
    <w:p w14:paraId="5B1614BA">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未登录态重点检查登录/注册按钮是否清晰；已登录态重点检查余额、VIP、快捷入口和个人中心跳转是否准确。</w:t>
      </w:r>
    </w:p>
    <w:p w14:paraId="16555CEB">
      <w:pPr>
        <w:pStyle w:val="6"/>
        <w:keepNext/>
        <w:spacing w:before="120" w:after="60" w:line="252" w:lineRule="auto"/>
      </w:pPr>
      <w:r>
        <w:rPr>
          <w:rFonts w:ascii="微软雅黑" w:hAnsi="微软雅黑" w:eastAsia="微软雅黑"/>
          <w:b/>
          <w:color w:val="44546A"/>
          <w:sz w:val="22"/>
        </w:rPr>
        <w:t>底部导航（Bottom Navigation / TabBar）</w:t>
      </w:r>
    </w:p>
    <w:p w14:paraId="2A076B5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用于配置移动端底部 Tab 栏，是用户切换首页、活动、游戏、会员中心等核心页面的主导航。</w:t>
      </w:r>
    </w:p>
    <w:p w14:paraId="54016704">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组件名称、删除、可见性、背景颜色、背景图片、文字颜色、选中文字颜色、导航项列表、中间突出项、中间突出图标、分隔线和应用更改。</w:t>
      </w:r>
    </w:p>
    <w:p w14:paraId="513FE644">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 Tab 可配置名称、默认图标、选中图标、跳转页面、角标、排序和单项可见性。</w:t>
      </w:r>
    </w:p>
    <w:p w14:paraId="1B1F3FF5">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通常控制在 3 到 5 个 Tab；检查默认图标和选中图标是否成套、跳转页面是否正确、中间突出项是否遮挡内容。</w:t>
      </w:r>
    </w:p>
    <w:p w14:paraId="1467E303">
      <w:pPr>
        <w:pStyle w:val="6"/>
        <w:keepNext/>
        <w:spacing w:before="120" w:after="60" w:line="252" w:lineRule="auto"/>
      </w:pPr>
      <w:r>
        <w:rPr>
          <w:rFonts w:ascii="微软雅黑" w:hAnsi="微软雅黑" w:eastAsia="微软雅黑"/>
          <w:b/>
          <w:color w:val="44546A"/>
          <w:sz w:val="22"/>
        </w:rPr>
        <w:t>游戏模块（Game Module）</w:t>
      </w:r>
    </w:p>
    <w:p w14:paraId="5DF0F249">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用于展示游戏分类和游戏列表，是首页承接用户进入游戏的重要区域。</w:t>
      </w:r>
    </w:p>
    <w:p w14:paraId="586AF6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组件名称、删除、可见性、游戏分类、分类 Tab 展示、分类 Tab 样式、展示数量、排列样式、卡片样式、卡片圆角、加载更多、排序规则、搜索功能、收藏筛选、厂商筛选、空态提示和应用更改。</w:t>
      </w:r>
    </w:p>
    <w:p w14:paraId="656E42AE">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可选择热门、老虎机、真人、棋牌、体育、捕鱼等分类；卡片可按图片、名称、厂商等不同信息组合展示。</w:t>
      </w:r>
    </w:p>
    <w:p w14:paraId="3B323D7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检查游戏分类、展示数量、排序规则和加载更多方式；无游戏时需配置清晰空态提示，避免前台出现空白区域。</w:t>
      </w:r>
    </w:p>
    <w:p w14:paraId="4D3B121C">
      <w:pPr>
        <w:pStyle w:val="6"/>
        <w:keepNext/>
        <w:spacing w:before="120" w:after="60" w:line="252" w:lineRule="auto"/>
      </w:pPr>
      <w:r>
        <w:rPr>
          <w:rFonts w:ascii="微软雅黑" w:hAnsi="微软雅黑" w:eastAsia="微软雅黑"/>
          <w:b/>
          <w:color w:val="44546A"/>
          <w:sz w:val="22"/>
        </w:rPr>
        <w:t>登录模板组件（Login Template）</w:t>
      </w:r>
    </w:p>
    <w:p w14:paraId="2F58A5A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用于配置登录页或登录弹窗的展示方式和登录相关入口。</w:t>
      </w:r>
    </w:p>
    <w:p w14:paraId="1168ACE8">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组件名称、删除、可见性、登录展示方式、登录方式、默认登录方式、登录按钮样式、注册按钮样式、第三方登录入口、公告弹框样式、返回顶部、记住密码、忘记密码入口、背景图/颜色、Logo 图片和应用更改。</w:t>
      </w:r>
    </w:p>
    <w:p w14:paraId="1B577488">
      <w:pPr>
        <w:pStyle w:val="16"/>
        <w:spacing w:after="40" w:line="276" w:lineRule="auto"/>
      </w:pPr>
      <w:r>
        <w:rPr>
          <w:rFonts w:ascii="微软雅黑" w:hAnsi="微软雅黑" w:eastAsia="微软雅黑"/>
          <w:b/>
          <w:color w:val="254061"/>
          <w:sz w:val="20"/>
        </w:rPr>
        <w:t>按钮与入口配置：</w:t>
      </w:r>
      <w:r>
        <w:rPr>
          <w:rFonts w:ascii="微软雅黑" w:hAnsi="微软雅黑" w:eastAsia="微软雅黑"/>
          <w:b w:val="0"/>
          <w:sz w:val="20"/>
        </w:rPr>
        <w:t>登录按钮可配置文案、颜色、圆角和宽度；注册按钮可配置文案、颜色和展示位置；第三方登录入口可配置是否显示、支持平台和展示样式。</w:t>
      </w:r>
    </w:p>
    <w:p w14:paraId="6A6F6F13">
      <w:pPr>
        <w:pStyle w:val="16"/>
        <w:spacing w:after="40" w:line="276" w:lineRule="auto"/>
      </w:pPr>
      <w:r>
        <w:rPr>
          <w:rFonts w:ascii="微软雅黑" w:hAnsi="微软雅黑" w:eastAsia="微软雅黑"/>
          <w:b/>
          <w:color w:val="254061"/>
          <w:sz w:val="20"/>
        </w:rPr>
        <w:t>公告与背景配置：</w:t>
      </w:r>
      <w:r>
        <w:rPr>
          <w:rFonts w:ascii="微软雅黑" w:hAnsi="微软雅黑" w:eastAsia="微软雅黑"/>
          <w:b w:val="0"/>
          <w:sz w:val="20"/>
        </w:rPr>
        <w:t>公告弹框可配置标题、内容、图片和关闭方式；页面背景可使用图片或颜色，Logo 图片需与品牌设置保持一致。</w:t>
      </w:r>
    </w:p>
    <w:p w14:paraId="06A3E397">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检查默认登录方式、第三方登录入口、忘记密码入口和公告弹框是否符合当前站点登录策略。</w:t>
      </w:r>
    </w:p>
    <w:p w14:paraId="26D8A71C">
      <w:pPr>
        <w:pStyle w:val="6"/>
        <w:keepNext/>
        <w:spacing w:before="120" w:after="60" w:line="252" w:lineRule="auto"/>
      </w:pPr>
      <w:r>
        <w:rPr>
          <w:rFonts w:ascii="微软雅黑" w:hAnsi="微软雅黑" w:eastAsia="微软雅黑"/>
          <w:b/>
          <w:color w:val="44546A"/>
          <w:sz w:val="22"/>
        </w:rPr>
        <w:t>VIP模板组件（VIP Template）</w:t>
      </w:r>
    </w:p>
    <w:p w14:paraId="4D987428">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 VIP 页面整体布局、等级展示、权益说明和奖励领取入口。</w:t>
      </w:r>
    </w:p>
    <w:p w14:paraId="6B476FD2">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组件名称、删除、可见性、模板布局、等级信息展示、升级条件、权益内容、奖励展示、规则说明和应用更改。</w:t>
      </w:r>
    </w:p>
    <w:p w14:paraId="32A66E60">
      <w:pPr>
        <w:pStyle w:val="16"/>
        <w:spacing w:after="40" w:line="276" w:lineRule="auto"/>
      </w:pPr>
      <w:r>
        <w:rPr>
          <w:rFonts w:ascii="微软雅黑" w:hAnsi="微软雅黑" w:eastAsia="微软雅黑"/>
          <w:b/>
          <w:color w:val="254061"/>
          <w:sz w:val="20"/>
        </w:rPr>
        <w:t>等级配置：</w:t>
      </w:r>
      <w:r>
        <w:rPr>
          <w:rFonts w:ascii="微软雅黑" w:hAnsi="微软雅黑" w:eastAsia="微软雅黑"/>
          <w:b w:val="0"/>
          <w:sz w:val="20"/>
        </w:rPr>
        <w:t>可配置当前等级展示、等级图标、等级名称、等级进度条、等级背景色或背景图。</w:t>
      </w:r>
    </w:p>
    <w:p w14:paraId="4EC55817">
      <w:pPr>
        <w:pStyle w:val="16"/>
        <w:spacing w:after="40" w:line="276" w:lineRule="auto"/>
      </w:pPr>
      <w:r>
        <w:rPr>
          <w:rFonts w:ascii="微软雅黑" w:hAnsi="微软雅黑" w:eastAsia="微软雅黑"/>
          <w:b/>
          <w:color w:val="254061"/>
          <w:sz w:val="20"/>
        </w:rPr>
        <w:t>权益与奖励配置：</w:t>
      </w:r>
      <w:r>
        <w:rPr>
          <w:rFonts w:ascii="微软雅黑" w:hAnsi="微软雅黑" w:eastAsia="微软雅黑"/>
          <w:b w:val="0"/>
          <w:sz w:val="20"/>
        </w:rPr>
        <w:t>可配置权益列表、权益图标、权益描述、适用等级、权益对比表、升级奖励、周/月奖励、返水比例和奖励领取按钮。</w:t>
      </w:r>
    </w:p>
    <w:p w14:paraId="23E9E5EC">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检查等级名称、升级条件、权益适用等级、奖励领取按钮和规则说明是否与实际 VIP 规则一致。</w:t>
      </w:r>
    </w:p>
    <w:p w14:paraId="7FB3C050">
      <w:pPr>
        <w:pStyle w:val="16"/>
        <w:spacing w:after="40" w:line="276" w:lineRule="auto"/>
      </w:pPr>
      <w:r>
        <w:rPr>
          <w:rFonts w:ascii="微软雅黑" w:hAnsi="微软雅黑" w:eastAsia="微软雅黑"/>
          <w:b/>
          <w:color w:val="254061"/>
          <w:sz w:val="20"/>
        </w:rPr>
        <w:t>上线检查：</w:t>
      </w:r>
      <w:r>
        <w:rPr>
          <w:rFonts w:ascii="微软雅黑" w:hAnsi="微软雅黑" w:eastAsia="微软雅黑"/>
          <w:b w:val="0"/>
          <w:sz w:val="20"/>
        </w:rPr>
        <w:t>保存模板前重点检查模板类型、组件顺序、图片尺寸、跳转链接、颜色风格、按钮效果和手机端预览展示。</w:t>
      </w:r>
    </w:p>
    <w:p w14:paraId="58A85BEC">
      <w:pPr>
        <w:pStyle w:val="16"/>
        <w:numPr>
          <w:ilvl w:val="0"/>
          <w:numId w:val="0"/>
        </w:numPr>
        <w:spacing w:after="40" w:line="276" w:lineRule="auto"/>
        <w:ind w:leftChars="0"/>
      </w:pPr>
    </w:p>
    <w:p w14:paraId="5BD504D3">
      <w:pPr>
        <w:pStyle w:val="5"/>
        <w:keepNext/>
        <w:spacing w:before="180" w:after="100" w:line="259" w:lineRule="auto"/>
        <w:rPr>
          <w:sz w:val="24"/>
          <w:szCs w:val="28"/>
        </w:rPr>
      </w:pPr>
      <w:r>
        <w:rPr>
          <w:rFonts w:ascii="微软雅黑" w:hAnsi="微软雅黑" w:eastAsia="微软雅黑"/>
          <w:b/>
          <w:color w:val="2F5597"/>
          <w:sz w:val="25"/>
          <w:szCs w:val="28"/>
        </w:rPr>
        <w:t>站点</w:t>
      </w:r>
      <w:r>
        <w:rPr>
          <w:rFonts w:hint="eastAsia" w:ascii="微软雅黑" w:hAnsi="微软雅黑" w:eastAsia="微软雅黑"/>
          <w:b/>
          <w:color w:val="2F5597"/>
          <w:sz w:val="25"/>
          <w:szCs w:val="28"/>
          <w:lang w:val="en-US" w:eastAsia="zh-CN"/>
        </w:rPr>
        <w:t>应用</w:t>
      </w:r>
      <w:r>
        <w:rPr>
          <w:rFonts w:ascii="微软雅黑" w:hAnsi="微软雅黑" w:eastAsia="微软雅黑"/>
          <w:b/>
          <w:color w:val="2F5597"/>
          <w:sz w:val="25"/>
          <w:szCs w:val="28"/>
        </w:rPr>
        <w:t>配置</w:t>
      </w:r>
    </w:p>
    <w:p w14:paraId="5AA986FC">
      <w:pPr>
        <w:spacing w:after="60" w:line="276" w:lineRule="auto"/>
      </w:pPr>
      <w:r>
        <w:rPr>
          <w:rFonts w:ascii="微软雅黑" w:hAnsi="微软雅黑" w:eastAsia="微软雅黑"/>
          <w:b w:val="0"/>
          <w:sz w:val="20"/>
        </w:rPr>
        <w:t>站点</w:t>
      </w:r>
      <w:r>
        <w:rPr>
          <w:rFonts w:hint="eastAsia"/>
          <w:b w:val="0"/>
          <w:sz w:val="20"/>
          <w:lang w:val="en-US" w:eastAsia="zh-CN"/>
        </w:rPr>
        <w:t>应用</w:t>
      </w:r>
      <w:r>
        <w:rPr>
          <w:rFonts w:ascii="微软雅黑" w:hAnsi="微软雅黑" w:eastAsia="微软雅黑"/>
          <w:b w:val="0"/>
          <w:sz w:val="20"/>
        </w:rPr>
        <w:t>配置用于维护站点基础展示、首页入口、分享卡片和活动入口等前台基础配置。</w:t>
      </w:r>
    </w:p>
    <w:p w14:paraId="4954CB97">
      <w:pPr>
        <w:pStyle w:val="6"/>
        <w:keepNext/>
        <w:spacing w:before="120" w:after="60" w:line="252" w:lineRule="auto"/>
      </w:pPr>
      <w:r>
        <w:rPr>
          <w:rFonts w:ascii="微软雅黑" w:hAnsi="微软雅黑" w:eastAsia="微软雅黑"/>
          <w:b/>
          <w:color w:val="44546A"/>
          <w:sz w:val="22"/>
        </w:rPr>
        <w:t>网站图标</w:t>
      </w:r>
    </w:p>
    <w:p w14:paraId="222930A4">
      <w:pPr>
        <w:spacing w:after="40"/>
        <w:jc w:val="center"/>
      </w:pPr>
      <w:r>
        <w:drawing>
          <wp:inline distT="0" distB="0" distL="114300" distR="114300">
            <wp:extent cx="5715000" cy="1607185"/>
            <wp:effectExtent l="0" t="0" r="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15000" cy="1607344"/>
                    </a:xfrm>
                    <a:prstGeom prst="rect">
                      <a:avLst/>
                    </a:prstGeom>
                  </pic:spPr>
                </pic:pic>
              </a:graphicData>
            </a:graphic>
          </wp:inline>
        </w:drawing>
      </w:r>
    </w:p>
    <w:p w14:paraId="618531B9">
      <w:pPr>
        <w:spacing w:after="80"/>
        <w:jc w:val="center"/>
      </w:pPr>
      <w:r>
        <w:rPr>
          <w:rFonts w:ascii="微软雅黑" w:hAnsi="微软雅黑" w:eastAsia="微软雅黑"/>
          <w:b w:val="0"/>
          <w:color w:val="606C80"/>
          <w:sz w:val="18"/>
        </w:rPr>
        <w:t>图5：网站图标配置卡片，用于维护站点 Logo 与 Favicon。</w:t>
      </w:r>
    </w:p>
    <w:p w14:paraId="5CB786C2">
      <w:pPr>
        <w:pStyle w:val="16"/>
        <w:spacing w:after="40" w:line="276" w:lineRule="auto"/>
      </w:pPr>
      <w:r>
        <w:rPr>
          <w:rFonts w:ascii="微软雅黑" w:hAnsi="微软雅黑" w:eastAsia="微软雅黑"/>
          <w:b/>
          <w:color w:val="254061"/>
          <w:sz w:val="20"/>
        </w:rPr>
        <w:t>Logo：</w:t>
      </w:r>
      <w:r>
        <w:rPr>
          <w:rFonts w:ascii="微软雅黑" w:hAnsi="微软雅黑" w:eastAsia="微软雅黑"/>
          <w:b w:val="0"/>
          <w:sz w:val="20"/>
        </w:rPr>
        <w:t>上传或替换站点主 Logo，通常展示在前台页头、登录页或品牌露出位置；需按页面提示控制图片尺寸、格式和文件大小。</w:t>
      </w:r>
    </w:p>
    <w:p w14:paraId="2A2DB8CF">
      <w:pPr>
        <w:pStyle w:val="16"/>
        <w:spacing w:after="40" w:line="276" w:lineRule="auto"/>
      </w:pPr>
      <w:r>
        <w:rPr>
          <w:rFonts w:ascii="微软雅黑" w:hAnsi="微软雅黑" w:eastAsia="微软雅黑"/>
          <w:b/>
          <w:color w:val="254061"/>
          <w:sz w:val="20"/>
        </w:rPr>
        <w:t>Favicon：</w:t>
      </w:r>
      <w:r>
        <w:rPr>
          <w:rFonts w:ascii="微软雅黑" w:hAnsi="微软雅黑" w:eastAsia="微软雅黑"/>
          <w:b w:val="0"/>
          <w:sz w:val="20"/>
        </w:rPr>
        <w:t>上传浏览器标签页图标，建议使用 32*32 或等比例图片，保证在浏览器标签、收藏夹等位置清晰展示。</w:t>
      </w:r>
    </w:p>
    <w:p w14:paraId="5191239D">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点击右上角编辑进入编辑态，替换图片后保存；保存前检查图片是否清晰、是否符合品牌规范。</w:t>
      </w:r>
    </w:p>
    <w:p w14:paraId="3C4FE6D9">
      <w:pPr>
        <w:pStyle w:val="6"/>
        <w:keepNext/>
        <w:spacing w:before="120" w:after="60" w:line="252" w:lineRule="auto"/>
      </w:pPr>
      <w:r>
        <w:rPr>
          <w:rFonts w:ascii="微软雅黑" w:hAnsi="微软雅黑" w:eastAsia="微软雅黑"/>
          <w:b/>
          <w:color w:val="44546A"/>
          <w:sz w:val="22"/>
        </w:rPr>
        <w:t>币种管理</w:t>
      </w:r>
    </w:p>
    <w:p w14:paraId="53A2BE1B">
      <w:pPr>
        <w:spacing w:after="40"/>
        <w:jc w:val="center"/>
      </w:pPr>
      <w:r>
        <w:drawing>
          <wp:inline distT="0" distB="0" distL="114300" distR="114300">
            <wp:extent cx="5715000" cy="1473200"/>
            <wp:effectExtent l="0" t="0" r="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715000" cy="1473398"/>
                    </a:xfrm>
                    <a:prstGeom prst="rect">
                      <a:avLst/>
                    </a:prstGeom>
                  </pic:spPr>
                </pic:pic>
              </a:graphicData>
            </a:graphic>
          </wp:inline>
        </w:drawing>
      </w:r>
    </w:p>
    <w:p w14:paraId="25C8DE3C">
      <w:pPr>
        <w:spacing w:after="80"/>
        <w:jc w:val="center"/>
      </w:pPr>
      <w:r>
        <w:rPr>
          <w:rFonts w:ascii="微软雅黑" w:hAnsi="微软雅黑" w:eastAsia="微软雅黑"/>
          <w:b w:val="0"/>
          <w:color w:val="606C80"/>
          <w:sz w:val="18"/>
        </w:rPr>
        <w:t>图6：币种管理配置卡片，用于维护站点货币图标和货币符号。</w:t>
      </w:r>
    </w:p>
    <w:p w14:paraId="2295EF80">
      <w:pPr>
        <w:pStyle w:val="16"/>
        <w:spacing w:after="40" w:line="276" w:lineRule="auto"/>
      </w:pPr>
      <w:r>
        <w:rPr>
          <w:rFonts w:ascii="微软雅黑" w:hAnsi="微软雅黑" w:eastAsia="微软雅黑"/>
          <w:b/>
          <w:color w:val="254061"/>
          <w:sz w:val="20"/>
        </w:rPr>
        <w:t>货币图标：</w:t>
      </w:r>
      <w:r>
        <w:rPr>
          <w:rFonts w:ascii="微软雅黑" w:hAnsi="微软雅黑" w:eastAsia="微软雅黑"/>
          <w:b w:val="0"/>
          <w:sz w:val="20"/>
        </w:rPr>
        <w:t>上传前台展示用的币种图标，常用于钱包、金额、充值或活动奖励等场景。</w:t>
      </w:r>
    </w:p>
    <w:p w14:paraId="329868E7">
      <w:pPr>
        <w:pStyle w:val="16"/>
        <w:spacing w:after="40" w:line="276" w:lineRule="auto"/>
      </w:pPr>
      <w:r>
        <w:rPr>
          <w:rFonts w:ascii="微软雅黑" w:hAnsi="微软雅黑" w:eastAsia="微软雅黑"/>
          <w:b/>
          <w:color w:val="254061"/>
          <w:sz w:val="20"/>
        </w:rPr>
        <w:t>货币符号：</w:t>
      </w:r>
      <w:r>
        <w:rPr>
          <w:rFonts w:ascii="微软雅黑" w:hAnsi="微软雅黑" w:eastAsia="微软雅黑"/>
          <w:b w:val="0"/>
          <w:sz w:val="20"/>
        </w:rPr>
        <w:t>配置金额前后展示的币种符号，需与站点实际结算币种保持一致。</w:t>
      </w:r>
    </w:p>
    <w:p w14:paraId="2378820B">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点击编辑后调整图标或符号，保存前确认币种展示不会与活动、充值、提现页面口径冲突。</w:t>
      </w:r>
    </w:p>
    <w:p w14:paraId="42EF6174">
      <w:pPr>
        <w:pStyle w:val="6"/>
        <w:keepNext/>
        <w:spacing w:before="120" w:after="60" w:line="252" w:lineRule="auto"/>
      </w:pPr>
      <w:r>
        <w:rPr>
          <w:rFonts w:ascii="微软雅黑" w:hAnsi="微软雅黑" w:eastAsia="微软雅黑"/>
          <w:b/>
          <w:color w:val="44546A"/>
          <w:sz w:val="22"/>
        </w:rPr>
        <w:t>分享卡片配置</w:t>
      </w:r>
    </w:p>
    <w:p w14:paraId="555E6BD3">
      <w:pPr>
        <w:spacing w:after="40"/>
        <w:jc w:val="center"/>
      </w:pPr>
      <w:r>
        <w:drawing>
          <wp:inline distT="0" distB="0" distL="114300" distR="114300">
            <wp:extent cx="5715000" cy="1696085"/>
            <wp:effectExtent l="0" t="0" r="0" b="184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715000" cy="1696641"/>
                    </a:xfrm>
                    <a:prstGeom prst="rect">
                      <a:avLst/>
                    </a:prstGeom>
                  </pic:spPr>
                </pic:pic>
              </a:graphicData>
            </a:graphic>
          </wp:inline>
        </w:drawing>
      </w:r>
    </w:p>
    <w:p w14:paraId="1883120A">
      <w:pPr>
        <w:spacing w:after="80"/>
        <w:jc w:val="center"/>
      </w:pPr>
      <w:r>
        <w:rPr>
          <w:rFonts w:ascii="微软雅黑" w:hAnsi="微软雅黑" w:eastAsia="微软雅黑"/>
          <w:b w:val="0"/>
          <w:color w:val="606C80"/>
          <w:sz w:val="18"/>
        </w:rPr>
        <w:t>图7：分享卡片配置卡片，用于维护 Social Share / Open Graph 分享信息。</w:t>
      </w:r>
    </w:p>
    <w:p w14:paraId="018D144C">
      <w:pPr>
        <w:pStyle w:val="16"/>
        <w:spacing w:after="40" w:line="276" w:lineRule="auto"/>
      </w:pPr>
      <w:r>
        <w:rPr>
          <w:rFonts w:ascii="微软雅黑" w:hAnsi="微软雅黑" w:eastAsia="微软雅黑"/>
          <w:b/>
          <w:color w:val="254061"/>
          <w:sz w:val="20"/>
        </w:rPr>
        <w:t>og:title：</w:t>
      </w:r>
      <w:r>
        <w:rPr>
          <w:rFonts w:ascii="微软雅黑" w:hAnsi="微软雅黑" w:eastAsia="微软雅黑"/>
          <w:b w:val="0"/>
          <w:sz w:val="20"/>
        </w:rPr>
        <w:t>设置外部渠道分享时展示的标题，建议简洁表达品牌或活动主题。</w:t>
      </w:r>
    </w:p>
    <w:p w14:paraId="16BC6635">
      <w:pPr>
        <w:pStyle w:val="16"/>
        <w:spacing w:after="40" w:line="276" w:lineRule="auto"/>
      </w:pPr>
      <w:r>
        <w:rPr>
          <w:rFonts w:ascii="微软雅黑" w:hAnsi="微软雅黑" w:eastAsia="微软雅黑"/>
          <w:b/>
          <w:color w:val="254061"/>
          <w:sz w:val="20"/>
        </w:rPr>
        <w:t>og:description：</w:t>
      </w:r>
      <w:r>
        <w:rPr>
          <w:rFonts w:ascii="微软雅黑" w:hAnsi="微软雅黑" w:eastAsia="微软雅黑"/>
          <w:b w:val="0"/>
          <w:sz w:val="20"/>
        </w:rPr>
        <w:t>设置分享描述文案，用于补充说明站点、活动或推广卖点。</w:t>
      </w:r>
    </w:p>
    <w:p w14:paraId="0DD331A2">
      <w:pPr>
        <w:pStyle w:val="16"/>
        <w:spacing w:after="40" w:line="276" w:lineRule="auto"/>
      </w:pPr>
      <w:r>
        <w:rPr>
          <w:rFonts w:ascii="微软雅黑" w:hAnsi="微软雅黑" w:eastAsia="微软雅黑"/>
          <w:b/>
          <w:color w:val="254061"/>
          <w:sz w:val="20"/>
        </w:rPr>
        <w:t>og:image：</w:t>
      </w:r>
      <w:r>
        <w:rPr>
          <w:rFonts w:ascii="微软雅黑" w:hAnsi="微软雅黑" w:eastAsia="微软雅黑"/>
          <w:b w:val="0"/>
          <w:sz w:val="20"/>
        </w:rPr>
        <w:t>上传分享预览图，需检查图片比例、清晰度和裁切效果。</w:t>
      </w:r>
    </w:p>
    <w:p w14:paraId="4188183A">
      <w:pPr>
        <w:pStyle w:val="16"/>
        <w:spacing w:after="40" w:line="276" w:lineRule="auto"/>
      </w:pPr>
      <w:r>
        <w:rPr>
          <w:rFonts w:ascii="微软雅黑" w:hAnsi="微软雅黑" w:eastAsia="微软雅黑"/>
          <w:b/>
          <w:color w:val="254061"/>
          <w:sz w:val="20"/>
        </w:rPr>
        <w:t>og:url：</w:t>
      </w:r>
      <w:r>
        <w:rPr>
          <w:rFonts w:ascii="微软雅黑" w:hAnsi="微软雅黑" w:eastAsia="微软雅黑"/>
          <w:b w:val="0"/>
          <w:sz w:val="20"/>
        </w:rPr>
        <w:t>设置分享落地地址，需确认链接可访问且与当前活动或站点入口一致。</w:t>
      </w:r>
    </w:p>
    <w:p w14:paraId="70A219B5">
      <w:pPr>
        <w:pStyle w:val="6"/>
        <w:keepNext/>
        <w:spacing w:before="120" w:after="60" w:line="252" w:lineRule="auto"/>
      </w:pPr>
      <w:r>
        <w:rPr>
          <w:rFonts w:ascii="微软雅黑" w:hAnsi="微软雅黑" w:eastAsia="微软雅黑"/>
          <w:b/>
          <w:color w:val="44546A"/>
          <w:sz w:val="22"/>
        </w:rPr>
        <w:t>侧滑优惠中心</w:t>
      </w:r>
    </w:p>
    <w:p w14:paraId="4134DE7F">
      <w:pPr>
        <w:spacing w:after="40"/>
        <w:jc w:val="center"/>
      </w:pPr>
      <w:r>
        <w:drawing>
          <wp:inline distT="0" distB="0" distL="114300" distR="114300">
            <wp:extent cx="5715000" cy="232156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715000" cy="2321719"/>
                    </a:xfrm>
                    <a:prstGeom prst="rect">
                      <a:avLst/>
                    </a:prstGeom>
                  </pic:spPr>
                </pic:pic>
              </a:graphicData>
            </a:graphic>
          </wp:inline>
        </w:drawing>
      </w:r>
    </w:p>
    <w:p w14:paraId="292D0143">
      <w:pPr>
        <w:spacing w:after="80"/>
        <w:jc w:val="center"/>
      </w:pPr>
      <w:r>
        <w:rPr>
          <w:rFonts w:ascii="微软雅黑" w:hAnsi="微软雅黑" w:eastAsia="微软雅黑"/>
          <w:b w:val="0"/>
          <w:color w:val="606C80"/>
          <w:sz w:val="18"/>
        </w:rPr>
        <w:t>图8：侧滑优惠中心配置卡片，用于维护前台侧滑活动入口。</w:t>
      </w:r>
    </w:p>
    <w:p w14:paraId="6037735B">
      <w:pPr>
        <w:pStyle w:val="16"/>
        <w:spacing w:after="40" w:line="276" w:lineRule="auto"/>
      </w:pPr>
      <w:r>
        <w:rPr>
          <w:rFonts w:ascii="微软雅黑" w:hAnsi="微软雅黑" w:eastAsia="微软雅黑"/>
          <w:b/>
          <w:color w:val="254061"/>
          <w:sz w:val="20"/>
        </w:rPr>
        <w:t>活动卡片：</w:t>
      </w:r>
      <w:r>
        <w:rPr>
          <w:rFonts w:ascii="微软雅黑" w:hAnsi="微软雅黑" w:eastAsia="微软雅黑"/>
          <w:b w:val="0"/>
          <w:sz w:val="20"/>
        </w:rPr>
        <w:t>每个卡片对应一个侧滑入口，包含标识、名称、路由、排序、图标和启用状态。</w:t>
      </w:r>
    </w:p>
    <w:p w14:paraId="18A3F270">
      <w:pPr>
        <w:pStyle w:val="16"/>
        <w:spacing w:after="40" w:line="276" w:lineRule="auto"/>
      </w:pPr>
      <w:r>
        <w:rPr>
          <w:rFonts w:ascii="微软雅黑" w:hAnsi="微软雅黑" w:eastAsia="微软雅黑"/>
          <w:b/>
          <w:color w:val="254061"/>
          <w:sz w:val="20"/>
        </w:rPr>
        <w:t>新增：</w:t>
      </w:r>
      <w:r>
        <w:rPr>
          <w:rFonts w:ascii="微软雅黑" w:hAnsi="微软雅黑" w:eastAsia="微软雅黑"/>
          <w:b w:val="0"/>
          <w:sz w:val="20"/>
        </w:rPr>
        <w:t>点击右上角新增创建新的侧滑入口，填写名称、路由、排序并上传图标。</w:t>
      </w:r>
    </w:p>
    <w:p w14:paraId="7F2ACBD1">
      <w:pPr>
        <w:pStyle w:val="16"/>
        <w:spacing w:after="40" w:line="276" w:lineRule="auto"/>
      </w:pPr>
      <w:r>
        <w:rPr>
          <w:rFonts w:ascii="微软雅黑" w:hAnsi="微软雅黑" w:eastAsia="微软雅黑"/>
          <w:b/>
          <w:color w:val="254061"/>
          <w:sz w:val="20"/>
        </w:rPr>
        <w:t>启用状态：</w:t>
      </w:r>
      <w:r>
        <w:rPr>
          <w:rFonts w:ascii="微软雅黑" w:hAnsi="微软雅黑" w:eastAsia="微软雅黑"/>
          <w:b w:val="0"/>
          <w:sz w:val="20"/>
        </w:rPr>
        <w:t>开关开启后前台展示，关闭后隐藏；排序数字越小通常展示越靠前。</w:t>
      </w:r>
    </w:p>
    <w:p w14:paraId="2CE7F81E">
      <w:pPr>
        <w:pStyle w:val="6"/>
        <w:keepNext/>
        <w:spacing w:before="120" w:after="60" w:line="252" w:lineRule="auto"/>
      </w:pPr>
      <w:r>
        <w:rPr>
          <w:rFonts w:ascii="微软雅黑" w:hAnsi="微软雅黑" w:eastAsia="微软雅黑"/>
          <w:b/>
          <w:color w:val="44546A"/>
          <w:sz w:val="22"/>
        </w:rPr>
        <w:t>首页快捷操作配置</w:t>
      </w:r>
    </w:p>
    <w:p w14:paraId="5928A28D">
      <w:pPr>
        <w:spacing w:after="40"/>
        <w:jc w:val="center"/>
      </w:pPr>
      <w:r>
        <w:drawing>
          <wp:inline distT="0" distB="0" distL="114300" distR="114300">
            <wp:extent cx="5715000" cy="232156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715000" cy="2321719"/>
                    </a:xfrm>
                    <a:prstGeom prst="rect">
                      <a:avLst/>
                    </a:prstGeom>
                  </pic:spPr>
                </pic:pic>
              </a:graphicData>
            </a:graphic>
          </wp:inline>
        </w:drawing>
      </w:r>
    </w:p>
    <w:p w14:paraId="27B160DE">
      <w:pPr>
        <w:spacing w:after="80"/>
        <w:jc w:val="center"/>
      </w:pPr>
      <w:r>
        <w:rPr>
          <w:rFonts w:ascii="微软雅黑" w:hAnsi="微软雅黑" w:eastAsia="微软雅黑"/>
          <w:b w:val="0"/>
          <w:color w:val="606C80"/>
          <w:sz w:val="18"/>
        </w:rPr>
        <w:t>图9：首页快捷操作配置卡片，用于维护首页快捷入口。</w:t>
      </w:r>
    </w:p>
    <w:p w14:paraId="2AD5049D">
      <w:pPr>
        <w:pStyle w:val="16"/>
        <w:spacing w:after="40" w:line="276" w:lineRule="auto"/>
      </w:pPr>
      <w:r>
        <w:rPr>
          <w:rFonts w:ascii="微软雅黑" w:hAnsi="微软雅黑" w:eastAsia="微软雅黑"/>
          <w:b/>
          <w:color w:val="254061"/>
          <w:sz w:val="20"/>
        </w:rPr>
        <w:t>快捷入口：</w:t>
      </w:r>
      <w:r>
        <w:rPr>
          <w:rFonts w:ascii="微软雅黑" w:hAnsi="微软雅黑" w:eastAsia="微软雅黑"/>
          <w:b w:val="0"/>
          <w:sz w:val="20"/>
        </w:rPr>
        <w:t>配置首页常用功能入口，如分享赚钱、待领取、利息宝、实时返水、任务中心、VIP 等。</w:t>
      </w:r>
    </w:p>
    <w:p w14:paraId="43B6BD99">
      <w:pPr>
        <w:pStyle w:val="16"/>
        <w:spacing w:after="40" w:line="276" w:lineRule="auto"/>
      </w:pPr>
      <w:r>
        <w:rPr>
          <w:rFonts w:ascii="微软雅黑" w:hAnsi="微软雅黑" w:eastAsia="微软雅黑"/>
          <w:b/>
          <w:color w:val="254061"/>
          <w:sz w:val="20"/>
        </w:rPr>
        <w:t>展示信息：</w:t>
      </w:r>
      <w:r>
        <w:rPr>
          <w:rFonts w:ascii="微软雅黑" w:hAnsi="微软雅黑" w:eastAsia="微软雅黑"/>
          <w:b w:val="0"/>
          <w:sz w:val="20"/>
        </w:rPr>
        <w:t>每个入口包含名称、路由、排序、颜色、图标和启用状态。</w:t>
      </w:r>
    </w:p>
    <w:p w14:paraId="1B56C32C">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通过新增、编辑、删除维护入口列表；保存前检查路由、图标和排序。</w:t>
      </w:r>
    </w:p>
    <w:p w14:paraId="0EA33020">
      <w:pPr>
        <w:pStyle w:val="6"/>
        <w:keepNext/>
        <w:spacing w:before="120" w:after="60" w:line="252" w:lineRule="auto"/>
      </w:pPr>
      <w:r>
        <w:rPr>
          <w:rFonts w:ascii="微软雅黑" w:hAnsi="微软雅黑" w:eastAsia="微软雅黑"/>
          <w:b/>
          <w:color w:val="44546A"/>
          <w:sz w:val="22"/>
        </w:rPr>
        <w:t>首页悬浮按钮配置</w:t>
      </w:r>
    </w:p>
    <w:p w14:paraId="557875E2">
      <w:pPr>
        <w:spacing w:after="40"/>
        <w:jc w:val="center"/>
      </w:pPr>
      <w:r>
        <w:drawing>
          <wp:inline distT="0" distB="0" distL="114300" distR="114300">
            <wp:extent cx="5715000" cy="1875155"/>
            <wp:effectExtent l="0" t="0" r="0" b="1079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715000" cy="1875234"/>
                    </a:xfrm>
                    <a:prstGeom prst="rect">
                      <a:avLst/>
                    </a:prstGeom>
                  </pic:spPr>
                </pic:pic>
              </a:graphicData>
            </a:graphic>
          </wp:inline>
        </w:drawing>
      </w:r>
    </w:p>
    <w:p w14:paraId="7C7B5186">
      <w:pPr>
        <w:spacing w:after="80"/>
        <w:jc w:val="center"/>
      </w:pPr>
      <w:r>
        <w:rPr>
          <w:rFonts w:ascii="微软雅黑" w:hAnsi="微软雅黑" w:eastAsia="微软雅黑"/>
          <w:b w:val="0"/>
          <w:color w:val="606C80"/>
          <w:sz w:val="18"/>
        </w:rPr>
        <w:t>图10：首页悬浮按钮配置卡片，用于维护首页左右侧悬浮按钮组。</w:t>
      </w:r>
    </w:p>
    <w:p w14:paraId="5BE4C7F9">
      <w:pPr>
        <w:pStyle w:val="16"/>
        <w:spacing w:after="40" w:line="276" w:lineRule="auto"/>
      </w:pPr>
      <w:r>
        <w:rPr>
          <w:rFonts w:ascii="微软雅黑" w:hAnsi="微软雅黑" w:eastAsia="微软雅黑"/>
          <w:b/>
          <w:color w:val="254061"/>
          <w:sz w:val="20"/>
        </w:rPr>
        <w:t>悬浮框：</w:t>
      </w:r>
      <w:r>
        <w:rPr>
          <w:rFonts w:ascii="微软雅黑" w:hAnsi="微软雅黑" w:eastAsia="微软雅黑"/>
          <w:b w:val="0"/>
          <w:sz w:val="20"/>
        </w:rPr>
        <w:t>按左侧或右侧配置悬浮按钮组，每组包含位置、排序、按钮数和启用状态。</w:t>
      </w:r>
    </w:p>
    <w:p w14:paraId="5E639888">
      <w:pPr>
        <w:pStyle w:val="16"/>
        <w:spacing w:after="40" w:line="276" w:lineRule="auto"/>
      </w:pPr>
      <w:r>
        <w:rPr>
          <w:rFonts w:ascii="微软雅黑" w:hAnsi="微软雅黑" w:eastAsia="微软雅黑"/>
          <w:b/>
          <w:color w:val="254061"/>
          <w:sz w:val="20"/>
        </w:rPr>
        <w:t>按钮项：</w:t>
      </w:r>
      <w:r>
        <w:rPr>
          <w:rFonts w:ascii="微软雅黑" w:hAnsi="微软雅黑" w:eastAsia="微软雅黑"/>
          <w:b w:val="0"/>
          <w:sz w:val="20"/>
        </w:rPr>
        <w:t>每个按钮项可配置图标、名称、跳转目标和开关状态。</w:t>
      </w:r>
    </w:p>
    <w:p w14:paraId="42B2ACF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点击新增创建悬浮框，点击编辑维护按钮项；保存前检查左右位置是否冲突、移动端是否遮挡主要内容。</w:t>
      </w:r>
    </w:p>
    <w:p w14:paraId="08D1EBB1">
      <w:pPr>
        <w:pStyle w:val="5"/>
      </w:pPr>
      <w:r>
        <w:rPr>
          <w:rFonts w:ascii="微软雅黑" w:hAnsi="微软雅黑" w:eastAsia="微软雅黑"/>
          <w:b/>
          <w:color w:val="2F5597"/>
          <w:sz w:val="25"/>
        </w:rPr>
        <w:t>子站点管理</w:t>
      </w:r>
    </w:p>
    <w:p w14:paraId="16EAF1E2">
      <w:r>
        <w:rPr>
          <w:rFonts w:ascii="微软雅黑" w:hAnsi="微软雅黑" w:eastAsia="微软雅黑"/>
          <w:b w:val="0"/>
          <w:sz w:val="20"/>
        </w:rPr>
        <w:t>子站点管理用于维护同一商户下的多个子站点，支持按状态查询站点，创建新站点，为子站点配置页面模板、域名、第三方绑定、客服、游戏、活动、代理、任务、会员返利、票券和获利监控等功能。</w:t>
      </w:r>
    </w:p>
    <w:p w14:paraId="1D530F73">
      <w:pPr>
        <w:pStyle w:val="6"/>
      </w:pPr>
      <w:r>
        <w:rPr>
          <w:rFonts w:ascii="微软雅黑" w:hAnsi="微软雅黑" w:eastAsia="微软雅黑"/>
          <w:b/>
          <w:color w:val="44546A"/>
          <w:sz w:val="22"/>
        </w:rPr>
        <w:t>列表查询与站点配置</w:t>
      </w:r>
    </w:p>
    <w:p w14:paraId="3FCEAB71">
      <w:pPr>
        <w:jc w:val="center"/>
      </w:pPr>
      <w:r>
        <w:drawing>
          <wp:inline distT="0" distB="0" distL="114300" distR="114300">
            <wp:extent cx="5943600" cy="1390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943600" cy="1391055"/>
                    </a:xfrm>
                    <a:prstGeom prst="rect">
                      <a:avLst/>
                    </a:prstGeom>
                  </pic:spPr>
                </pic:pic>
              </a:graphicData>
            </a:graphic>
          </wp:inline>
        </w:drawing>
      </w:r>
    </w:p>
    <w:p w14:paraId="4059E030">
      <w:pPr>
        <w:pStyle w:val="15"/>
        <w:jc w:val="center"/>
      </w:pPr>
      <w:r>
        <w:rPr>
          <w:rFonts w:ascii="微软雅黑" w:hAnsi="微软雅黑" w:eastAsia="微软雅黑"/>
          <w:b w:val="0"/>
          <w:color w:val="808080"/>
          <w:sz w:val="18"/>
        </w:rPr>
        <w:t>图11：子站点管理列表，用于查看站点及各项配置入口。</w:t>
      </w:r>
    </w:p>
    <w:p w14:paraId="41118C19">
      <w:pPr>
        <w:pStyle w:val="16"/>
      </w:pPr>
      <w:r>
        <w:rPr>
          <w:rFonts w:ascii="微软雅黑" w:hAnsi="微软雅黑" w:eastAsia="微软雅黑"/>
          <w:b w:val="0"/>
          <w:sz w:val="20"/>
        </w:rPr>
        <w:t>筛选条件：页面左上角支持按状态筛选，选择状态后点击搜索查询，点击重置清空已选条件并恢复默认列表。</w:t>
      </w:r>
    </w:p>
    <w:p w14:paraId="3C89D2AA">
      <w:pPr>
        <w:pStyle w:val="16"/>
      </w:pPr>
      <w:r>
        <w:rPr>
          <w:rFonts w:ascii="微软雅黑" w:hAnsi="微软雅黑" w:eastAsia="微软雅黑"/>
          <w:b w:val="0"/>
          <w:sz w:val="20"/>
        </w:rPr>
        <w:t>列表字段：表格展示站点编号、站点名称、页面模板、页面设置、域名配置、第三方绑定配置、客服配置、游戏配置、活动配置、代理、任务、会员返利、票券、获利监控和操作。</w:t>
      </w:r>
    </w:p>
    <w:p w14:paraId="580C00A2">
      <w:pPr>
        <w:pStyle w:val="16"/>
      </w:pPr>
      <w:r>
        <w:rPr>
          <w:rFonts w:ascii="微软雅黑" w:hAnsi="微软雅黑" w:eastAsia="微软雅黑"/>
          <w:b w:val="0"/>
          <w:sz w:val="20"/>
        </w:rPr>
        <w:t>配置入口：页面模板列显示已绑定模板，未配置项通常显示为去配置链接，点击后进入对应配置页面或配置弹窗。</w:t>
      </w:r>
    </w:p>
    <w:p w14:paraId="6FE64BF8">
      <w:pPr>
        <w:pStyle w:val="16"/>
      </w:pPr>
      <w:r>
        <w:rPr>
          <w:rFonts w:ascii="微软雅黑" w:hAnsi="微软雅黑" w:eastAsia="微软雅黑"/>
          <w:b w:val="0"/>
          <w:sz w:val="20"/>
        </w:rPr>
        <w:t>行内操作：每行右侧提供修改入口，用于调整站点名称、页面模板和状态等基础信息。</w:t>
      </w:r>
    </w:p>
    <w:p w14:paraId="0CF98BA2">
      <w:pPr>
        <w:pStyle w:val="6"/>
      </w:pPr>
      <w:r>
        <w:rPr>
          <w:rFonts w:ascii="微软雅黑" w:hAnsi="微软雅黑" w:eastAsia="微软雅黑"/>
          <w:b/>
          <w:color w:val="44546A"/>
          <w:sz w:val="22"/>
        </w:rPr>
        <w:t>创建站点</w:t>
      </w:r>
    </w:p>
    <w:p w14:paraId="52556C14">
      <w:pPr>
        <w:jc w:val="center"/>
      </w:pPr>
      <w:r>
        <w:drawing>
          <wp:inline distT="0" distB="0" distL="114300" distR="114300">
            <wp:extent cx="4389120" cy="2104390"/>
            <wp:effectExtent l="0" t="0" r="11430"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4389120" cy="2104820"/>
                    </a:xfrm>
                    <a:prstGeom prst="rect">
                      <a:avLst/>
                    </a:prstGeom>
                  </pic:spPr>
                </pic:pic>
              </a:graphicData>
            </a:graphic>
          </wp:inline>
        </w:drawing>
      </w:r>
    </w:p>
    <w:p w14:paraId="435BFFBF">
      <w:pPr>
        <w:pStyle w:val="15"/>
        <w:jc w:val="center"/>
      </w:pPr>
      <w:r>
        <w:rPr>
          <w:rFonts w:ascii="微软雅黑" w:hAnsi="微软雅黑" w:eastAsia="微软雅黑"/>
          <w:b w:val="0"/>
          <w:color w:val="808080"/>
          <w:sz w:val="18"/>
        </w:rPr>
        <w:t>图12：创建站点-直接创建，需填写站点名称并可选择页面模板。</w:t>
      </w:r>
    </w:p>
    <w:p w14:paraId="6D611FCB">
      <w:pPr>
        <w:jc w:val="center"/>
      </w:pPr>
      <w:r>
        <w:drawing>
          <wp:inline distT="0" distB="0" distL="114300" distR="114300">
            <wp:extent cx="4389120" cy="2447290"/>
            <wp:effectExtent l="0" t="0" r="11430"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4389120" cy="2447465"/>
                    </a:xfrm>
                    <a:prstGeom prst="rect">
                      <a:avLst/>
                    </a:prstGeom>
                  </pic:spPr>
                </pic:pic>
              </a:graphicData>
            </a:graphic>
          </wp:inline>
        </w:drawing>
      </w:r>
    </w:p>
    <w:p w14:paraId="76E048EC">
      <w:pPr>
        <w:pStyle w:val="15"/>
        <w:jc w:val="center"/>
      </w:pPr>
      <w:r>
        <w:rPr>
          <w:rFonts w:ascii="微软雅黑" w:hAnsi="微软雅黑" w:eastAsia="微软雅黑"/>
          <w:b w:val="0"/>
          <w:color w:val="808080"/>
          <w:sz w:val="18"/>
        </w:rPr>
        <w:t>图13：创建站点-复制站点，先选择要复制的站点再填写新站点信息。</w:t>
      </w:r>
    </w:p>
    <w:p w14:paraId="53E6F835">
      <w:pPr>
        <w:pStyle w:val="16"/>
      </w:pPr>
      <w:r>
        <w:rPr>
          <w:rFonts w:ascii="微软雅黑" w:hAnsi="微软雅黑" w:eastAsia="微软雅黑"/>
          <w:b w:val="0"/>
          <w:sz w:val="20"/>
        </w:rPr>
        <w:t>入口：点击列表右上角创建站点打开创建弹窗。</w:t>
      </w:r>
    </w:p>
    <w:p w14:paraId="52A9BD64">
      <w:pPr>
        <w:pStyle w:val="16"/>
      </w:pPr>
      <w:r>
        <w:rPr>
          <w:rFonts w:ascii="微软雅黑" w:hAnsi="微软雅黑" w:eastAsia="微软雅黑"/>
          <w:b w:val="0"/>
          <w:sz w:val="20"/>
        </w:rPr>
        <w:t>直接创建：创建模式选择直接创建时，需填写站点名称，并可通过选择模板绑定页面模板；未选择时显示暂未选择。</w:t>
      </w:r>
    </w:p>
    <w:p w14:paraId="4DE2D62A">
      <w:pPr>
        <w:pStyle w:val="16"/>
      </w:pPr>
      <w:r>
        <w:rPr>
          <w:rFonts w:ascii="微软雅黑" w:hAnsi="微软雅黑" w:eastAsia="微软雅黑"/>
          <w:b w:val="0"/>
          <w:sz w:val="20"/>
        </w:rPr>
        <w:t>复制站点：创建模式选择复制站点时，需先在复制站点下拉框中选择要复制的已有站点，再填写新站点名称和页面模板。</w:t>
      </w:r>
    </w:p>
    <w:p w14:paraId="29798189">
      <w:pPr>
        <w:pStyle w:val="16"/>
      </w:pPr>
      <w:r>
        <w:rPr>
          <w:rFonts w:ascii="微软雅黑" w:hAnsi="微软雅黑" w:eastAsia="微软雅黑"/>
          <w:b w:val="0"/>
          <w:sz w:val="20"/>
        </w:rPr>
        <w:t>按钮说明：点击取消关闭弹窗且不保存，点击确定提交创建；提交前需确认必填项已完成，站点名称未与已有站点混淆。</w:t>
      </w:r>
    </w:p>
    <w:p w14:paraId="532206FF">
      <w:pPr>
        <w:pStyle w:val="6"/>
      </w:pPr>
      <w:r>
        <w:rPr>
          <w:rFonts w:ascii="微软雅黑" w:hAnsi="微软雅黑" w:eastAsia="微软雅黑"/>
          <w:b/>
          <w:color w:val="44546A"/>
          <w:sz w:val="22"/>
        </w:rPr>
        <w:t>设置最小用户ID</w:t>
      </w:r>
    </w:p>
    <w:p w14:paraId="61474EEB">
      <w:pPr>
        <w:jc w:val="center"/>
      </w:pPr>
      <w:r>
        <w:drawing>
          <wp:inline distT="0" distB="0" distL="114300" distR="114300">
            <wp:extent cx="2926080" cy="1755140"/>
            <wp:effectExtent l="0" t="0" r="7620" b="165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2926080" cy="1755648"/>
                    </a:xfrm>
                    <a:prstGeom prst="rect">
                      <a:avLst/>
                    </a:prstGeom>
                  </pic:spPr>
                </pic:pic>
              </a:graphicData>
            </a:graphic>
          </wp:inline>
        </w:drawing>
      </w:r>
    </w:p>
    <w:p w14:paraId="5844AACC">
      <w:pPr>
        <w:pStyle w:val="15"/>
        <w:jc w:val="center"/>
      </w:pPr>
      <w:r>
        <w:rPr>
          <w:rFonts w:ascii="微软雅黑" w:hAnsi="微软雅黑" w:eastAsia="微软雅黑"/>
          <w:b w:val="0"/>
          <w:color w:val="808080"/>
          <w:sz w:val="18"/>
        </w:rPr>
        <w:t>图14：设置最小用户ID，用于控制子站点用户ID起算范围。</w:t>
      </w:r>
    </w:p>
    <w:p w14:paraId="08C9A224">
      <w:pPr>
        <w:pStyle w:val="16"/>
      </w:pPr>
      <w:r>
        <w:rPr>
          <w:rFonts w:ascii="微软雅黑" w:hAnsi="微软雅黑" w:eastAsia="微软雅黑"/>
          <w:b w:val="0"/>
          <w:sz w:val="20"/>
        </w:rPr>
        <w:t>用途：创建或维护子站点时，可通过设置最小用户ID控制该站点下用户ID的起算范围。</w:t>
      </w:r>
    </w:p>
    <w:p w14:paraId="174124E6">
      <w:pPr>
        <w:pStyle w:val="16"/>
      </w:pPr>
      <w:r>
        <w:rPr>
          <w:rFonts w:ascii="微软雅黑" w:hAnsi="微软雅黑" w:eastAsia="微软雅黑"/>
          <w:b w:val="0"/>
          <w:sz w:val="20"/>
        </w:rPr>
        <w:t>字段说明：最小用户ID默认示例为10000，可通过输入框或右侧加减控件调整。</w:t>
      </w:r>
    </w:p>
    <w:p w14:paraId="5E6CF4D0">
      <w:pPr>
        <w:pStyle w:val="16"/>
        <w:rPr>
          <w:rFonts w:hint="eastAsia"/>
          <w:b w:val="0"/>
          <w:sz w:val="20"/>
          <w:lang w:val="en-US" w:eastAsia="zh-CN"/>
        </w:rPr>
      </w:pPr>
      <w:r>
        <w:rPr>
          <w:rFonts w:ascii="微软雅黑" w:hAnsi="微软雅黑" w:eastAsia="微软雅黑"/>
          <w:b w:val="0"/>
          <w:sz w:val="20"/>
        </w:rPr>
        <w:t>校验规则：若设置值小于1000，系统将按1000计算，保存前应确认该值与站点用户编号规划一致。</w:t>
      </w:r>
    </w:p>
    <w:p w14:paraId="3B5D6B48">
      <w:pPr>
        <w:pStyle w:val="16"/>
        <w:numPr>
          <w:ilvl w:val="2"/>
          <w:numId w:val="3"/>
        </w:numPr>
        <w:tabs>
          <w:tab w:val="clear" w:pos="1260"/>
        </w:tabs>
        <w:ind w:left="1260" w:leftChars="0" w:hanging="420" w:firstLineChars="0"/>
        <w:rPr>
          <w:rFonts w:hint="default" w:eastAsia="微软雅黑"/>
          <w:lang w:val="en-US" w:eastAsia="zh-CN"/>
        </w:rPr>
      </w:pPr>
      <w:r>
        <w:rPr>
          <w:rFonts w:hint="eastAsia"/>
          <w:b w:val="0"/>
          <w:sz w:val="20"/>
          <w:lang w:val="en-US" w:eastAsia="zh-CN"/>
        </w:rPr>
        <w:t xml:space="preserve">  新修改的ID必须比之前已注册用户最大编号大。</w:t>
      </w:r>
    </w:p>
    <w:p w14:paraId="77A9C0B8">
      <w:pPr>
        <w:pStyle w:val="6"/>
      </w:pPr>
      <w:r>
        <w:rPr>
          <w:rFonts w:ascii="微软雅黑" w:hAnsi="微软雅黑" w:eastAsia="微软雅黑"/>
          <w:b/>
          <w:color w:val="44546A"/>
          <w:sz w:val="22"/>
        </w:rPr>
        <w:t>编辑站点</w:t>
      </w:r>
    </w:p>
    <w:p w14:paraId="7BCF584D">
      <w:pPr>
        <w:jc w:val="center"/>
      </w:pPr>
      <w:r>
        <w:drawing>
          <wp:inline distT="0" distB="0" distL="114300" distR="114300">
            <wp:extent cx="4389120" cy="3483610"/>
            <wp:effectExtent l="0" t="0" r="1143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4389120" cy="3483813"/>
                    </a:xfrm>
                    <a:prstGeom prst="rect">
                      <a:avLst/>
                    </a:prstGeom>
                  </pic:spPr>
                </pic:pic>
              </a:graphicData>
            </a:graphic>
          </wp:inline>
        </w:drawing>
      </w:r>
    </w:p>
    <w:p w14:paraId="359D7D15">
      <w:pPr>
        <w:pStyle w:val="15"/>
        <w:jc w:val="center"/>
      </w:pPr>
      <w:r>
        <w:rPr>
          <w:rFonts w:ascii="微软雅黑" w:hAnsi="微软雅黑" w:eastAsia="微软雅黑"/>
          <w:b w:val="0"/>
          <w:color w:val="808080"/>
          <w:sz w:val="18"/>
        </w:rPr>
        <w:t>图15：编辑站点，可修改站点名称、页面模板和站点状态。</w:t>
      </w:r>
    </w:p>
    <w:p w14:paraId="3D37CA0E">
      <w:pPr>
        <w:pStyle w:val="16"/>
      </w:pPr>
      <w:r>
        <w:rPr>
          <w:rFonts w:ascii="微软雅黑" w:hAnsi="微软雅黑" w:eastAsia="微软雅黑"/>
          <w:b w:val="0"/>
          <w:sz w:val="20"/>
        </w:rPr>
        <w:t>入口：在列表操作列点击修改，打开编辑站点弹窗。</w:t>
      </w:r>
    </w:p>
    <w:p w14:paraId="43DCF7D1">
      <w:pPr>
        <w:pStyle w:val="16"/>
      </w:pPr>
      <w:r>
        <w:rPr>
          <w:rFonts w:ascii="微软雅黑" w:hAnsi="微软雅黑" w:eastAsia="微软雅黑"/>
          <w:b w:val="0"/>
          <w:sz w:val="20"/>
        </w:rPr>
        <w:t>站点名称：可修改子站点的展示名称，修改后需检查列表、前台展示和运营沟通中的命名是否一致。</w:t>
      </w:r>
    </w:p>
    <w:p w14:paraId="3BD373CD">
      <w:pPr>
        <w:pStyle w:val="16"/>
      </w:pPr>
      <w:r>
        <w:rPr>
          <w:rFonts w:ascii="微软雅黑" w:hAnsi="微软雅黑" w:eastAsia="微软雅黑"/>
          <w:b w:val="0"/>
          <w:sz w:val="20"/>
        </w:rPr>
        <w:t>页面模板：点击选择模板可更换已绑定的页面模板，已选模板会在按钮右侧显示，例如首页。</w:t>
      </w:r>
    </w:p>
    <w:p w14:paraId="0F9824F6">
      <w:pPr>
        <w:pStyle w:val="16"/>
      </w:pPr>
      <w:r>
        <w:rPr>
          <w:rFonts w:ascii="微软雅黑" w:hAnsi="微软雅黑" w:eastAsia="微软雅黑"/>
          <w:b w:val="0"/>
          <w:sz w:val="20"/>
        </w:rPr>
        <w:t>状态：支持选择冻结、已删除、建设中、正常开启、维护中等状态；切换状态前需评估对前台访问、用户操作和相关配置的影响。</w:t>
      </w:r>
    </w:p>
    <w:p w14:paraId="1B4AF059">
      <w:pPr>
        <w:pStyle w:val="16"/>
        <w:numPr>
          <w:ilvl w:val="2"/>
          <w:numId w:val="3"/>
        </w:numPr>
        <w:tabs>
          <w:tab w:val="clear" w:pos="1260"/>
        </w:tabs>
        <w:ind w:left="1260" w:leftChars="0" w:hanging="420" w:firstLineChars="0"/>
      </w:pPr>
      <w:r>
        <w:rPr>
          <w:rFonts w:hint="eastAsia"/>
          <w:b w:val="0"/>
          <w:sz w:val="20"/>
          <w:lang w:val="en-US" w:eastAsia="zh-CN"/>
        </w:rPr>
        <w:t>第一次修改为正常开启时会扣除站点费用，请确保商户有足够余额</w:t>
      </w:r>
    </w:p>
    <w:p w14:paraId="3964715A">
      <w:pPr>
        <w:pStyle w:val="16"/>
      </w:pPr>
      <w:r>
        <w:rPr>
          <w:rFonts w:ascii="微软雅黑" w:hAnsi="微软雅黑" w:eastAsia="微软雅黑"/>
          <w:b w:val="0"/>
          <w:sz w:val="20"/>
        </w:rPr>
        <w:t>保存操作：点击确定保存修改，点击取消或右上角关闭放弃本次编辑。</w:t>
      </w:r>
    </w:p>
    <w:p w14:paraId="31733E3A">
      <w:pPr>
        <w:pStyle w:val="6"/>
      </w:pPr>
      <w:r>
        <w:rPr>
          <w:rFonts w:ascii="微软雅黑" w:hAnsi="微软雅黑" w:eastAsia="微软雅黑"/>
          <w:b/>
          <w:color w:val="44546A"/>
          <w:sz w:val="22"/>
        </w:rPr>
        <w:t>使用要点</w:t>
      </w:r>
    </w:p>
    <w:p w14:paraId="5DA28F51">
      <w:pPr>
        <w:pStyle w:val="16"/>
      </w:pPr>
      <w:r>
        <w:rPr>
          <w:rFonts w:ascii="微软雅黑" w:hAnsi="微软雅黑" w:eastAsia="微软雅黑"/>
          <w:b w:val="0"/>
          <w:sz w:val="20"/>
        </w:rPr>
        <w:t>新建子站点后，应按页面模板、页面设置、域名、客服、游戏、活动和票券等顺序补齐必要配置，避免前台页面可访问但功能未配好。</w:t>
      </w:r>
    </w:p>
    <w:p w14:paraId="3AA056D1">
      <w:pPr>
        <w:pStyle w:val="16"/>
      </w:pPr>
      <w:r>
        <w:rPr>
          <w:rFonts w:ascii="微软雅黑" w:hAnsi="微软雅黑" w:eastAsia="微软雅黑"/>
          <w:b w:val="0"/>
          <w:sz w:val="20"/>
        </w:rPr>
        <w:t>复制站点可提升搭建效率，但保存后仍需逐项检查域名、第三方绑定、客服和活动配置，避免把原站点的渠道或活动入口直接带到新站点。</w:t>
      </w:r>
    </w:p>
    <w:p w14:paraId="560A40AD">
      <w:pPr>
        <w:pStyle w:val="16"/>
      </w:pPr>
      <w:r>
        <w:rPr>
          <w:rFonts w:ascii="微软雅黑" w:hAnsi="微软雅黑" w:eastAsia="微软雅黑"/>
          <w:b w:val="0"/>
          <w:sz w:val="20"/>
        </w:rPr>
        <w:t>对已上线站点调整状态或模板前，建议先确认影响时间、受影响用户范围和回退方案。</w:t>
      </w:r>
    </w:p>
    <w:p w14:paraId="5ED5CAEC">
      <w:pPr>
        <w:pStyle w:val="5"/>
        <w:keepNext/>
        <w:spacing w:before="180" w:after="100" w:line="259" w:lineRule="auto"/>
      </w:pPr>
      <w:r>
        <w:rPr>
          <w:rFonts w:ascii="微软雅黑" w:hAnsi="微软雅黑" w:eastAsia="微软雅黑"/>
          <w:b/>
          <w:color w:val="2F5597"/>
          <w:sz w:val="25"/>
        </w:rPr>
        <w:t>品牌设置</w:t>
      </w:r>
    </w:p>
    <w:p w14:paraId="0DE56594">
      <w:r>
        <w:rPr>
          <w:rFonts w:ascii="微软雅黑" w:hAnsi="微软雅黑" w:eastAsia="微软雅黑"/>
          <w:b w:val="0"/>
          <w:sz w:val="20"/>
        </w:rPr>
        <w:t>品牌设置用于维护前台品牌说明类内容，本次包含“关于我们”和“用户协议”两个页签。运营人员可在页签内查看标题和正文内容，点击页面底部“修改”进入编辑状态，调整后保存并同步到前台对应展示页面。</w:t>
      </w:r>
    </w:p>
    <w:p w14:paraId="52E9EC70">
      <w:pPr>
        <w:pStyle w:val="6"/>
      </w:pPr>
      <w:r>
        <w:rPr>
          <w:rFonts w:ascii="微软雅黑" w:hAnsi="微软雅黑" w:eastAsia="微软雅黑"/>
          <w:b/>
          <w:color w:val="2F5597"/>
          <w:sz w:val="22"/>
        </w:rPr>
        <w:t>关于我们</w:t>
      </w:r>
    </w:p>
    <w:p w14:paraId="2C0D9208">
      <w:pPr>
        <w:jc w:val="center"/>
      </w:pPr>
      <w:r>
        <w:drawing>
          <wp:inline distT="0" distB="0" distL="114300" distR="114300">
            <wp:extent cx="5897880" cy="2889885"/>
            <wp:effectExtent l="0" t="0" r="762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5897880" cy="2890507"/>
                    </a:xfrm>
                    <a:prstGeom prst="rect">
                      <a:avLst/>
                    </a:prstGeom>
                  </pic:spPr>
                </pic:pic>
              </a:graphicData>
            </a:graphic>
          </wp:inline>
        </w:drawing>
      </w:r>
    </w:p>
    <w:p w14:paraId="49863C79">
      <w:pPr>
        <w:pStyle w:val="15"/>
        <w:jc w:val="center"/>
      </w:pPr>
      <w:r>
        <w:rPr>
          <w:rFonts w:ascii="微软雅黑" w:hAnsi="微软雅黑" w:eastAsia="微软雅黑"/>
          <w:b w:val="0"/>
          <w:color w:val="707E92"/>
          <w:sz w:val="18"/>
        </w:rPr>
        <w:t>图16：品牌设置-关于我们，用于维护前台 About Us 展示内容。</w:t>
      </w:r>
    </w:p>
    <w:p w14:paraId="604EFFB7">
      <w:pPr>
        <w:pStyle w:val="16"/>
      </w:pPr>
      <w:r>
        <w:rPr>
          <w:rFonts w:ascii="微软雅黑" w:hAnsi="微软雅黑" w:eastAsia="微软雅黑"/>
          <w:b/>
          <w:color w:val="2F5597"/>
          <w:sz w:val="20"/>
        </w:rPr>
        <w:t>标题</w:t>
      </w:r>
      <w:r>
        <w:rPr>
          <w:rFonts w:ascii="微软雅黑" w:hAnsi="微软雅黑" w:eastAsia="微软雅黑"/>
          <w:b w:val="0"/>
          <w:sz w:val="20"/>
        </w:rPr>
        <w:t>：当前示例为 About Us，用于配置前台关于我们页面或弹层的展示标题。标题应简洁明确，并与站点语言和品牌定位保持一致。</w:t>
      </w:r>
    </w:p>
    <w:p w14:paraId="61C881E3">
      <w:pPr>
        <w:pStyle w:val="16"/>
      </w:pPr>
      <w:r>
        <w:rPr>
          <w:rFonts w:ascii="微软雅黑" w:hAnsi="微软雅黑" w:eastAsia="微软雅黑"/>
          <w:b/>
          <w:color w:val="2F5597"/>
          <w:sz w:val="20"/>
        </w:rPr>
        <w:t>内容</w:t>
      </w:r>
      <w:r>
        <w:rPr>
          <w:rFonts w:ascii="微软雅黑" w:hAnsi="微软雅黑" w:eastAsia="微软雅黑"/>
          <w:b w:val="0"/>
          <w:sz w:val="20"/>
        </w:rPr>
        <w:t>：正文区域支持维护平台介绍、平台优势、责任博彩说明、服务范围和承诺说明等内容。发布前需检查段落层级、英文拼写、品牌措辞和合规表达。</w:t>
      </w:r>
    </w:p>
    <w:p w14:paraId="10237D66">
      <w:pPr>
        <w:pStyle w:val="16"/>
      </w:pPr>
      <w:r>
        <w:rPr>
          <w:rFonts w:ascii="微软雅黑" w:hAnsi="微软雅黑" w:eastAsia="微软雅黑"/>
          <w:b/>
          <w:color w:val="2F5597"/>
          <w:sz w:val="20"/>
        </w:rPr>
        <w:t>修改</w:t>
      </w:r>
      <w:r>
        <w:rPr>
          <w:rFonts w:ascii="微软雅黑" w:hAnsi="微软雅黑" w:eastAsia="微软雅黑"/>
          <w:b w:val="0"/>
          <w:sz w:val="20"/>
        </w:rPr>
        <w:t>：点击底部“修改”进入编辑状态；保存前应由运营或合规人员复核内容，避免出现过期承诺、错误服务范围或与站点实际能力不一致的描述。</w:t>
      </w:r>
    </w:p>
    <w:p w14:paraId="1207CA2A">
      <w:pPr>
        <w:pStyle w:val="6"/>
      </w:pPr>
      <w:r>
        <w:rPr>
          <w:rFonts w:ascii="微软雅黑" w:hAnsi="微软雅黑" w:eastAsia="微软雅黑"/>
          <w:b/>
          <w:color w:val="2F5597"/>
          <w:sz w:val="22"/>
        </w:rPr>
        <w:t>用户协议</w:t>
      </w:r>
    </w:p>
    <w:p w14:paraId="52CDBCC1">
      <w:pPr>
        <w:rPr>
          <w:rFonts w:ascii="微软雅黑" w:hAnsi="微软雅黑" w:eastAsia="微软雅黑"/>
          <w:b w:val="0"/>
          <w:sz w:val="20"/>
        </w:rPr>
      </w:pPr>
      <w:r>
        <w:drawing>
          <wp:inline distT="0" distB="0" distL="114300" distR="114300">
            <wp:extent cx="6388100" cy="2992120"/>
            <wp:effectExtent l="0" t="0" r="12700" b="1778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2"/>
                    <a:stretch>
                      <a:fillRect/>
                    </a:stretch>
                  </pic:blipFill>
                  <pic:spPr>
                    <a:xfrm>
                      <a:off x="0" y="0"/>
                      <a:ext cx="6388100" cy="2992120"/>
                    </a:xfrm>
                    <a:prstGeom prst="rect">
                      <a:avLst/>
                    </a:prstGeom>
                    <a:noFill/>
                    <a:ln>
                      <a:noFill/>
                    </a:ln>
                  </pic:spPr>
                </pic:pic>
              </a:graphicData>
            </a:graphic>
          </wp:inline>
        </w:drawing>
      </w:r>
    </w:p>
    <w:p w14:paraId="10DD3EB0">
      <w:pPr>
        <w:pStyle w:val="15"/>
        <w:jc w:val="center"/>
      </w:pPr>
      <w:r>
        <w:rPr>
          <w:rFonts w:ascii="微软雅黑" w:hAnsi="微软雅黑" w:eastAsia="微软雅黑"/>
          <w:b w:val="0"/>
          <w:color w:val="707E92"/>
          <w:sz w:val="18"/>
        </w:rPr>
        <w:t>图1</w:t>
      </w:r>
      <w:r>
        <w:rPr>
          <w:rFonts w:hint="eastAsia"/>
          <w:b w:val="0"/>
          <w:color w:val="707E92"/>
          <w:sz w:val="18"/>
          <w:lang w:val="en-US" w:eastAsia="zh-CN"/>
        </w:rPr>
        <w:t>7</w:t>
      </w:r>
      <w:r>
        <w:rPr>
          <w:rFonts w:ascii="微软雅黑" w:hAnsi="微软雅黑" w:eastAsia="微软雅黑"/>
          <w:b w:val="0"/>
          <w:color w:val="707E92"/>
          <w:sz w:val="18"/>
        </w:rPr>
        <w:t>：品牌设置-关于我们，用于维护前台 About Us 展示内容。</w:t>
      </w:r>
    </w:p>
    <w:p w14:paraId="0C0D2B1A">
      <w:pPr>
        <w:pStyle w:val="16"/>
      </w:pPr>
      <w:r>
        <w:rPr>
          <w:rFonts w:ascii="微软雅黑" w:hAnsi="微软雅黑" w:eastAsia="微软雅黑"/>
          <w:b/>
          <w:color w:val="2F5597"/>
          <w:sz w:val="20"/>
        </w:rPr>
        <w:t>标题</w:t>
      </w:r>
      <w:r>
        <w:rPr>
          <w:rFonts w:ascii="微软雅黑" w:hAnsi="微软雅黑" w:eastAsia="微软雅黑"/>
          <w:b w:val="0"/>
          <w:sz w:val="20"/>
        </w:rPr>
        <w:t>：建议使用“用户协议”或当前站点约定的正式协议名称，避免与隐私政策、活动规则等其他文本混用。</w:t>
      </w:r>
    </w:p>
    <w:p w14:paraId="721311E5">
      <w:pPr>
        <w:pStyle w:val="16"/>
      </w:pPr>
      <w:r>
        <w:rPr>
          <w:rFonts w:ascii="微软雅黑" w:hAnsi="微软雅黑" w:eastAsia="微软雅黑"/>
          <w:b/>
          <w:color w:val="2F5597"/>
          <w:sz w:val="20"/>
        </w:rPr>
        <w:t>内容</w:t>
      </w:r>
      <w:r>
        <w:rPr>
          <w:rFonts w:ascii="微软雅黑" w:hAnsi="微软雅黑" w:eastAsia="微软雅黑"/>
          <w:b w:val="0"/>
          <w:sz w:val="20"/>
        </w:rPr>
        <w:t>：协议正文应覆盖用户注册、账号安全、服务使用、交易与结算、禁止行为、责任限制、争议处理和更新生效规则等关键条款。</w:t>
      </w:r>
    </w:p>
    <w:p w14:paraId="7CF9112F">
      <w:pPr>
        <w:pStyle w:val="16"/>
      </w:pPr>
      <w:r>
        <w:rPr>
          <w:rFonts w:ascii="微软雅黑" w:hAnsi="微软雅黑" w:eastAsia="微软雅黑"/>
          <w:b/>
          <w:color w:val="2F5597"/>
          <w:sz w:val="20"/>
        </w:rPr>
        <w:t>使用要点</w:t>
      </w:r>
      <w:r>
        <w:rPr>
          <w:rFonts w:ascii="微软雅黑" w:hAnsi="微软雅黑" w:eastAsia="微软雅黑"/>
          <w:b w:val="0"/>
          <w:sz w:val="20"/>
        </w:rPr>
        <w:t>：协议内容通常具有合规属性，修改前应确认审批流程；上线后建议抽查注册页、登录页，确保用户看到的是最新版本。</w:t>
      </w:r>
    </w:p>
    <w:p w14:paraId="14A9DF58">
      <w:pPr>
        <w:pStyle w:val="5"/>
        <w:keepNext/>
        <w:spacing w:before="180" w:after="100" w:line="259" w:lineRule="auto"/>
      </w:pPr>
      <w:r>
        <w:rPr>
          <w:rFonts w:ascii="微软雅黑" w:hAnsi="微软雅黑" w:eastAsia="微软雅黑"/>
          <w:b/>
          <w:color w:val="2F5597"/>
          <w:sz w:val="25"/>
        </w:rPr>
        <w:t>站点域名</w:t>
      </w:r>
    </w:p>
    <w:p w14:paraId="53159632">
      <w:r>
        <w:rPr>
          <w:rFonts w:ascii="微软雅黑" w:hAnsi="微软雅黑" w:eastAsia="微软雅黑"/>
          <w:b w:val="0"/>
          <w:sz w:val="20"/>
        </w:rPr>
        <w:t>站点域名用于维护不同业务入口的域名配置，页面通过顶部页签区分前台域名管理、后台域名管理和推广域名。操作时先根据蓝色选中态识别当前页面，再执行查询、新增、绑定站点、修改落地页模板、启用、停用或删除等操作。</w:t>
      </w:r>
    </w:p>
    <w:p w14:paraId="7E7CCF56">
      <w:pPr>
        <w:pStyle w:val="6"/>
      </w:pPr>
      <w:r>
        <w:rPr>
          <w:rFonts w:ascii="微软雅黑" w:hAnsi="微软雅黑" w:eastAsia="微软雅黑"/>
          <w:b/>
          <w:color w:val="2F5597"/>
          <w:sz w:val="22"/>
        </w:rPr>
        <w:t>前台域名管理</w:t>
      </w:r>
    </w:p>
    <w:p w14:paraId="2D01544F">
      <w:pPr>
        <w:jc w:val="center"/>
      </w:pPr>
      <w:r>
        <w:drawing>
          <wp:inline distT="0" distB="0" distL="114300" distR="114300">
            <wp:extent cx="5943600" cy="2528570"/>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3"/>
                    <a:stretch>
                      <a:fillRect/>
                    </a:stretch>
                  </pic:blipFill>
                  <pic:spPr>
                    <a:xfrm>
                      <a:off x="0" y="0"/>
                      <a:ext cx="5943600" cy="2529191"/>
                    </a:xfrm>
                    <a:prstGeom prst="rect">
                      <a:avLst/>
                    </a:prstGeom>
                  </pic:spPr>
                </pic:pic>
              </a:graphicData>
            </a:graphic>
          </wp:inline>
        </w:drawing>
      </w:r>
    </w:p>
    <w:p w14:paraId="3742105A">
      <w:pPr>
        <w:pStyle w:val="15"/>
        <w:jc w:val="center"/>
      </w:pPr>
      <w:r>
        <w:rPr>
          <w:rFonts w:ascii="微软雅黑" w:hAnsi="微软雅黑" w:eastAsia="微软雅黑"/>
          <w:b w:val="0"/>
          <w:color w:val="707E92"/>
          <w:sz w:val="18"/>
        </w:rPr>
        <w:t>图18：站点域名-前台域名管理，用于维护用户访问前台站点使用的域名。</w:t>
      </w:r>
    </w:p>
    <w:p w14:paraId="6296B7AC">
      <w:pPr>
        <w:pStyle w:val="16"/>
      </w:pPr>
      <w:r>
        <w:rPr>
          <w:rFonts w:ascii="微软雅黑" w:hAnsi="微软雅黑" w:eastAsia="微软雅黑"/>
          <w:b/>
          <w:color w:val="2F5597"/>
          <w:sz w:val="20"/>
        </w:rPr>
        <w:t>选中状态</w:t>
      </w:r>
      <w:r>
        <w:rPr>
          <w:rFonts w:ascii="微软雅黑" w:hAnsi="微软雅黑" w:eastAsia="微软雅黑"/>
          <w:b w:val="0"/>
          <w:sz w:val="20"/>
        </w:rPr>
        <w:t>：顶部“前台域名管理”为蓝色文字并显示下划线时，代表当前列表展示前台域名数据。</w:t>
      </w:r>
    </w:p>
    <w:p w14:paraId="68428964">
      <w:pPr>
        <w:pStyle w:val="16"/>
      </w:pPr>
      <w:r>
        <w:rPr>
          <w:rFonts w:ascii="微软雅黑" w:hAnsi="微软雅黑" w:eastAsia="微软雅黑"/>
          <w:b/>
          <w:color w:val="2F5597"/>
          <w:sz w:val="20"/>
        </w:rPr>
        <w:t>筛选条件</w:t>
      </w:r>
      <w:r>
        <w:rPr>
          <w:rFonts w:ascii="微软雅黑" w:hAnsi="微软雅黑" w:eastAsia="微软雅黑"/>
          <w:b w:val="0"/>
          <w:sz w:val="20"/>
        </w:rPr>
        <w:t>：支持按节点类型和主域名查询；节点类型示例为 CF，主域名可输入完整或部分域名后点击搜索，点击重置清空条件。</w:t>
      </w:r>
    </w:p>
    <w:p w14:paraId="1C27A9F6">
      <w:pPr>
        <w:pStyle w:val="16"/>
      </w:pPr>
      <w:r>
        <w:rPr>
          <w:rFonts w:ascii="微软雅黑" w:hAnsi="微软雅黑" w:eastAsia="微软雅黑"/>
          <w:b/>
          <w:color w:val="2F5597"/>
          <w:sz w:val="20"/>
        </w:rPr>
        <w:t>列表字段</w:t>
      </w:r>
      <w:r>
        <w:rPr>
          <w:rFonts w:ascii="微软雅黑" w:hAnsi="微软雅黑" w:eastAsia="微软雅黑"/>
          <w:b w:val="0"/>
          <w:sz w:val="20"/>
        </w:rPr>
        <w:t>：表格展示 CDN 节点名称、域名、主域名是否已激活、站点、域名状态、过期时间、操作人、操作时间和操作列；主域名激活区域会展示 NS 地址和验证结果。</w:t>
      </w:r>
    </w:p>
    <w:p w14:paraId="27FE5BA3">
      <w:pPr>
        <w:pStyle w:val="16"/>
      </w:pPr>
      <w:r>
        <w:rPr>
          <w:rFonts w:ascii="微软雅黑" w:hAnsi="微软雅黑" w:eastAsia="微软雅黑"/>
          <w:b/>
          <w:color w:val="2F5597"/>
          <w:sz w:val="20"/>
        </w:rPr>
        <w:t>站点绑定</w:t>
      </w:r>
      <w:r>
        <w:rPr>
          <w:rFonts w:ascii="微软雅黑" w:hAnsi="微软雅黑" w:eastAsia="微软雅黑"/>
          <w:b w:val="0"/>
          <w:sz w:val="20"/>
        </w:rPr>
        <w:t>：未绑定站点时显示“绑定站点”，已绑定时展示站点编号和名称，并提供“修改”入口；域名启用中时应先停用再修改绑定关系。</w:t>
      </w:r>
    </w:p>
    <w:p w14:paraId="03D97A69">
      <w:pPr>
        <w:pStyle w:val="16"/>
      </w:pPr>
      <w:r>
        <w:rPr>
          <w:rFonts w:ascii="微软雅黑" w:hAnsi="微软雅黑" w:eastAsia="微软雅黑"/>
          <w:b/>
          <w:color w:val="2F5597"/>
          <w:sz w:val="20"/>
        </w:rPr>
        <w:t>状态操作</w:t>
      </w:r>
      <w:r>
        <w:rPr>
          <w:rFonts w:ascii="微软雅黑" w:hAnsi="微软雅黑" w:eastAsia="微软雅黑"/>
          <w:b w:val="0"/>
          <w:sz w:val="20"/>
        </w:rPr>
        <w:t>：操作列支持启用、停用和删除。启用前需确认域名解析、主域名验证和站点绑定均正确，删除前应确认该域名不再承担线上访问入口。</w:t>
      </w:r>
    </w:p>
    <w:p w14:paraId="40BB4B9E">
      <w:pPr>
        <w:pStyle w:val="6"/>
      </w:pPr>
      <w:r>
        <w:rPr>
          <w:rFonts w:ascii="微软雅黑" w:hAnsi="微软雅黑" w:eastAsia="微软雅黑"/>
          <w:b/>
          <w:color w:val="2F5597"/>
          <w:sz w:val="22"/>
        </w:rPr>
        <w:t>后台域名管理</w:t>
      </w:r>
    </w:p>
    <w:p w14:paraId="31180523">
      <w:pPr>
        <w:jc w:val="center"/>
      </w:pPr>
      <w:r>
        <w:drawing>
          <wp:inline distT="0" distB="0" distL="114300" distR="114300">
            <wp:extent cx="5943600" cy="252857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4"/>
                    <a:stretch>
                      <a:fillRect/>
                    </a:stretch>
                  </pic:blipFill>
                  <pic:spPr>
                    <a:xfrm>
                      <a:off x="0" y="0"/>
                      <a:ext cx="5943600" cy="2529191"/>
                    </a:xfrm>
                    <a:prstGeom prst="rect">
                      <a:avLst/>
                    </a:prstGeom>
                  </pic:spPr>
                </pic:pic>
              </a:graphicData>
            </a:graphic>
          </wp:inline>
        </w:drawing>
      </w:r>
    </w:p>
    <w:p w14:paraId="19850E66">
      <w:pPr>
        <w:pStyle w:val="15"/>
        <w:jc w:val="center"/>
      </w:pPr>
      <w:r>
        <w:rPr>
          <w:rFonts w:ascii="微软雅黑" w:hAnsi="微软雅黑" w:eastAsia="微软雅黑"/>
          <w:b w:val="0"/>
          <w:color w:val="707E92"/>
          <w:sz w:val="18"/>
        </w:rPr>
        <w:t>图19：站点域名-后台域名管理，用于维护后台管理端访问域名。</w:t>
      </w:r>
    </w:p>
    <w:p w14:paraId="6A31B330">
      <w:pPr>
        <w:pStyle w:val="16"/>
      </w:pPr>
      <w:r>
        <w:rPr>
          <w:rFonts w:ascii="微软雅黑" w:hAnsi="微软雅黑" w:eastAsia="微软雅黑"/>
          <w:b/>
          <w:color w:val="2F5597"/>
          <w:sz w:val="20"/>
        </w:rPr>
        <w:t>选中状态</w:t>
      </w:r>
      <w:r>
        <w:rPr>
          <w:rFonts w:ascii="微软雅黑" w:hAnsi="微软雅黑" w:eastAsia="微软雅黑"/>
          <w:b w:val="0"/>
          <w:sz w:val="20"/>
        </w:rPr>
        <w:t>：顶部“后台域名管理”为蓝色文字并显示下划线时，代表当前列表展示后台域名数据。</w:t>
      </w:r>
    </w:p>
    <w:p w14:paraId="2C1D8D1C">
      <w:pPr>
        <w:pStyle w:val="16"/>
      </w:pPr>
      <w:r>
        <w:rPr>
          <w:rFonts w:ascii="微软雅黑" w:hAnsi="微软雅黑" w:eastAsia="微软雅黑"/>
          <w:b/>
          <w:color w:val="2F5597"/>
          <w:sz w:val="20"/>
        </w:rPr>
        <w:t>适用范围</w:t>
      </w:r>
      <w:r>
        <w:rPr>
          <w:rFonts w:ascii="微软雅黑" w:hAnsi="微软雅黑" w:eastAsia="微软雅黑"/>
          <w:b w:val="0"/>
          <w:sz w:val="20"/>
        </w:rPr>
        <w:t>：后台域名用于运营、客服、财务、风控和管理人员访问后台系统，配置前应确认该域名只面向授权后台入口使用。</w:t>
      </w:r>
    </w:p>
    <w:p w14:paraId="455EA6AF">
      <w:pPr>
        <w:pStyle w:val="16"/>
      </w:pPr>
      <w:r>
        <w:rPr>
          <w:rFonts w:ascii="微软雅黑" w:hAnsi="微软雅黑" w:eastAsia="微软雅黑"/>
          <w:b/>
          <w:color w:val="2F5597"/>
          <w:sz w:val="20"/>
        </w:rPr>
        <w:t>操作要点</w:t>
      </w:r>
      <w:r>
        <w:rPr>
          <w:rFonts w:ascii="微软雅黑" w:hAnsi="微软雅黑" w:eastAsia="微软雅黑"/>
          <w:b w:val="0"/>
          <w:sz w:val="20"/>
        </w:rPr>
        <w:t>：新增或启用后台域名前，应检查 CDN 节点、NS 验证、站点绑定和访问权限策略，避免后台入口误暴露或与前台域名混用。</w:t>
      </w:r>
    </w:p>
    <w:p w14:paraId="03DD128C">
      <w:pPr>
        <w:pStyle w:val="16"/>
      </w:pPr>
      <w:r>
        <w:rPr>
          <w:rFonts w:ascii="微软雅黑" w:hAnsi="微软雅黑" w:eastAsia="微软雅黑"/>
          <w:b/>
          <w:color w:val="2F5597"/>
          <w:sz w:val="20"/>
        </w:rPr>
        <w:t>停用删除</w:t>
      </w:r>
      <w:r>
        <w:rPr>
          <w:rFonts w:ascii="微软雅黑" w:hAnsi="微软雅黑" w:eastAsia="微软雅黑"/>
          <w:b w:val="0"/>
          <w:sz w:val="20"/>
        </w:rPr>
        <w:t>：停用会影响后台访问入口，应先确认替代后台域名可用；删除前需确认无账号、公告、白名单或运维文档仍指向该域名。</w:t>
      </w:r>
    </w:p>
    <w:p w14:paraId="08BD8EB3">
      <w:pPr>
        <w:pStyle w:val="6"/>
      </w:pPr>
      <w:r>
        <w:rPr>
          <w:rFonts w:ascii="微软雅黑" w:hAnsi="微软雅黑" w:eastAsia="微软雅黑"/>
          <w:b/>
          <w:color w:val="2F5597"/>
          <w:sz w:val="22"/>
        </w:rPr>
        <w:t>推广域名</w:t>
      </w:r>
    </w:p>
    <w:p w14:paraId="4FABFD4A">
      <w:pPr>
        <w:jc w:val="center"/>
      </w:pPr>
      <w:r>
        <w:drawing>
          <wp:inline distT="0" distB="0" distL="114300" distR="114300">
            <wp:extent cx="5943600" cy="252857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5"/>
                    <a:stretch>
                      <a:fillRect/>
                    </a:stretch>
                  </pic:blipFill>
                  <pic:spPr>
                    <a:xfrm>
                      <a:off x="0" y="0"/>
                      <a:ext cx="5943600" cy="2529191"/>
                    </a:xfrm>
                    <a:prstGeom prst="rect">
                      <a:avLst/>
                    </a:prstGeom>
                  </pic:spPr>
                </pic:pic>
              </a:graphicData>
            </a:graphic>
          </wp:inline>
        </w:drawing>
      </w:r>
    </w:p>
    <w:p w14:paraId="52C0974C">
      <w:pPr>
        <w:pStyle w:val="15"/>
        <w:jc w:val="center"/>
      </w:pPr>
      <w:r>
        <w:rPr>
          <w:rFonts w:ascii="微软雅黑" w:hAnsi="微软雅黑" w:eastAsia="微软雅黑"/>
          <w:b w:val="0"/>
          <w:color w:val="707E92"/>
          <w:sz w:val="18"/>
        </w:rPr>
        <w:t>图20：站点域名-推广域名，用于维护推广入口域名及落地页模板。</w:t>
      </w:r>
    </w:p>
    <w:p w14:paraId="2DDC9600">
      <w:pPr>
        <w:pStyle w:val="16"/>
      </w:pPr>
      <w:r>
        <w:rPr>
          <w:rFonts w:ascii="微软雅黑" w:hAnsi="微软雅黑" w:eastAsia="微软雅黑"/>
          <w:b/>
          <w:color w:val="2F5597"/>
          <w:sz w:val="20"/>
        </w:rPr>
        <w:t>选中状态</w:t>
      </w:r>
      <w:r>
        <w:rPr>
          <w:rFonts w:ascii="微软雅黑" w:hAnsi="微软雅黑" w:eastAsia="微软雅黑"/>
          <w:b w:val="0"/>
          <w:sz w:val="20"/>
        </w:rPr>
        <w:t>：顶部“推广域名”为蓝色文字并显示下划线时，代表当前列表展示推广域名数据。</w:t>
      </w:r>
    </w:p>
    <w:p w14:paraId="5CA9D28C">
      <w:pPr>
        <w:pStyle w:val="16"/>
      </w:pPr>
      <w:r>
        <w:rPr>
          <w:rFonts w:ascii="微软雅黑" w:hAnsi="微软雅黑" w:eastAsia="微软雅黑"/>
          <w:b/>
          <w:color w:val="2F5597"/>
          <w:sz w:val="20"/>
        </w:rPr>
        <w:t>差异字段</w:t>
      </w:r>
      <w:r>
        <w:rPr>
          <w:rFonts w:ascii="微软雅黑" w:hAnsi="微软雅黑" w:eastAsia="微软雅黑"/>
          <w:b w:val="0"/>
          <w:sz w:val="20"/>
        </w:rPr>
        <w:t>：推广域名列表比前台和后台域名多出“落地页模板”列，可查看当前模板编号，并通过“修改”调整绑定模板。</w:t>
      </w:r>
    </w:p>
    <w:p w14:paraId="3AEB8CBF">
      <w:pPr>
        <w:pStyle w:val="16"/>
      </w:pPr>
      <w:r>
        <w:rPr>
          <w:rFonts w:ascii="微软雅黑" w:hAnsi="微软雅黑" w:eastAsia="微软雅黑"/>
          <w:b/>
          <w:color w:val="2F5597"/>
          <w:sz w:val="20"/>
        </w:rPr>
        <w:t>使用场景</w:t>
      </w:r>
      <w:r>
        <w:rPr>
          <w:rFonts w:ascii="微软雅黑" w:hAnsi="微软雅黑" w:eastAsia="微软雅黑"/>
          <w:b w:val="0"/>
          <w:sz w:val="20"/>
        </w:rPr>
        <w:t>：推广域名通常用于投放渠道、活动入口或拉新页面，配置后应同步检查落地页模板、活动内容、渠道参数和前台跳转链路。</w:t>
      </w:r>
    </w:p>
    <w:p w14:paraId="472EADED">
      <w:pPr>
        <w:pStyle w:val="16"/>
      </w:pPr>
      <w:r>
        <w:rPr>
          <w:rFonts w:ascii="微软雅黑" w:hAnsi="微软雅黑" w:eastAsia="微软雅黑"/>
          <w:b/>
          <w:color w:val="2F5597"/>
          <w:sz w:val="20"/>
        </w:rPr>
        <w:t>上线复核</w:t>
      </w:r>
      <w:r>
        <w:rPr>
          <w:rFonts w:ascii="微软雅黑" w:hAnsi="微软雅黑" w:eastAsia="微软雅黑"/>
          <w:b w:val="0"/>
          <w:sz w:val="20"/>
        </w:rPr>
        <w:t>：启用推广域名前，应确认域名解析和主域名验证通过，落地页模板已配置正确，且推广链接不会跳转到停用站点或过期活动。</w:t>
      </w:r>
    </w:p>
    <w:p w14:paraId="62993BBE">
      <w:pPr>
        <w:pStyle w:val="6"/>
      </w:pPr>
      <w:r>
        <w:rPr>
          <w:rFonts w:ascii="微软雅黑" w:hAnsi="微软雅黑" w:eastAsia="微软雅黑"/>
          <w:b/>
          <w:color w:val="2F5597"/>
          <w:sz w:val="22"/>
        </w:rPr>
        <w:t>新增域名弹窗</w:t>
      </w:r>
    </w:p>
    <w:p w14:paraId="336135F2">
      <w:pPr>
        <w:jc w:val="center"/>
      </w:pPr>
      <w:r>
        <w:drawing>
          <wp:inline distT="0" distB="0" distL="114300" distR="114300">
            <wp:extent cx="4480560" cy="2792095"/>
            <wp:effectExtent l="0" t="0" r="1524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6"/>
                    <a:stretch>
                      <a:fillRect/>
                    </a:stretch>
                  </pic:blipFill>
                  <pic:spPr>
                    <a:xfrm>
                      <a:off x="0" y="0"/>
                      <a:ext cx="4480560" cy="2792336"/>
                    </a:xfrm>
                    <a:prstGeom prst="rect">
                      <a:avLst/>
                    </a:prstGeom>
                  </pic:spPr>
                </pic:pic>
              </a:graphicData>
            </a:graphic>
          </wp:inline>
        </w:drawing>
      </w:r>
    </w:p>
    <w:p w14:paraId="20A3B7B7">
      <w:pPr>
        <w:pStyle w:val="15"/>
        <w:jc w:val="center"/>
      </w:pPr>
      <w:r>
        <w:rPr>
          <w:rFonts w:ascii="微软雅黑" w:hAnsi="微软雅黑" w:eastAsia="微软雅黑"/>
          <w:b w:val="0"/>
          <w:color w:val="707E92"/>
          <w:sz w:val="18"/>
        </w:rPr>
        <w:t>图21：站点域名-新增域名弹窗，三类域名新增表单字段一致。</w:t>
      </w:r>
    </w:p>
    <w:p w14:paraId="7BABCFAD">
      <w:pPr>
        <w:pStyle w:val="16"/>
      </w:pPr>
      <w:r>
        <w:rPr>
          <w:rFonts w:ascii="微软雅黑" w:hAnsi="微软雅黑" w:eastAsia="微软雅黑"/>
          <w:b/>
          <w:color w:val="2F5597"/>
          <w:sz w:val="20"/>
        </w:rPr>
        <w:t>入口识别</w:t>
      </w:r>
      <w:r>
        <w:rPr>
          <w:rFonts w:ascii="微软雅黑" w:hAnsi="微软雅黑" w:eastAsia="微软雅黑"/>
          <w:b w:val="0"/>
          <w:sz w:val="20"/>
        </w:rPr>
        <w:t>：点击右上角“新增”打开弹窗，弹窗标题根据当前选中的页签自动识别为“新增前台域名”“新增后台域名”或“新增推广域名”。</w:t>
      </w:r>
    </w:p>
    <w:p w14:paraId="4D4B2AE3">
      <w:pPr>
        <w:pStyle w:val="16"/>
      </w:pPr>
      <w:r>
        <w:rPr>
          <w:rFonts w:ascii="微软雅黑" w:hAnsi="微软雅黑" w:eastAsia="微软雅黑"/>
          <w:b/>
          <w:color w:val="2F5597"/>
          <w:sz w:val="20"/>
        </w:rPr>
        <w:t>CDN节点</w:t>
      </w:r>
      <w:r>
        <w:rPr>
          <w:rFonts w:ascii="微软雅黑" w:hAnsi="微软雅黑" w:eastAsia="微软雅黑"/>
          <w:b w:val="0"/>
          <w:sz w:val="20"/>
        </w:rPr>
        <w:t>：当前示例默认选择 CF；如后续支持更多 CDN 节点，应按实际解析服务选择，避免域名添加到错误节点。</w:t>
      </w:r>
    </w:p>
    <w:p w14:paraId="1F6245CF">
      <w:pPr>
        <w:pStyle w:val="16"/>
      </w:pPr>
      <w:r>
        <w:rPr>
          <w:rFonts w:ascii="微软雅黑" w:hAnsi="微软雅黑" w:eastAsia="微软雅黑"/>
          <w:b/>
          <w:color w:val="2F5597"/>
          <w:sz w:val="20"/>
        </w:rPr>
        <w:t>主域名</w:t>
      </w:r>
      <w:r>
        <w:rPr>
          <w:rFonts w:ascii="微软雅黑" w:hAnsi="微软雅黑" w:eastAsia="微软雅黑"/>
          <w:b w:val="0"/>
          <w:sz w:val="20"/>
        </w:rPr>
        <w:t>：支持批量添加，最多 20 个，多个域名需换行填写；支持顶级域名及子域名，提交前应检查拼写、后缀和重复项。</w:t>
      </w:r>
    </w:p>
    <w:p w14:paraId="0C2BEC0E">
      <w:pPr>
        <w:pStyle w:val="16"/>
      </w:pPr>
      <w:r>
        <w:rPr>
          <w:rFonts w:ascii="微软雅黑" w:hAnsi="微软雅黑" w:eastAsia="微软雅黑"/>
          <w:b/>
          <w:color w:val="2F5597"/>
          <w:sz w:val="20"/>
        </w:rPr>
        <w:t>提交结果</w:t>
      </w:r>
      <w:r>
        <w:rPr>
          <w:rFonts w:ascii="微软雅黑" w:hAnsi="微软雅黑" w:eastAsia="微软雅黑"/>
          <w:b w:val="0"/>
          <w:sz w:val="20"/>
        </w:rPr>
        <w:t>：点击提交后按当前页签类型新增到对应域名列表；取消或右上角关闭不会保存输入内容。新增后继续完成解析验证、站点绑定和启用操作。</w:t>
      </w:r>
    </w:p>
    <w:p w14:paraId="1128E2E7">
      <w:pPr>
        <w:pStyle w:val="6"/>
      </w:pPr>
      <w:r>
        <w:rPr>
          <w:rFonts w:ascii="微软雅黑" w:hAnsi="微软雅黑" w:eastAsia="微软雅黑"/>
          <w:b/>
          <w:color w:val="2F5597"/>
          <w:sz w:val="22"/>
        </w:rPr>
        <w:t>常见问题</w:t>
      </w:r>
    </w:p>
    <w:p w14:paraId="08ABA1DA">
      <w:pPr>
        <w:pStyle w:val="16"/>
      </w:pPr>
      <w:r>
        <w:rPr>
          <w:rFonts w:ascii="微软雅黑" w:hAnsi="微软雅黑" w:eastAsia="微软雅黑"/>
          <w:b/>
          <w:color w:val="2F5597"/>
          <w:sz w:val="20"/>
        </w:rPr>
        <w:t>绑定站点无法修改怎么办</w:t>
      </w:r>
      <w:r>
        <w:rPr>
          <w:rFonts w:ascii="微软雅黑" w:hAnsi="微软雅黑" w:eastAsia="微软雅黑"/>
          <w:b w:val="0"/>
          <w:sz w:val="20"/>
        </w:rPr>
        <w:t>：先检查域名是否处于正常使用状态。启用中的域名通常需要先停用，再修改绑定站点，避免线上访问入口在运行中被直接切换。</w:t>
      </w:r>
    </w:p>
    <w:p w14:paraId="20C25D30">
      <w:pPr>
        <w:pStyle w:val="16"/>
      </w:pPr>
      <w:r>
        <w:rPr>
          <w:rFonts w:ascii="微软雅黑" w:hAnsi="微软雅黑" w:eastAsia="微软雅黑"/>
          <w:b/>
          <w:color w:val="2F5597"/>
          <w:sz w:val="20"/>
        </w:rPr>
        <w:t>主域名验证未通过怎么办</w:t>
      </w:r>
      <w:r>
        <w:rPr>
          <w:rFonts w:ascii="微软雅黑" w:hAnsi="微软雅黑" w:eastAsia="微软雅黑"/>
          <w:b w:val="0"/>
          <w:sz w:val="20"/>
        </w:rPr>
        <w:t>：核对 NS 地址是否已在域名服务商处配置，等待 DNS 生效后重新检查；仍未通过时确认域名是否填错、节点是否选错或解析记录被其他服务覆盖。</w:t>
      </w:r>
    </w:p>
    <w:p w14:paraId="15885971">
      <w:pPr>
        <w:pStyle w:val="16"/>
        <w:numPr>
          <w:ilvl w:val="0"/>
          <w:numId w:val="0"/>
        </w:numPr>
        <w:ind w:leftChars="0"/>
      </w:pPr>
    </w:p>
    <w:p w14:paraId="4E0C2387">
      <w:pPr>
        <w:pStyle w:val="5"/>
        <w:keepNext/>
        <w:spacing w:before="180" w:after="100" w:line="259" w:lineRule="auto"/>
      </w:pPr>
      <w:r>
        <w:rPr>
          <w:rFonts w:ascii="微软雅黑" w:hAnsi="微软雅黑" w:eastAsia="微软雅黑"/>
          <w:b/>
          <w:color w:val="2F5597"/>
          <w:sz w:val="25"/>
        </w:rPr>
        <w:t>客服配置</w:t>
      </w:r>
    </w:p>
    <w:p w14:paraId="40D442A8">
      <w:r>
        <w:rPr>
          <w:rFonts w:ascii="微软雅黑" w:hAnsi="微软雅黑" w:eastAsia="微软雅黑"/>
          <w:b w:val="0"/>
          <w:sz w:val="20"/>
        </w:rPr>
        <w:t>客服配置用于维护前台展示给会员的客服入口。商户可在“在线客服”中配置站内客服入口的头像、标题、说明和启用状态，也可在“其他客服”中维护 Telegram、WhatsApp、Facebook、Line 等第三方 IM 客服渠道。修改前应先确认当前维护的是哪一类客服，保存后检查前台入口、客服链接和在线时间是否与实际服务安排一致。</w:t>
      </w:r>
    </w:p>
    <w:p w14:paraId="6FDAB63F">
      <w:pPr>
        <w:pStyle w:val="6"/>
      </w:pPr>
      <w:r>
        <w:rPr>
          <w:rFonts w:ascii="微软雅黑" w:hAnsi="微软雅黑" w:eastAsia="微软雅黑"/>
          <w:b/>
          <w:color w:val="2F5597"/>
          <w:sz w:val="22"/>
        </w:rPr>
        <w:t>在线客服</w:t>
      </w:r>
    </w:p>
    <w:p w14:paraId="4F993BD3">
      <w:pPr>
        <w:jc w:val="center"/>
      </w:pPr>
      <w:r>
        <w:drawing>
          <wp:inline distT="0" distB="0" distL="114300" distR="114300">
            <wp:extent cx="5806440" cy="2889885"/>
            <wp:effectExtent l="0" t="0" r="381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7"/>
                    <a:stretch>
                      <a:fillRect/>
                    </a:stretch>
                  </pic:blipFill>
                  <pic:spPr>
                    <a:xfrm>
                      <a:off x="0" y="0"/>
                      <a:ext cx="5806440" cy="2890083"/>
                    </a:xfrm>
                    <a:prstGeom prst="rect">
                      <a:avLst/>
                    </a:prstGeom>
                  </pic:spPr>
                </pic:pic>
              </a:graphicData>
            </a:graphic>
          </wp:inline>
        </w:drawing>
      </w:r>
    </w:p>
    <w:p w14:paraId="550DFF9C">
      <w:pPr>
        <w:pStyle w:val="15"/>
        <w:jc w:val="center"/>
      </w:pPr>
      <w:r>
        <w:rPr>
          <w:rFonts w:ascii="微软雅黑" w:hAnsi="微软雅黑" w:eastAsia="微软雅黑"/>
          <w:b w:val="0"/>
          <w:color w:val="707E92"/>
          <w:sz w:val="18"/>
        </w:rPr>
        <w:t>图22：客服配置-在线客服页签，用于维护前台在线客服入口。</w:t>
      </w:r>
    </w:p>
    <w:p w14:paraId="54D41088">
      <w:pPr>
        <w:pStyle w:val="16"/>
      </w:pPr>
      <w:r>
        <w:rPr>
          <w:rFonts w:ascii="微软雅黑" w:hAnsi="微软雅黑" w:eastAsia="微软雅黑"/>
          <w:b/>
          <w:color w:val="2F5597"/>
          <w:sz w:val="20"/>
        </w:rPr>
        <w:t>在线客服开关</w:t>
      </w:r>
      <w:r>
        <w:rPr>
          <w:rFonts w:ascii="微软雅黑" w:hAnsi="微软雅黑" w:eastAsia="微软雅黑"/>
          <w:b w:val="0"/>
          <w:sz w:val="20"/>
        </w:rPr>
        <w:t>：控制前台在线客服入口是否展示。启用后前台按当前头像、标题和说明展示入口；停用后用户侧不再显示该在线客服入口，需确认是否已有其他客服渠道兜底。</w:t>
      </w:r>
    </w:p>
    <w:p w14:paraId="78938C01">
      <w:pPr>
        <w:pStyle w:val="16"/>
      </w:pPr>
      <w:r>
        <w:rPr>
          <w:rFonts w:ascii="微软雅黑" w:hAnsi="微软雅黑" w:eastAsia="微软雅黑"/>
          <w:b/>
          <w:color w:val="2F5597"/>
          <w:sz w:val="20"/>
        </w:rPr>
        <w:t>客服头像</w:t>
      </w:r>
      <w:r>
        <w:rPr>
          <w:rFonts w:ascii="微软雅黑" w:hAnsi="微软雅黑" w:eastAsia="微软雅黑"/>
          <w:b w:val="0"/>
          <w:sz w:val="20"/>
        </w:rPr>
        <w:t>：上传前台展示的在线客服头像，建议使用 64*64 或等比例图片，支持 PNG、JPG、GIF，大小控制在 100KB 以内。编辑状态下可删除并重新上传。</w:t>
      </w:r>
    </w:p>
    <w:p w14:paraId="654A3A8A">
      <w:pPr>
        <w:pStyle w:val="16"/>
      </w:pPr>
      <w:r>
        <w:rPr>
          <w:rFonts w:ascii="微软雅黑" w:hAnsi="微软雅黑" w:eastAsia="微软雅黑"/>
          <w:b/>
          <w:color w:val="2F5597"/>
          <w:sz w:val="20"/>
        </w:rPr>
        <w:t>前端标题</w:t>
      </w:r>
      <w:r>
        <w:rPr>
          <w:rFonts w:ascii="微软雅黑" w:hAnsi="微软雅黑" w:eastAsia="微软雅黑"/>
          <w:b w:val="0"/>
          <w:sz w:val="20"/>
        </w:rPr>
        <w:t>：配置用户侧看到的客服入口标题，示例为“测试”。标题应简短明确，通常用于说明客服入口名称或服务类型。</w:t>
      </w:r>
    </w:p>
    <w:p w14:paraId="1872230D">
      <w:pPr>
        <w:pStyle w:val="16"/>
      </w:pPr>
      <w:r>
        <w:rPr>
          <w:rFonts w:ascii="微软雅黑" w:hAnsi="微软雅黑" w:eastAsia="微软雅黑"/>
          <w:b/>
          <w:color w:val="2F5597"/>
          <w:sz w:val="20"/>
        </w:rPr>
        <w:t>前端说明</w:t>
      </w:r>
      <w:r>
        <w:rPr>
          <w:rFonts w:ascii="微软雅黑" w:hAnsi="微软雅黑" w:eastAsia="微软雅黑"/>
          <w:b w:val="0"/>
          <w:sz w:val="20"/>
        </w:rPr>
        <w:t>：配置用户侧客服入口的说明文案，示例为“测试说明”。可说明服务范围、在线时间或联系前需要准备的信息。</w:t>
      </w:r>
    </w:p>
    <w:p w14:paraId="2B7EC626">
      <w:pPr>
        <w:pStyle w:val="16"/>
      </w:pPr>
      <w:r>
        <w:rPr>
          <w:rFonts w:ascii="微软雅黑" w:hAnsi="微软雅黑" w:eastAsia="微软雅黑"/>
          <w:b/>
          <w:color w:val="2F5597"/>
          <w:sz w:val="20"/>
        </w:rPr>
        <w:t>编辑与保存</w:t>
      </w:r>
      <w:r>
        <w:rPr>
          <w:rFonts w:ascii="微软雅黑" w:hAnsi="微软雅黑" w:eastAsia="微软雅黑"/>
          <w:b w:val="0"/>
          <w:sz w:val="20"/>
        </w:rPr>
        <w:t>：页面默认展示为只读状态，点击“编辑”后可修改头像、标题、说明和开关；保存前复核图片规格、文案语言和开关状态，取消则放弃本次调整。</w:t>
      </w:r>
    </w:p>
    <w:p w14:paraId="03E1502B">
      <w:pPr>
        <w:pStyle w:val="6"/>
      </w:pPr>
      <w:r>
        <w:rPr>
          <w:rFonts w:ascii="微软雅黑" w:hAnsi="微软雅黑" w:eastAsia="微软雅黑"/>
          <w:b/>
          <w:color w:val="2F5597"/>
          <w:sz w:val="22"/>
        </w:rPr>
        <w:t>其他客服</w:t>
      </w:r>
    </w:p>
    <w:p w14:paraId="62D723DD">
      <w:pPr>
        <w:jc w:val="center"/>
      </w:pPr>
      <w:r>
        <w:drawing>
          <wp:inline distT="0" distB="0" distL="114300" distR="114300">
            <wp:extent cx="5897880" cy="2672715"/>
            <wp:effectExtent l="0" t="0" r="7620" b="133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8"/>
                    <a:stretch>
                      <a:fillRect/>
                    </a:stretch>
                  </pic:blipFill>
                  <pic:spPr>
                    <a:xfrm>
                      <a:off x="0" y="0"/>
                      <a:ext cx="5897880" cy="2673140"/>
                    </a:xfrm>
                    <a:prstGeom prst="rect">
                      <a:avLst/>
                    </a:prstGeom>
                  </pic:spPr>
                </pic:pic>
              </a:graphicData>
            </a:graphic>
          </wp:inline>
        </w:drawing>
      </w:r>
    </w:p>
    <w:p w14:paraId="1CB1302C">
      <w:pPr>
        <w:pStyle w:val="15"/>
        <w:jc w:val="center"/>
      </w:pPr>
      <w:r>
        <w:rPr>
          <w:rFonts w:ascii="微软雅黑" w:hAnsi="微软雅黑" w:eastAsia="微软雅黑"/>
          <w:b w:val="0"/>
          <w:color w:val="707E92"/>
          <w:sz w:val="18"/>
        </w:rPr>
        <w:t>图23：客服配置-其他客服页签，用于维护 Telegram、WhatsApp、Facebook、Line 等 IM 客服。</w:t>
      </w:r>
    </w:p>
    <w:p w14:paraId="540ECE13">
      <w:pPr>
        <w:pStyle w:val="16"/>
      </w:pPr>
      <w:r>
        <w:rPr>
          <w:rFonts w:ascii="微软雅黑" w:hAnsi="微软雅黑" w:eastAsia="微软雅黑"/>
          <w:b/>
          <w:color w:val="2F5597"/>
          <w:sz w:val="20"/>
        </w:rPr>
        <w:t>新增</w:t>
      </w:r>
      <w:r>
        <w:rPr>
          <w:rFonts w:ascii="微软雅黑" w:hAnsi="微软雅黑" w:eastAsia="微软雅黑"/>
          <w:b w:val="0"/>
          <w:sz w:val="20"/>
        </w:rPr>
        <w:t>：点击右上角“新增”打开其他客服配置弹窗，用于新增一个 IM 类型及其下属客服账号。新增前应确认同类客服是否已存在，避免前台重复展示。</w:t>
      </w:r>
    </w:p>
    <w:p w14:paraId="68F94083">
      <w:pPr>
        <w:pStyle w:val="16"/>
      </w:pPr>
      <w:r>
        <w:rPr>
          <w:rFonts w:ascii="微软雅黑" w:hAnsi="微软雅黑" w:eastAsia="微软雅黑"/>
          <w:b/>
          <w:color w:val="2F5597"/>
          <w:sz w:val="20"/>
        </w:rPr>
        <w:t>排序</w:t>
      </w:r>
      <w:r>
        <w:rPr>
          <w:rFonts w:ascii="微软雅黑" w:hAnsi="微软雅黑" w:eastAsia="微软雅黑"/>
          <w:b w:val="0"/>
          <w:sz w:val="20"/>
        </w:rPr>
        <w:t>：控制其他客服在前台或列表中的展示顺序，数字越小通常越靠前。调整排序后需检查重点渠道是否排在预期位置。</w:t>
      </w:r>
    </w:p>
    <w:p w14:paraId="392CBEEC">
      <w:pPr>
        <w:pStyle w:val="16"/>
      </w:pPr>
      <w:r>
        <w:rPr>
          <w:rFonts w:ascii="微软雅黑" w:hAnsi="微软雅黑" w:eastAsia="微软雅黑"/>
          <w:b/>
          <w:color w:val="2F5597"/>
          <w:sz w:val="20"/>
        </w:rPr>
        <w:t>IM</w:t>
      </w:r>
      <w:r>
        <w:rPr>
          <w:rFonts w:ascii="微软雅黑" w:hAnsi="微软雅黑" w:eastAsia="微软雅黑"/>
          <w:b w:val="0"/>
          <w:sz w:val="20"/>
        </w:rPr>
        <w:t>：显示客服渠道类型，当前原型包含 Telegram、WhatsApp、Facebook、Line。不同 IM 对应不同图标和链接填写习惯。</w:t>
      </w:r>
    </w:p>
    <w:p w14:paraId="270972A7">
      <w:pPr>
        <w:pStyle w:val="16"/>
      </w:pPr>
      <w:r>
        <w:rPr>
          <w:rFonts w:ascii="微软雅黑" w:hAnsi="微软雅黑" w:eastAsia="微软雅黑"/>
          <w:b/>
          <w:color w:val="2F5597"/>
          <w:sz w:val="20"/>
        </w:rPr>
        <w:t>配置客服</w:t>
      </w:r>
      <w:r>
        <w:rPr>
          <w:rFonts w:ascii="微软雅黑" w:hAnsi="微软雅黑" w:eastAsia="微软雅黑"/>
          <w:b w:val="0"/>
          <w:sz w:val="20"/>
        </w:rPr>
        <w:t>：展示该 IM 下的客服昵称、链接及在线时间。单个 IM 可配置多名客服；若暂无客服账号，列表以“-”展示。</w:t>
      </w:r>
    </w:p>
    <w:p w14:paraId="54001B3E">
      <w:pPr>
        <w:pStyle w:val="16"/>
      </w:pPr>
      <w:r>
        <w:rPr>
          <w:rFonts w:ascii="微软雅黑" w:hAnsi="微软雅黑" w:eastAsia="微软雅黑"/>
          <w:b/>
          <w:color w:val="2F5597"/>
          <w:sz w:val="20"/>
        </w:rPr>
        <w:t>图标</w:t>
      </w:r>
      <w:r>
        <w:rPr>
          <w:rFonts w:ascii="微软雅黑" w:hAnsi="微软雅黑" w:eastAsia="微软雅黑"/>
          <w:b w:val="0"/>
          <w:sz w:val="20"/>
        </w:rPr>
        <w:t>：展示该 IM 在前台使用的入口图标，需与 IM 类型保持一致，避免用户误点或识别错误。</w:t>
      </w:r>
    </w:p>
    <w:p w14:paraId="56CC65C2">
      <w:pPr>
        <w:pStyle w:val="16"/>
      </w:pPr>
      <w:r>
        <w:rPr>
          <w:rFonts w:ascii="微软雅黑" w:hAnsi="微软雅黑" w:eastAsia="微软雅黑"/>
          <w:b/>
          <w:color w:val="2F5597"/>
          <w:sz w:val="20"/>
        </w:rPr>
        <w:t>开关</w:t>
      </w:r>
      <w:r>
        <w:rPr>
          <w:rFonts w:ascii="微软雅黑" w:hAnsi="微软雅黑" w:eastAsia="微软雅黑"/>
          <w:b w:val="0"/>
          <w:sz w:val="20"/>
        </w:rPr>
        <w:t>：控制单个其他客服渠道是否启用。关闭后该渠道不应在用户侧展示；批量调整前需确认是否影响当前在线支持能力。</w:t>
      </w:r>
    </w:p>
    <w:p w14:paraId="09ACC0E8">
      <w:pPr>
        <w:pStyle w:val="16"/>
      </w:pPr>
      <w:r>
        <w:rPr>
          <w:rFonts w:ascii="微软雅黑" w:hAnsi="微软雅黑" w:eastAsia="微软雅黑"/>
          <w:b/>
          <w:color w:val="2F5597"/>
          <w:sz w:val="20"/>
        </w:rPr>
        <w:t>操作</w:t>
      </w:r>
      <w:r>
        <w:rPr>
          <w:rFonts w:ascii="微软雅黑" w:hAnsi="微软雅黑" w:eastAsia="微软雅黑"/>
          <w:b w:val="0"/>
          <w:sz w:val="20"/>
        </w:rPr>
        <w:t>：“编辑”进入该行配置弹窗，可调整排序、IM、图标、客服明细和开关；“删除”用于移除该客服渠道，删除前应确认无前台正在使用的链接。</w:t>
      </w:r>
    </w:p>
    <w:p w14:paraId="2C71F162">
      <w:pPr>
        <w:pStyle w:val="6"/>
      </w:pPr>
      <w:r>
        <w:rPr>
          <w:rFonts w:ascii="微软雅黑" w:hAnsi="微软雅黑" w:eastAsia="微软雅黑"/>
          <w:b/>
          <w:color w:val="2F5597"/>
          <w:sz w:val="22"/>
        </w:rPr>
        <w:t>新增或编辑其他客服</w:t>
      </w:r>
    </w:p>
    <w:p w14:paraId="78DB4F5A">
      <w:pPr>
        <w:jc w:val="center"/>
      </w:pPr>
      <w:r>
        <w:drawing>
          <wp:inline distT="0" distB="0" distL="114300" distR="114300">
            <wp:extent cx="5120640" cy="6169660"/>
            <wp:effectExtent l="0" t="0" r="381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9"/>
                    <a:stretch>
                      <a:fillRect/>
                    </a:stretch>
                  </pic:blipFill>
                  <pic:spPr>
                    <a:xfrm>
                      <a:off x="0" y="0"/>
                      <a:ext cx="5120640" cy="6169891"/>
                    </a:xfrm>
                    <a:prstGeom prst="rect">
                      <a:avLst/>
                    </a:prstGeom>
                  </pic:spPr>
                </pic:pic>
              </a:graphicData>
            </a:graphic>
          </wp:inline>
        </w:drawing>
      </w:r>
    </w:p>
    <w:p w14:paraId="4A9EC70F">
      <w:pPr>
        <w:pStyle w:val="15"/>
        <w:jc w:val="center"/>
      </w:pPr>
      <w:r>
        <w:rPr>
          <w:rFonts w:ascii="微软雅黑" w:hAnsi="微软雅黑" w:eastAsia="微软雅黑"/>
          <w:b w:val="0"/>
          <w:color w:val="707E92"/>
          <w:sz w:val="18"/>
        </w:rPr>
        <w:t>图24：编辑其他客服弹窗，用于维护 IM 渠道、图标、客服账号和在线时间。</w:t>
      </w:r>
    </w:p>
    <w:p w14:paraId="45DB0911">
      <w:pPr>
        <w:pStyle w:val="16"/>
      </w:pPr>
      <w:r>
        <w:rPr>
          <w:rFonts w:ascii="微软雅黑" w:hAnsi="微软雅黑" w:eastAsia="微软雅黑"/>
          <w:b/>
          <w:color w:val="2F5597"/>
          <w:sz w:val="20"/>
        </w:rPr>
        <w:t>弹窗标题</w:t>
      </w:r>
      <w:r>
        <w:rPr>
          <w:rFonts w:ascii="微软雅黑" w:hAnsi="微软雅黑" w:eastAsia="微软雅黑"/>
          <w:b w:val="0"/>
          <w:sz w:val="20"/>
        </w:rPr>
        <w:t>：从列表点击“编辑”时标题显示“编辑其他客服”；点击“新增”时显示“新增其他客服”。可通过标题确认当前是在新增还是修改已有配置。</w:t>
      </w:r>
    </w:p>
    <w:p w14:paraId="0B9B685B">
      <w:pPr>
        <w:pStyle w:val="16"/>
      </w:pPr>
      <w:r>
        <w:rPr>
          <w:rFonts w:ascii="微软雅黑" w:hAnsi="微软雅黑" w:eastAsia="微软雅黑"/>
          <w:b/>
          <w:color w:val="2F5597"/>
          <w:sz w:val="20"/>
        </w:rPr>
        <w:t>排序与 IM</w:t>
      </w:r>
      <w:r>
        <w:rPr>
          <w:rFonts w:ascii="微软雅黑" w:hAnsi="微软雅黑" w:eastAsia="微软雅黑"/>
          <w:b w:val="0"/>
          <w:sz w:val="20"/>
        </w:rPr>
        <w:t>：排序为数字输入；IM 为必填下拉项，选择后应同步检查图标和客服明细中的图标是否一致。</w:t>
      </w:r>
    </w:p>
    <w:p w14:paraId="1808968F">
      <w:pPr>
        <w:pStyle w:val="16"/>
      </w:pPr>
      <w:r>
        <w:rPr>
          <w:rFonts w:ascii="微软雅黑" w:hAnsi="微软雅黑" w:eastAsia="微软雅黑"/>
          <w:b/>
          <w:color w:val="2F5597"/>
          <w:sz w:val="20"/>
        </w:rPr>
        <w:t>图标上传</w:t>
      </w:r>
      <w:r>
        <w:rPr>
          <w:rFonts w:ascii="微软雅黑" w:hAnsi="微软雅黑" w:eastAsia="微软雅黑"/>
          <w:b w:val="0"/>
          <w:sz w:val="20"/>
        </w:rPr>
        <w:t>：图标为必填项，使用 64*64 或等比例 PNG、JPG、GIF 图片，大小不超过 100KB。删除旧图标后需重新上传，避免保存后前台缺失入口图。</w:t>
      </w:r>
    </w:p>
    <w:p w14:paraId="10473E12">
      <w:pPr>
        <w:pStyle w:val="16"/>
      </w:pPr>
      <w:r>
        <w:rPr>
          <w:rFonts w:ascii="微软雅黑" w:hAnsi="微软雅黑" w:eastAsia="微软雅黑"/>
          <w:b/>
          <w:color w:val="2F5597"/>
          <w:sz w:val="20"/>
        </w:rPr>
        <w:t>配置客服明细</w:t>
      </w:r>
      <w:r>
        <w:rPr>
          <w:rFonts w:ascii="微软雅黑" w:hAnsi="微软雅黑" w:eastAsia="微软雅黑"/>
          <w:b w:val="0"/>
          <w:sz w:val="20"/>
        </w:rPr>
        <w:t>：每行维护一名客服，包括昵称、链接、在线时间、图标和删除操作。点击“添加”可增加一行；在线时间建议按 00:00-21:00 这类格式填写，便于用户判断可联系时段。</w:t>
      </w:r>
    </w:p>
    <w:p w14:paraId="39701CDC">
      <w:pPr>
        <w:pStyle w:val="16"/>
      </w:pPr>
      <w:r>
        <w:rPr>
          <w:rFonts w:ascii="微软雅黑" w:hAnsi="微软雅黑" w:eastAsia="微软雅黑"/>
          <w:b/>
          <w:color w:val="2F5597"/>
          <w:sz w:val="20"/>
        </w:rPr>
        <w:t>开关</w:t>
      </w:r>
      <w:r>
        <w:rPr>
          <w:rFonts w:ascii="微软雅黑" w:hAnsi="微软雅黑" w:eastAsia="微软雅黑"/>
          <w:b w:val="0"/>
          <w:sz w:val="20"/>
        </w:rPr>
        <w:t>：控制当前 IM 渠道整体是否启用。即使客服明细已填写，开关关闭时前台也不应展示该渠道。</w:t>
      </w:r>
    </w:p>
    <w:p w14:paraId="2499E559">
      <w:pPr>
        <w:pStyle w:val="16"/>
      </w:pPr>
      <w:r>
        <w:rPr>
          <w:rFonts w:ascii="微软雅黑" w:hAnsi="微软雅黑" w:eastAsia="微软雅黑"/>
          <w:b/>
          <w:color w:val="2F5597"/>
          <w:sz w:val="20"/>
        </w:rPr>
        <w:t>取消与确定</w:t>
      </w:r>
      <w:r>
        <w:rPr>
          <w:rFonts w:ascii="微软雅黑" w:hAnsi="微软雅黑" w:eastAsia="微软雅黑"/>
          <w:b w:val="0"/>
          <w:sz w:val="20"/>
        </w:rPr>
        <w:t>：点击“取消”或右上角关闭不保存本次修改；点击“确定”保存弹窗内配置并回到其他客服列表，保存后应检查列表展示、开关状态和链接是否符合预期。</w:t>
      </w:r>
    </w:p>
    <w:p w14:paraId="423533C1">
      <w:pPr>
        <w:pStyle w:val="5"/>
        <w:keepNext/>
        <w:spacing w:before="180" w:after="100" w:line="259" w:lineRule="auto"/>
      </w:pPr>
      <w:r>
        <w:rPr>
          <w:rFonts w:ascii="微软雅黑" w:hAnsi="微软雅黑" w:eastAsia="微软雅黑"/>
          <w:b/>
          <w:color w:val="2F5597"/>
          <w:sz w:val="25"/>
        </w:rPr>
        <w:t>分享配置</w:t>
      </w:r>
    </w:p>
    <w:p>
      <w:pPr>
        <w:pStyle w:val="16"/>
        <w:spacing w:after="60" w:line="276" w:lineRule="auto"/>
      </w:pPr>
      <w:r>
        <w:rPr>
          <w:rFonts w:ascii="微软雅黑" w:hAnsi="微软雅黑" w:eastAsia="微软雅黑"/>
          <w:b/>
          <w:color w:val="2F5597"/>
          <w:sz w:val="20"/>
        </w:rPr>
        <w:t>分享配置</w:t>
      </w:r>
      <w:r>
        <w:rPr>
          <w:rFonts w:ascii="微软雅黑" w:hAnsi="微软雅黑" w:eastAsia="微软雅黑"/>
          <w:b w:val="0"/>
          <w:sz w:val="20"/>
        </w:rPr>
        <w:t>：用于维护分享标题、描述、图片和渠道参数。</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：编辑分享文案、配置分享图片，并设置渠道或落地页参数。</w:t>
      </w:r>
    </w:p>
    <w:p>
      <w:pPr>
        <w:pStyle w:val="16"/>
        <w:spacing w:after="60" w:line="276" w:lineRule="auto"/>
      </w:pPr>
      <w:r>
        <w:rPr>
          <w:rFonts w:ascii="微软雅黑" w:hAnsi="微软雅黑" w:eastAsia="微软雅黑"/>
          <w:b/>
          <w:color w:val="2F5597"/>
          <w:sz w:val="20"/>
        </w:rPr>
        <w:t>发布前检查</w:t>
      </w:r>
      <w:r>
        <w:rPr>
          <w:rFonts w:ascii="微软雅黑" w:hAnsi="微软雅黑" w:eastAsia="微软雅黑"/>
          <w:b w:val="0"/>
          <w:sz w:val="20"/>
        </w:rPr>
        <w:t>：发布前确认分享配置与活动、品牌和投放页面保持一致。</w:t>
      </w:r>
    </w:p>
    <w:p w14:paraId="7506ED41">
      <w:pPr>
        <w:pStyle w:val="5"/>
        <w:keepNext/>
        <w:spacing w:before="180" w:after="100" w:line="259" w:lineRule="auto"/>
      </w:pPr>
      <w:r>
        <w:rPr>
          <w:rFonts w:ascii="微软雅黑" w:hAnsi="微软雅黑" w:eastAsia="微软雅黑"/>
          <w:b/>
          <w:color w:val="2F5597"/>
          <w:sz w:val="25"/>
        </w:rPr>
        <w:t>第三方登录配置</w:t>
      </w:r>
    </w:p>
    <w:p w14:paraId="609B6580">
      <w:pPr>
        <w:pStyle w:val="16"/>
      </w:pPr>
      <w:r>
        <w:rPr>
          <w:rFonts w:ascii="微软雅黑" w:hAnsi="微软雅黑" w:eastAsia="微软雅黑"/>
          <w:b/>
          <w:color w:val="2F5597"/>
          <w:sz w:val="20"/>
        </w:rPr>
        <w:t>页面介绍：</w:t>
      </w:r>
      <w:r>
        <w:rPr>
          <w:rFonts w:ascii="微软雅黑" w:hAnsi="微软雅黑" w:eastAsia="微软雅黑"/>
          <w:b w:val="0"/>
          <w:sz w:val="20"/>
        </w:rPr>
        <w:t>第三方登录配置用于维护站点登录相关的外部服务参数，包括自动注册开关，以及邮箱、Facebook、Whatsapp、Telegram、短信和 Google 等登录或验证服务。页面以配置卡片展示每个服务的启用状态、配置状态和关键参数，运营或技术人员可在上线前逐项核对。</w:t>
      </w:r>
    </w:p>
    <w:p w14:paraId="312C09CA">
      <w:pPr>
        <w:jc w:val="center"/>
      </w:pPr>
      <w:r>
        <w:drawing>
          <wp:inline distT="0" distB="0" distL="114300" distR="114300">
            <wp:extent cx="5806440" cy="2287270"/>
            <wp:effectExtent l="0" t="0" r="3810" b="177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0"/>
                    <a:stretch>
                      <a:fillRect/>
                    </a:stretch>
                  </pic:blipFill>
                  <pic:spPr>
                    <a:xfrm>
                      <a:off x="0" y="0"/>
                      <a:ext cx="5806440" cy="2287386"/>
                    </a:xfrm>
                    <a:prstGeom prst="rect">
                      <a:avLst/>
                    </a:prstGeom>
                  </pic:spPr>
                </pic:pic>
              </a:graphicData>
            </a:graphic>
          </wp:inline>
        </w:drawing>
      </w:r>
    </w:p>
    <w:p w14:paraId="7CCA424F">
      <w:pPr>
        <w:pStyle w:val="15"/>
        <w:jc w:val="center"/>
      </w:pPr>
      <w:r>
        <w:rPr>
          <w:rFonts w:ascii="微软雅黑" w:hAnsi="微软雅黑" w:eastAsia="微软雅黑"/>
          <w:b w:val="0"/>
          <w:color w:val="707E92"/>
          <w:sz w:val="18"/>
        </w:rPr>
        <w:t>图：第三方登录配置页面概览。</w:t>
      </w:r>
    </w:p>
    <w:p w14:paraId="5C7F8578">
      <w:pPr>
        <w:pStyle w:val="16"/>
      </w:pPr>
      <w:r>
        <w:rPr>
          <w:rFonts w:ascii="微软雅黑" w:hAnsi="微软雅黑" w:eastAsia="微软雅黑"/>
          <w:b/>
          <w:color w:val="2F5597"/>
          <w:sz w:val="20"/>
        </w:rPr>
        <w:t>自动注册：</w:t>
      </w:r>
      <w:r>
        <w:rPr>
          <w:rFonts w:ascii="微软雅黑" w:hAnsi="微软雅黑" w:eastAsia="微软雅黑"/>
          <w:b w:val="0"/>
          <w:sz w:val="20"/>
        </w:rPr>
        <w:t>控制用户</w:t>
      </w:r>
      <w:r>
        <w:rPr>
          <w:rFonts w:hint="eastAsia"/>
          <w:b w:val="0"/>
          <w:sz w:val="20"/>
          <w:lang w:val="en-US" w:eastAsia="zh-CN"/>
        </w:rPr>
        <w:t>第一次打开网站时</w:t>
      </w:r>
      <w:r>
        <w:rPr>
          <w:rFonts w:ascii="微软雅黑" w:hAnsi="微软雅黑" w:eastAsia="微软雅黑"/>
          <w:b w:val="0"/>
          <w:sz w:val="20"/>
        </w:rPr>
        <w:t>，是否自动创建账户</w:t>
      </w:r>
      <w:r>
        <w:rPr>
          <w:rFonts w:hint="eastAsia"/>
          <w:b w:val="0"/>
          <w:sz w:val="20"/>
          <w:lang w:eastAsia="zh-CN"/>
        </w:rPr>
        <w:t>。</w:t>
      </w:r>
    </w:p>
    <w:p w14:paraId="54FE1774">
      <w:pPr>
        <w:pStyle w:val="16"/>
      </w:pPr>
      <w:r>
        <w:rPr>
          <w:rFonts w:ascii="微软雅黑" w:hAnsi="微软雅黑" w:eastAsia="微软雅黑"/>
          <w:b/>
          <w:color w:val="2F5597"/>
          <w:sz w:val="20"/>
        </w:rPr>
        <w:t>配置卡片状态：</w:t>
      </w:r>
      <w:r>
        <w:rPr>
          <w:rFonts w:ascii="微软雅黑" w:hAnsi="微软雅黑" w:eastAsia="微软雅黑"/>
          <w:b w:val="0"/>
          <w:sz w:val="20"/>
        </w:rPr>
        <w:t>每张卡片右上角提供启用/关闭开关和“编辑”入口，标题下方显示“已配置”或“未配置”。已配置代表至少存在有效参数；启用状态代表当前服务是否允许在前台登录或验证流程中使用。上线前不要只看“已配置”，还要核对开关是否处于预期状态。</w:t>
      </w:r>
    </w:p>
    <w:p w14:paraId="6BDB5EC7">
      <w:pPr>
        <w:pStyle w:val="16"/>
      </w:pPr>
      <w:r>
        <w:rPr>
          <w:rFonts w:ascii="微软雅黑" w:hAnsi="微软雅黑" w:eastAsia="微软雅黑"/>
          <w:b/>
          <w:color w:val="2F5597"/>
          <w:sz w:val="20"/>
        </w:rPr>
        <w:t>邮箱配置：</w:t>
      </w:r>
      <w:r>
        <w:rPr>
          <w:rFonts w:ascii="微软雅黑" w:hAnsi="微软雅黑" w:eastAsia="微软雅黑"/>
          <w:b w:val="0"/>
          <w:sz w:val="20"/>
        </w:rPr>
        <w:t>用于维护邮箱登录或邮件验证能力，字段包括 SMTP服务器、SMTP端口、SMTP账号、SMTP密码和发件人名称。保存前需确认服务器地址、端口、账号权限、密码或授权码、发件人名称与邮件服务商要求一致。</w:t>
      </w:r>
    </w:p>
    <w:p w14:paraId="50EA1998">
      <w:pPr>
        <w:pStyle w:val="16"/>
      </w:pPr>
      <w:r>
        <w:rPr>
          <w:rFonts w:ascii="微软雅黑" w:hAnsi="微软雅黑" w:eastAsia="微软雅黑"/>
          <w:b/>
          <w:color w:val="2F5597"/>
          <w:sz w:val="20"/>
        </w:rPr>
        <w:t>Facebook配置：</w:t>
      </w:r>
      <w:r>
        <w:rPr>
          <w:rFonts w:ascii="微软雅黑" w:hAnsi="微软雅黑" w:eastAsia="微软雅黑"/>
          <w:b w:val="0"/>
          <w:sz w:val="20"/>
        </w:rPr>
        <w:t>用于维护 Facebook 第三方登录参数，字段包括 AppId 和密钥。修改后应同步确认前台登录页展示、回调域名、应用状态和密钥是否匹配，避免用户点击 Facebook 登录后无法完成授权。</w:t>
      </w:r>
    </w:p>
    <w:p w14:paraId="3465B45B">
      <w:pPr>
        <w:pStyle w:val="16"/>
      </w:pPr>
      <w:r>
        <w:rPr>
          <w:rFonts w:ascii="微软雅黑" w:hAnsi="微软雅黑" w:eastAsia="微软雅黑"/>
          <w:b/>
          <w:color w:val="2F5597"/>
          <w:sz w:val="20"/>
        </w:rPr>
        <w:t>Whatsapp配置：</w:t>
      </w:r>
      <w:r>
        <w:rPr>
          <w:rFonts w:ascii="微软雅黑" w:hAnsi="微软雅黑" w:eastAsia="微软雅黑"/>
          <w:b w:val="0"/>
          <w:sz w:val="20"/>
        </w:rPr>
        <w:t>用于维护 Whatsapp 相关登录或消息验证参数，字段包括 ApiKey、PhoneId 和 BusinessId。该类参数通常与第三方 Business 后台绑定，保存后需用测试账号验证发送链路和号码归属是否正常。</w:t>
      </w:r>
    </w:p>
    <w:p w14:paraId="1B95D0D7">
      <w:pPr>
        <w:pStyle w:val="16"/>
      </w:pPr>
      <w:r>
        <w:rPr>
          <w:rFonts w:ascii="微软雅黑" w:hAnsi="微软雅黑" w:eastAsia="微软雅黑"/>
          <w:b/>
          <w:color w:val="2F5597"/>
          <w:sz w:val="20"/>
        </w:rPr>
        <w:t>Telegram配置：</w:t>
      </w:r>
      <w:r>
        <w:rPr>
          <w:rFonts w:ascii="微软雅黑" w:hAnsi="微软雅黑" w:eastAsia="微软雅黑"/>
          <w:b w:val="0"/>
          <w:sz w:val="20"/>
        </w:rPr>
        <w:t>用于维护 Telegram 登录或机器人验证参数，字段包括 BotToken 和 Bot名称。BotToken 属于敏感信息，页面展示时会做脱敏处理；更新后需确认机器人名称、Token、前台入口和回调配置一致。</w:t>
      </w:r>
    </w:p>
    <w:p w14:paraId="2E40D432">
      <w:pPr>
        <w:pStyle w:val="16"/>
      </w:pPr>
      <w:r>
        <w:rPr>
          <w:rFonts w:ascii="微软雅黑" w:hAnsi="微软雅黑" w:eastAsia="微软雅黑"/>
          <w:b/>
          <w:color w:val="2F5597"/>
          <w:sz w:val="20"/>
        </w:rPr>
        <w:t>短信配置：</w:t>
      </w:r>
      <w:r>
        <w:rPr>
          <w:rFonts w:ascii="微软雅黑" w:hAnsi="微软雅黑" w:eastAsia="微软雅黑"/>
          <w:b w:val="0"/>
          <w:sz w:val="20"/>
        </w:rPr>
        <w:t>用于维护短信服务参数，字段包括短信提供商（twilio/mock）、AccountSID、AuthToken 和发送号码。生产站点应使用正式服务商参数；mock 仅适合联调或演示环境，切换前需确认不会影响真实用户验证码接收。</w:t>
      </w:r>
    </w:p>
    <w:p w14:paraId="5ECFC68E">
      <w:pPr>
        <w:pStyle w:val="16"/>
      </w:pPr>
      <w:r>
        <w:rPr>
          <w:rFonts w:ascii="微软雅黑" w:hAnsi="微软雅黑" w:eastAsia="微软雅黑"/>
          <w:b/>
          <w:color w:val="2F5597"/>
          <w:sz w:val="20"/>
        </w:rPr>
        <w:t>Google配置：</w:t>
      </w:r>
      <w:r>
        <w:rPr>
          <w:rFonts w:ascii="微软雅黑" w:hAnsi="微软雅黑" w:eastAsia="微软雅黑"/>
          <w:b w:val="0"/>
          <w:sz w:val="20"/>
        </w:rPr>
        <w:t>用于维护 Google 第三方登录参数，字段包括 ClientId 和密钥。保存后需检查前台域名、OAuth 应用配置、回调地址和启用状态，确保用户能够正常跳转授权并返回站点。</w:t>
      </w:r>
    </w:p>
    <w:p w14:paraId="44552022">
      <w:pPr>
        <w:pStyle w:val="16"/>
      </w:pPr>
      <w:r>
        <w:rPr>
          <w:rFonts w:ascii="微软雅黑" w:hAnsi="微软雅黑" w:eastAsia="微软雅黑"/>
          <w:b/>
          <w:color w:val="2F5597"/>
          <w:sz w:val="20"/>
        </w:rPr>
        <w:t>编辑与保存：</w:t>
      </w:r>
      <w:r>
        <w:rPr>
          <w:rFonts w:ascii="微软雅黑" w:hAnsi="微软雅黑" w:eastAsia="微软雅黑"/>
          <w:b w:val="0"/>
          <w:sz w:val="20"/>
        </w:rPr>
        <w:t>点击某张卡片的“编辑”后，该卡片进入编辑态，可修改输入框和开关；点击“取消”放弃本次调整并恢复原展示值；点击“保存”将当前输入同步到展示态。涉及密钥、Token、AuthToken 等敏感字段时，保存前应由技术或运维人员复核来源，避免粘贴测试环境参数。</w:t>
      </w:r>
    </w:p>
    <w:p w14:paraId="097EF9B3">
      <w:pPr>
        <w:pStyle w:val="16"/>
      </w:pPr>
      <w:r>
        <w:rPr>
          <w:rFonts w:ascii="微软雅黑" w:hAnsi="微软雅黑" w:eastAsia="微软雅黑"/>
          <w:b/>
          <w:color w:val="2F5597"/>
          <w:sz w:val="20"/>
        </w:rPr>
        <w:t>注意事项：</w:t>
      </w:r>
      <w:r>
        <w:rPr>
          <w:rFonts w:ascii="微软雅黑" w:hAnsi="微软雅黑" w:eastAsia="微软雅黑"/>
          <w:b w:val="0"/>
          <w:sz w:val="20"/>
        </w:rPr>
        <w:t>第三方登录配置会直接影响前台用户登录、注册和验证链路。修改前应确认是否处于低峰期或有回滚方案；修改后至少验证前台入口是否展示、授权跳转是否成功、自动注册是否符合预期、未配置或关闭的服务是否不会被前台继续调用。</w:t>
      </w:r>
    </w:p>
    <w:p w14:paraId="2F953B52">
      <w:pPr>
        <w:pStyle w:val="16"/>
      </w:pPr>
      <w:r>
        <w:rPr>
          <w:rFonts w:ascii="微软雅黑" w:hAnsi="微软雅黑" w:eastAsia="微软雅黑"/>
          <w:b/>
          <w:color w:val="2F5597"/>
          <w:sz w:val="20"/>
        </w:rPr>
        <w:t>常见问题：</w:t>
      </w:r>
      <w:r>
        <w:rPr>
          <w:rFonts w:ascii="微软雅黑" w:hAnsi="微软雅黑" w:eastAsia="微软雅黑"/>
          <w:b w:val="0"/>
          <w:sz w:val="20"/>
        </w:rPr>
        <w:t>若前台看不到某个第三方登录入口，优先检查该服务是否已配置、开关是否开启、登录模板是否展示对应入口；若点击后授权失败，优先检查 AppId、ClientId、Token、密钥、回调域名、第三方应用状态和当前站点域名是否一致。</w:t>
      </w:r>
    </w:p>
    <w:p w14:paraId="2D4C8E05">
      <w:pPr>
        <w:pStyle w:val="5"/>
        <w:keepNext/>
        <w:spacing w:before="180" w:after="100" w:line="259" w:lineRule="auto"/>
      </w:pPr>
      <w:r>
        <w:rPr>
          <w:rFonts w:ascii="微软雅黑" w:hAnsi="微软雅黑" w:eastAsia="微软雅黑"/>
          <w:b/>
          <w:color w:val="2F5597"/>
          <w:sz w:val="25"/>
        </w:rPr>
        <w:t>支付通道配置</w:t>
      </w:r>
    </w:p>
    <w:p>
      <w:pPr>
        <w:pStyle w:val="16"/>
      </w:pPr>
      <w:r>
        <w:rPr>
          <w:rFonts w:ascii="微软雅黑" w:hAnsi="微软雅黑" w:eastAsia="微软雅黑"/>
          <w:b/>
          <w:color w:val="2F5597"/>
          <w:sz w:val="20"/>
        </w:rPr>
        <w:t>页面介绍：</w:t>
      </w:r>
      <w:r>
        <w:rPr>
          <w:rFonts w:ascii="微软雅黑" w:hAnsi="微软雅黑" w:eastAsia="微软雅黑"/>
          <w:b w:val="0"/>
          <w:sz w:val="20"/>
        </w:rPr>
        <w:t>支付通道配置用于维护后台可用的在线支付平台，支持按支付通道筛选查询，查看通道类型、通道名称、代收渠道、代付渠道、货币类型、创建时间、状态、商户号、使用站点、备注等信息，并通过操作列进入修改或删除。</w:t>
      </w:r>
    </w:p>
    <w:p>
      <w:pPr>
        <w:jc w:val="center"/>
      </w:pPr>
      <w:r>
        <w:drawing>
          <wp:inline xmlns:a="http://schemas.openxmlformats.org/drawingml/2006/main" xmlns:pic="http://schemas.openxmlformats.org/drawingml/2006/picture">
            <wp:extent cx="5806440" cy="1688000"/>
            <wp:docPr id="48" name="Picture 48"/>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806440" cy="1688000"/>
                    </a:xfrm>
                    <a:prstGeom prst="rect"/>
                  </pic:spPr>
                </pic:pic>
              </a:graphicData>
            </a:graphic>
          </wp:inline>
        </w:drawing>
      </w:r>
    </w:p>
    <w:p>
      <w:pPr>
        <w:jc w:val="center"/>
      </w:pPr>
      <w:r>
        <w:rPr>
          <w:rFonts w:ascii="微软雅黑" w:hAnsi="微软雅黑" w:eastAsia="微软雅黑"/>
          <w:b w:val="0"/>
          <w:color w:val="707E92"/>
          <w:sz w:val="18"/>
        </w:rPr>
        <w:t>图：支付通道配置列表。</w:t>
      </w:r>
    </w:p>
    <w:p>
      <w:pPr>
        <w:pStyle w:val="16"/>
      </w:pPr>
      <w:r>
        <w:rPr>
          <w:rFonts w:ascii="微软雅黑" w:hAnsi="微软雅黑" w:eastAsia="微软雅黑"/>
          <w:b/>
          <w:color w:val="2F5597"/>
          <w:sz w:val="20"/>
        </w:rPr>
        <w:t>新增支付平台：</w:t>
      </w:r>
      <w:r>
        <w:rPr>
          <w:rFonts w:ascii="微软雅黑" w:hAnsi="微软雅黑" w:eastAsia="微软雅黑"/>
          <w:b w:val="0"/>
          <w:sz w:val="20"/>
        </w:rPr>
        <w:t>点击“新增支付平台”后，在弹窗中选择支付通道、填写通道名称和货币类型；不同支付通道需要填写的参数略有差异，例如代收渠道、代付渠道、代收商户ID、代收商户Key、代付商户号、代付商户Key等，请根据页面展示的必填标识、占位提示和可选项逐项填写。</w:t>
      </w:r>
    </w:p>
    <w:p>
      <w:pPr>
        <w:jc w:val="center"/>
      </w:pPr>
      <w:r>
        <w:drawing>
          <wp:inline xmlns:a="http://schemas.openxmlformats.org/drawingml/2006/main" xmlns:pic="http://schemas.openxmlformats.org/drawingml/2006/picture">
            <wp:extent cx="5806440" cy="6962225"/>
            <wp:docPr id="49" name="Picture 49"/>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806440" cy="6962225"/>
                    </a:xfrm>
                    <a:prstGeom prst="rect"/>
                  </pic:spPr>
                </pic:pic>
              </a:graphicData>
            </a:graphic>
          </wp:inline>
        </w:drawing>
      </w:r>
    </w:p>
    <w:p>
      <w:pPr>
        <w:jc w:val="center"/>
      </w:pPr>
      <w:r>
        <w:rPr>
          <w:rFonts w:ascii="微软雅黑" w:hAnsi="微软雅黑" w:eastAsia="微软雅黑"/>
          <w:b w:val="0"/>
          <w:color w:val="707E92"/>
          <w:sz w:val="18"/>
        </w:rPr>
        <w:t>图：新增在线支付平台参数配置。</w:t>
      </w:r>
    </w:p>
    <w:p>
      <w:pPr>
        <w:pStyle w:val="16"/>
      </w:pPr>
      <w:r>
        <w:rPr>
          <w:rFonts w:ascii="微软雅黑" w:hAnsi="微软雅黑" w:eastAsia="微软雅黑"/>
          <w:b/>
          <w:color w:val="2F5597"/>
          <w:sz w:val="20"/>
        </w:rPr>
        <w:t>渠道选择：</w:t>
      </w:r>
      <w:r>
        <w:rPr>
          <w:rFonts w:ascii="微软雅黑" w:hAnsi="微软雅黑" w:eastAsia="微软雅黑"/>
          <w:b w:val="0"/>
          <w:sz w:val="20"/>
        </w:rPr>
        <w:t>代收渠道和代付渠道以复选项方式配置，可按实际接入能力选择 Cashapp、Btcpay、Paypal、Applepay、Googlepay、Card、Chime、ACH 等选项；如某个通道不展示对应渠道或商户参数，表示该支付通道暂不需要填写该项。</w:t>
      </w:r>
    </w:p>
    <w:p>
      <w:pPr>
        <w:pStyle w:val="16"/>
      </w:pPr>
      <w:r>
        <w:rPr>
          <w:rFonts w:ascii="微软雅黑" w:hAnsi="微软雅黑" w:eastAsia="微软雅黑"/>
          <w:b/>
          <w:color w:val="2F5597"/>
          <w:sz w:val="20"/>
        </w:rPr>
        <w:t>启用配置：</w:t>
      </w:r>
      <w:r>
        <w:rPr>
          <w:rFonts w:ascii="微软雅黑" w:hAnsi="微软雅黑" w:eastAsia="微软雅黑"/>
          <w:b w:val="0"/>
          <w:sz w:val="20"/>
        </w:rPr>
        <w:t>新增或编辑时可设置“是否启用”。启用后系统会调用第三方接口检测配置，需确认商户号、Key、渠道、币种、站点范围等信息正确，避免因参数错误导致支付通道不可用。</w:t>
      </w:r>
    </w:p>
    <w:p>
      <w:pPr>
        <w:pStyle w:val="16"/>
      </w:pPr>
      <w:r>
        <w:rPr>
          <w:rFonts w:ascii="微软雅黑" w:hAnsi="微软雅黑" w:eastAsia="微软雅黑"/>
          <w:b/>
          <w:color w:val="2F5597"/>
          <w:sz w:val="20"/>
        </w:rPr>
        <w:t>站点范围：</w:t>
      </w:r>
      <w:r>
        <w:rPr>
          <w:rFonts w:ascii="微软雅黑" w:hAnsi="微软雅黑" w:eastAsia="微软雅黑"/>
          <w:b w:val="0"/>
          <w:sz w:val="20"/>
        </w:rPr>
        <w:t>列表中的“使用站点”用于确认该支付通道对哪些站点生效，显示“全部站点”时代表全部子站点可使用，显示站点编号时仅对指定站点生效。上线前应结合币种、通道状态和站点范围做复核。</w:t>
      </w:r>
    </w:p>
    <w:p>
      <w:pPr>
        <w:pStyle w:val="16"/>
      </w:pPr>
      <w:r>
        <w:rPr>
          <w:rFonts w:ascii="微软雅黑" w:hAnsi="微软雅黑" w:eastAsia="微软雅黑"/>
          <w:b/>
          <w:color w:val="2F5597"/>
          <w:sz w:val="20"/>
        </w:rPr>
        <w:t>修改与删除：</w:t>
      </w:r>
      <w:r>
        <w:rPr>
          <w:rFonts w:ascii="微软雅黑" w:hAnsi="微软雅黑" w:eastAsia="微软雅黑"/>
          <w:b w:val="0"/>
          <w:sz w:val="20"/>
        </w:rPr>
        <w:t>需要调整通道信息时点击“修改”，按页面提示补充或修正参数后确认保存；确认通道不再使用时再执行“删除”。删除前应先确认该通道没有正在使用的充值、提现或代付流程。</w:t>
      </w:r>
    </w:p>
    <w:p>
      <w:pPr>
        <w:pStyle w:val="16"/>
      </w:pPr>
      <w:r>
        <w:rPr>
          <w:rFonts w:ascii="微软雅黑" w:hAnsi="微软雅黑" w:eastAsia="微软雅黑"/>
          <w:b/>
          <w:color w:val="2F5597"/>
          <w:sz w:val="20"/>
        </w:rPr>
        <w:t>注意事项：</w:t>
      </w:r>
      <w:r>
        <w:rPr>
          <w:rFonts w:ascii="微软雅黑" w:hAnsi="微软雅黑" w:eastAsia="微软雅黑"/>
          <w:b w:val="0"/>
          <w:sz w:val="20"/>
        </w:rPr>
        <w:t>支付通道参数以页面实时展示为准，不同支付通道、币种和渠道组合可能出现不同必填项；遇到保存失败、检测失败或前台无法支付时，优先检查必填参数、商户密钥、币种、启用状态、使用站点和第三方接口配置。</w:t>
      </w:r>
    </w:p>
    <w:p w14:paraId="7FBA2849">
      <w:pPr>
        <w:pStyle w:val="5"/>
        <w:keepNext/>
        <w:spacing w:before="180" w:after="100" w:line="259" w:lineRule="auto"/>
      </w:pPr>
      <w:r>
        <w:rPr>
          <w:rFonts w:ascii="微软雅黑" w:hAnsi="微软雅黑" w:eastAsia="微软雅黑"/>
          <w:b/>
          <w:color w:val="2F5597"/>
          <w:sz w:val="25"/>
        </w:rPr>
        <w:t>广告埋点配置</w:t>
      </w:r>
    </w:p>
    <w:p w14:paraId="5D4D94E6">
      <w:pPr>
        <w:pStyle w:val="6"/>
      </w:pPr>
      <w:r>
        <w:rPr>
          <w:rFonts w:ascii="微软雅黑" w:hAnsi="微软雅黑" w:eastAsia="微软雅黑"/>
          <w:b/>
          <w:color w:val="1F4E79"/>
          <w:sz w:val="21"/>
        </w:rPr>
        <w:t>页面说明</w:t>
      </w:r>
    </w:p>
    <w:p w14:paraId="3A3A28B9">
      <w:pPr>
        <w:jc w:val="center"/>
      </w:pPr>
      <w:r>
        <w:drawing>
          <wp:inline distT="0" distB="0" distL="114300" distR="114300">
            <wp:extent cx="5943600" cy="2688590"/>
            <wp:effectExtent l="0" t="0" r="0" b="165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3"/>
                    <a:stretch>
                      <a:fillRect/>
                    </a:stretch>
                  </pic:blipFill>
                  <pic:spPr>
                    <a:xfrm>
                      <a:off x="0" y="0"/>
                      <a:ext cx="5943600" cy="2688771"/>
                    </a:xfrm>
                    <a:prstGeom prst="rect">
                      <a:avLst/>
                    </a:prstGeom>
                  </pic:spPr>
                </pic:pic>
              </a:graphicData>
            </a:graphic>
          </wp:inline>
        </w:drawing>
      </w:r>
    </w:p>
    <w:p w14:paraId="7C28E1FA">
      <w:pPr>
        <w:pStyle w:val="15"/>
        <w:jc w:val="center"/>
      </w:pPr>
      <w:r>
        <w:rPr>
          <w:rFonts w:ascii="微软雅黑" w:hAnsi="微软雅黑" w:eastAsia="微软雅黑"/>
          <w:b w:val="0"/>
          <w:color w:val="7F7F7F"/>
          <w:sz w:val="18"/>
        </w:rPr>
        <w:t>图：广告埋点配置列表，用于维护不同渠道的落地页、跳转地址和事件标识。</w:t>
      </w:r>
    </w:p>
    <w:p w14:paraId="7E5E52B4">
      <w:pPr>
        <w:pStyle w:val="16"/>
      </w:pPr>
      <w:r>
        <w:rPr>
          <w:rFonts w:ascii="微软雅黑" w:hAnsi="微软雅黑" w:eastAsia="微软雅黑"/>
          <w:b w:val="0"/>
          <w:sz w:val="20"/>
        </w:rPr>
        <w:t>广告埋点配置用于维护站点推广渠道的埋点参数，支持按渠道类型查询配置，并在列表中查看渠道编码、渠道名称、落地页域名、跳转地址、像素ID、安装类型、事件标识和创建时间等信息。</w:t>
      </w:r>
    </w:p>
    <w:p w14:paraId="5034C558">
      <w:pPr>
        <w:pStyle w:val="16"/>
      </w:pPr>
      <w:r>
        <w:rPr>
          <w:rFonts w:ascii="微软雅黑" w:hAnsi="微软雅黑" w:eastAsia="微软雅黑"/>
          <w:b w:val="0"/>
          <w:sz w:val="20"/>
        </w:rPr>
        <w:t>该页面主要服务于广告投放、渠道归因和转化事件回传。新增或修改配置后，前台落地页和推广链接可能会按配置携带对应渠道参数，运营人员应在上线前核对渠道、域名、事件标识和跳转地址是否一致。</w:t>
      </w:r>
    </w:p>
    <w:p w14:paraId="7DB90056">
      <w:pPr>
        <w:pStyle w:val="6"/>
      </w:pPr>
      <w:r>
        <w:rPr>
          <w:rFonts w:ascii="微软雅黑" w:hAnsi="微软雅黑" w:eastAsia="微软雅黑"/>
          <w:b/>
          <w:color w:val="1F4E79"/>
          <w:sz w:val="21"/>
        </w:rPr>
        <w:t>筛选与列表字段</w:t>
      </w:r>
    </w:p>
    <w:p w14:paraId="1D2B88B1">
      <w:pPr>
        <w:pStyle w:val="16"/>
      </w:pPr>
      <w:r>
        <w:rPr>
          <w:rFonts w:ascii="微软雅黑" w:hAnsi="微软雅黑" w:eastAsia="微软雅黑"/>
          <w:b/>
          <w:color w:val="1F4E79"/>
          <w:sz w:val="20"/>
        </w:rPr>
        <w:t>渠道类型：</w:t>
      </w:r>
      <w:r>
        <w:rPr>
          <w:rFonts w:ascii="微软雅黑" w:hAnsi="微软雅黑" w:eastAsia="微软雅黑"/>
          <w:b w:val="0"/>
          <w:sz w:val="20"/>
        </w:rPr>
        <w:t>用于按 facebook、adjust、google 等渠道类型筛选列表。需要排查某个渠道数据时，先选择渠道类型再点击“搜索”；点击“重置”可恢复默认查询条件。</w:t>
      </w:r>
    </w:p>
    <w:p w14:paraId="14126BA7">
      <w:pPr>
        <w:pStyle w:val="16"/>
      </w:pPr>
      <w:r>
        <w:rPr>
          <w:rFonts w:ascii="微软雅黑" w:hAnsi="微软雅黑" w:eastAsia="微软雅黑"/>
          <w:b/>
          <w:color w:val="1F4E79"/>
          <w:sz w:val="20"/>
        </w:rPr>
        <w:t>渠道ID：</w:t>
      </w:r>
      <w:r>
        <w:rPr>
          <w:rFonts w:ascii="微软雅黑" w:hAnsi="微软雅黑" w:eastAsia="微软雅黑"/>
          <w:b w:val="0"/>
          <w:sz w:val="20"/>
        </w:rPr>
        <w:t>系统生成的配置唯一标识，通常用于技术排查或接口核对。列表中较长内容会省略显示，核对完整值时可进入修改弹窗或结合后台数据记录确认。</w:t>
      </w:r>
    </w:p>
    <w:p w14:paraId="45D3E0CE">
      <w:pPr>
        <w:pStyle w:val="16"/>
      </w:pPr>
      <w:r>
        <w:rPr>
          <w:rFonts w:ascii="微软雅黑" w:hAnsi="微软雅黑" w:eastAsia="微软雅黑"/>
          <w:b/>
          <w:color w:val="1F4E79"/>
          <w:sz w:val="20"/>
        </w:rPr>
        <w:t>渠道编码：</w:t>
      </w:r>
      <w:r>
        <w:rPr>
          <w:rFonts w:ascii="微软雅黑" w:hAnsi="微软雅黑" w:eastAsia="微软雅黑"/>
          <w:b w:val="0"/>
          <w:sz w:val="20"/>
        </w:rPr>
        <w:t>渠道的业务编码，用于区分不同推广渠道或投放批次。新增配置后应确认编码与投放侧、落地页侧约定一致。</w:t>
      </w:r>
    </w:p>
    <w:p w14:paraId="32B008A3">
      <w:pPr>
        <w:pStyle w:val="16"/>
      </w:pPr>
      <w:r>
        <w:rPr>
          <w:rFonts w:ascii="微软雅黑" w:hAnsi="微软雅黑" w:eastAsia="微软雅黑"/>
          <w:b/>
          <w:color w:val="1F4E79"/>
          <w:sz w:val="20"/>
        </w:rPr>
        <w:t>渠道名称：</w:t>
      </w:r>
      <w:r>
        <w:rPr>
          <w:rFonts w:ascii="微软雅黑" w:hAnsi="微软雅黑" w:eastAsia="微软雅黑"/>
          <w:b w:val="0"/>
          <w:sz w:val="20"/>
        </w:rPr>
        <w:t>展示渠道配置的名称，例如 Google、Facebook测试、adjust测试等，建议使用便于运营识别的渠道或活动名称。</w:t>
      </w:r>
    </w:p>
    <w:p w14:paraId="5026C73C">
      <w:pPr>
        <w:pStyle w:val="16"/>
      </w:pPr>
      <w:r>
        <w:rPr>
          <w:rFonts w:ascii="微软雅黑" w:hAnsi="微软雅黑" w:eastAsia="微软雅黑"/>
          <w:b/>
          <w:color w:val="1F4E79"/>
          <w:sz w:val="20"/>
        </w:rPr>
        <w:t>渠道类型：</w:t>
      </w:r>
      <w:r>
        <w:rPr>
          <w:rFonts w:ascii="微软雅黑" w:hAnsi="微软雅黑" w:eastAsia="微软雅黑"/>
          <w:b w:val="0"/>
          <w:sz w:val="20"/>
        </w:rPr>
        <w:t>展示当前配置所属广告平台或归因类型。不同渠道类型会影响后续需要填写的像素ID、安装类型和事件标识字段。</w:t>
      </w:r>
    </w:p>
    <w:p w14:paraId="1BE5CD92">
      <w:pPr>
        <w:pStyle w:val="16"/>
      </w:pPr>
      <w:r>
        <w:rPr>
          <w:rFonts w:ascii="微软雅黑" w:hAnsi="微软雅黑" w:eastAsia="微软雅黑"/>
          <w:b/>
          <w:color w:val="1F4E79"/>
          <w:sz w:val="20"/>
        </w:rPr>
        <w:t>落地页域名：</w:t>
      </w:r>
      <w:r>
        <w:rPr>
          <w:rFonts w:ascii="微软雅黑" w:hAnsi="微软雅黑" w:eastAsia="微软雅黑"/>
          <w:b w:val="0"/>
          <w:sz w:val="20"/>
        </w:rPr>
        <w:t>配置该渠道使用的落地页域名。保存前应确认域名已在站点或推广域名中配置完成，并可正常访问。</w:t>
      </w:r>
    </w:p>
    <w:p w14:paraId="70E725EE">
      <w:pPr>
        <w:pStyle w:val="16"/>
      </w:pPr>
      <w:r>
        <w:rPr>
          <w:rFonts w:ascii="微软雅黑" w:hAnsi="微软雅黑" w:eastAsia="微软雅黑"/>
          <w:b/>
          <w:color w:val="1F4E79"/>
          <w:sz w:val="20"/>
        </w:rPr>
        <w:t>跳转地址：</w:t>
      </w:r>
      <w:r>
        <w:rPr>
          <w:rFonts w:ascii="微软雅黑" w:hAnsi="微软雅黑" w:eastAsia="微软雅黑"/>
          <w:b w:val="0"/>
          <w:sz w:val="20"/>
        </w:rPr>
        <w:t>用户从推广入口进入后需要跳转的地址，可包含渠道参数。地址较长时列表会省略显示，保存前应重点检查域名、路径和参数是否正确。</w:t>
      </w:r>
    </w:p>
    <w:p w14:paraId="5D6CFB52">
      <w:pPr>
        <w:pStyle w:val="16"/>
      </w:pPr>
      <w:r>
        <w:rPr>
          <w:rFonts w:ascii="微软雅黑" w:hAnsi="微软雅黑" w:eastAsia="微软雅黑"/>
          <w:b/>
          <w:color w:val="1F4E79"/>
          <w:sz w:val="20"/>
        </w:rPr>
        <w:t>像素ID：</w:t>
      </w:r>
      <w:r>
        <w:rPr>
          <w:rFonts w:ascii="微软雅黑" w:hAnsi="微软雅黑" w:eastAsia="微软雅黑"/>
          <w:b w:val="0"/>
          <w:sz w:val="20"/>
        </w:rPr>
        <w:t>用于 Facebook、Google 等像素或广告平台识别的跟踪 ID。为空或填写错误时，可能导致注册、充值等事件无法被广告平台正确接收。</w:t>
      </w:r>
    </w:p>
    <w:p w14:paraId="5D074E57">
      <w:pPr>
        <w:pStyle w:val="16"/>
      </w:pPr>
      <w:r>
        <w:rPr>
          <w:rFonts w:ascii="微软雅黑" w:hAnsi="微软雅黑" w:eastAsia="微软雅黑"/>
          <w:b/>
          <w:color w:val="1F4E79"/>
          <w:sz w:val="20"/>
        </w:rPr>
        <w:t>安装类型：</w:t>
      </w:r>
      <w:r>
        <w:rPr>
          <w:rFonts w:ascii="微软雅黑" w:hAnsi="微软雅黑" w:eastAsia="微软雅黑"/>
          <w:b w:val="0"/>
          <w:sz w:val="20"/>
        </w:rPr>
        <w:t>用于 Adjust 等归因场景区分 H5、App 或其他安装/访问类型。配置时应与实际推广入口和客户端形态一致。</w:t>
      </w:r>
    </w:p>
    <w:p w14:paraId="2CFC4C11">
      <w:pPr>
        <w:pStyle w:val="16"/>
      </w:pPr>
      <w:r>
        <w:rPr>
          <w:rFonts w:ascii="微软雅黑" w:hAnsi="微软雅黑" w:eastAsia="微软雅黑"/>
          <w:b/>
          <w:color w:val="1F4E79"/>
          <w:sz w:val="20"/>
        </w:rPr>
        <w:t>事件标识：</w:t>
      </w:r>
      <w:r>
        <w:rPr>
          <w:rFonts w:ascii="微软雅黑" w:hAnsi="微软雅黑" w:eastAsia="微软雅黑"/>
          <w:b w:val="0"/>
          <w:sz w:val="20"/>
        </w:rPr>
        <w:t>包括注册、首充、复充等事件标识，用于向归因或广告平台回传关键转化事件。填写前应按投放平台要求核对事件名称、大小写和参数口径。</w:t>
      </w:r>
    </w:p>
    <w:p w14:paraId="2AEEF71F">
      <w:pPr>
        <w:pStyle w:val="16"/>
      </w:pPr>
      <w:r>
        <w:rPr>
          <w:rFonts w:ascii="微软雅黑" w:hAnsi="微软雅黑" w:eastAsia="微软雅黑"/>
          <w:b/>
          <w:color w:val="1F4E79"/>
          <w:sz w:val="20"/>
        </w:rPr>
        <w:t>备注：</w:t>
      </w:r>
      <w:r>
        <w:rPr>
          <w:rFonts w:ascii="微软雅黑" w:hAnsi="微软雅黑" w:eastAsia="微软雅黑"/>
          <w:b w:val="0"/>
          <w:sz w:val="20"/>
        </w:rPr>
        <w:t>记录配置用途、投放批次、测试说明或特殊约定，便于后续排查和交接。</w:t>
      </w:r>
    </w:p>
    <w:p w14:paraId="380678DB">
      <w:pPr>
        <w:pStyle w:val="16"/>
      </w:pPr>
      <w:r>
        <w:rPr>
          <w:rFonts w:ascii="微软雅黑" w:hAnsi="微软雅黑" w:eastAsia="微软雅黑"/>
          <w:b/>
          <w:color w:val="1F4E79"/>
          <w:sz w:val="20"/>
        </w:rPr>
        <w:t>创建时间：</w:t>
      </w:r>
      <w:r>
        <w:rPr>
          <w:rFonts w:ascii="微软雅黑" w:hAnsi="微软雅黑" w:eastAsia="微软雅黑"/>
          <w:b w:val="0"/>
          <w:sz w:val="20"/>
        </w:rPr>
        <w:t>展示配置创建时间，用于判断配置是否为当前投放周期内新增或历史遗留配置。</w:t>
      </w:r>
    </w:p>
    <w:p w14:paraId="49157E97">
      <w:pPr>
        <w:pStyle w:val="16"/>
      </w:pPr>
      <w:r>
        <w:rPr>
          <w:rFonts w:ascii="微软雅黑" w:hAnsi="微软雅黑" w:eastAsia="微软雅黑"/>
          <w:b/>
          <w:color w:val="1F4E79"/>
          <w:sz w:val="20"/>
        </w:rPr>
        <w:t>操作：</w:t>
      </w:r>
      <w:r>
        <w:rPr>
          <w:rFonts w:ascii="微软雅黑" w:hAnsi="微软雅黑" w:eastAsia="微软雅黑"/>
          <w:b w:val="0"/>
          <w:sz w:val="20"/>
        </w:rPr>
        <w:t>提供“修改”和“删除”。修改用于调整渠道配置；删除用于移除不再使用的配置，删除前应确认该渠道已停止投放或已有替代配置。</w:t>
      </w:r>
    </w:p>
    <w:p w14:paraId="4F7A5694">
      <w:pPr>
        <w:pStyle w:val="6"/>
      </w:pPr>
      <w:r>
        <w:rPr>
          <w:rFonts w:ascii="微软雅黑" w:hAnsi="微软雅黑" w:eastAsia="微软雅黑"/>
          <w:b/>
          <w:color w:val="1F4E79"/>
          <w:sz w:val="21"/>
        </w:rPr>
        <w:t>新增与编辑配置</w:t>
      </w:r>
    </w:p>
    <w:p w14:paraId="3EFB07AF">
      <w:pPr>
        <w:pStyle w:val="16"/>
      </w:pPr>
      <w:r>
        <w:rPr>
          <w:rFonts w:ascii="微软雅黑" w:hAnsi="微软雅黑" w:eastAsia="微软雅黑"/>
          <w:b/>
          <w:color w:val="1F4E79"/>
          <w:sz w:val="20"/>
        </w:rPr>
        <w:t>新增配置：</w:t>
      </w:r>
      <w:r>
        <w:rPr>
          <w:rFonts w:ascii="微软雅黑" w:hAnsi="微软雅黑" w:eastAsia="微软雅黑"/>
          <w:b w:val="0"/>
          <w:sz w:val="20"/>
        </w:rPr>
        <w:t>点击“新增”打开新增埋点配置弹窗，按页面提示选择或填写渠道名称、落地页域名、跳转地址和渠道类型。带必填标识的字段必须补齐后再提交。</w:t>
      </w:r>
    </w:p>
    <w:p w14:paraId="647CD28C">
      <w:pPr>
        <w:pStyle w:val="16"/>
      </w:pPr>
      <w:r>
        <w:rPr>
          <w:rFonts w:ascii="微软雅黑" w:hAnsi="微软雅黑" w:eastAsia="微软雅黑"/>
          <w:b/>
          <w:color w:val="1F4E79"/>
          <w:sz w:val="20"/>
        </w:rPr>
        <w:t>渠道类型切换：</w:t>
      </w:r>
      <w:r>
        <w:rPr>
          <w:rFonts w:ascii="微软雅黑" w:hAnsi="微软雅黑" w:eastAsia="微软雅黑"/>
          <w:b w:val="0"/>
          <w:sz w:val="20"/>
        </w:rPr>
        <w:t>弹窗中切换渠道类型后，表单会展示对应的配置项。Facebook、Google 等渠道通常重点填写像素ID；Adjust 类配置通常需要维护安装类型以及注册、首充、复充事件标识。</w:t>
      </w:r>
    </w:p>
    <w:p w14:paraId="48215D74">
      <w:pPr>
        <w:pStyle w:val="16"/>
      </w:pPr>
      <w:r>
        <w:rPr>
          <w:rFonts w:ascii="微软雅黑" w:hAnsi="微软雅黑" w:eastAsia="微软雅黑"/>
          <w:b/>
          <w:color w:val="1F4E79"/>
          <w:sz w:val="20"/>
        </w:rPr>
        <w:t>编辑配置：</w:t>
      </w:r>
      <w:r>
        <w:rPr>
          <w:rFonts w:ascii="微软雅黑" w:hAnsi="微软雅黑" w:eastAsia="微软雅黑"/>
          <w:b w:val="0"/>
          <w:sz w:val="20"/>
        </w:rPr>
        <w:t>在列表操作列点击“修改”，进入编辑埋点配置弹窗后可调整域名、跳转地址、像素ID、安装类型、事件标识和备注等信息。提交后应回到列表核对展示值是否更新。</w:t>
      </w:r>
    </w:p>
    <w:p w14:paraId="10BB0B28">
      <w:pPr>
        <w:pStyle w:val="16"/>
      </w:pPr>
      <w:r>
        <w:rPr>
          <w:rFonts w:ascii="微软雅黑" w:hAnsi="微软雅黑" w:eastAsia="微软雅黑"/>
          <w:b/>
          <w:color w:val="1F4E79"/>
          <w:sz w:val="20"/>
        </w:rPr>
        <w:t>删除配置：</w:t>
      </w:r>
      <w:r>
        <w:rPr>
          <w:rFonts w:ascii="微软雅黑" w:hAnsi="微软雅黑" w:eastAsia="微软雅黑"/>
          <w:b w:val="0"/>
          <w:sz w:val="20"/>
        </w:rPr>
        <w:t>点击“删除”前应确认该配置不再被当前推广链接、落地页或广告计划使用。删除后相关渠道可能无法继续完成归因或事件回传，必要时先停用投放或保留历史配置。</w:t>
      </w:r>
    </w:p>
    <w:p w14:paraId="6840218F">
      <w:pPr>
        <w:pStyle w:val="6"/>
      </w:pPr>
      <w:r>
        <w:rPr>
          <w:rFonts w:ascii="微软雅黑" w:hAnsi="微软雅黑" w:eastAsia="微软雅黑"/>
          <w:b/>
          <w:color w:val="1F4E79"/>
          <w:sz w:val="21"/>
        </w:rPr>
        <w:t>注意事项</w:t>
      </w:r>
    </w:p>
    <w:p w14:paraId="039197E2">
      <w:pPr>
        <w:pStyle w:val="16"/>
      </w:pPr>
      <w:r>
        <w:rPr>
          <w:rFonts w:ascii="微软雅黑" w:hAnsi="微软雅黑" w:eastAsia="微软雅黑"/>
          <w:b w:val="0"/>
          <w:sz w:val="20"/>
        </w:rPr>
        <w:t>落地页域名、跳转地址和广告平台参数需要保持一致，任一环节配置错误都可能造成用户无法进入正确页面、渠道无法归因或广告平台收不到转化事件。</w:t>
      </w:r>
    </w:p>
    <w:p w14:paraId="2A3D5B60">
      <w:pPr>
        <w:pStyle w:val="16"/>
      </w:pPr>
      <w:r>
        <w:rPr>
          <w:rFonts w:ascii="微软雅黑" w:hAnsi="微软雅黑" w:eastAsia="微软雅黑"/>
          <w:b w:val="0"/>
          <w:sz w:val="20"/>
        </w:rPr>
        <w:t>涉及像素ID和事件标识的调整应由运营、投放或技术人员共同复核。修改线上渠道前，建议先复制当前值留档，确认新配置验证通过后再用于正式投放。</w:t>
      </w:r>
    </w:p>
    <w:p w14:paraId="4B2E92E8">
      <w:pPr>
        <w:pStyle w:val="16"/>
      </w:pPr>
      <w:r>
        <w:rPr>
          <w:rFonts w:ascii="微软雅黑" w:hAnsi="微软雅黑" w:eastAsia="微软雅黑"/>
          <w:b w:val="0"/>
          <w:sz w:val="20"/>
        </w:rPr>
        <w:t>若广告平台未收到注册、首充或复充事件，优先检查渠道类型、像素ID、事件标识、安装类型、跳转地址参数、落地页域名访问状态，以及前台页面是否已经加载对应埋点脚本。</w:t>
      </w:r>
    </w:p>
    <w:p w14:paraId="2DC5E6BA">
      <w:pPr>
        <w:pStyle w:val="16"/>
      </w:pPr>
      <w:r>
        <w:rPr>
          <w:rFonts w:ascii="微软雅黑" w:hAnsi="微软雅黑" w:eastAsia="微软雅黑"/>
          <w:b w:val="0"/>
          <w:sz w:val="20"/>
        </w:rPr>
        <w:t>同一渠道存在多条配置时，应通过渠道编码、渠道名称、备注和创建时间区分投放批次，避免误改正在使用的渠道配置。</w:t>
      </w:r>
    </w:p>
    <w:p w14:paraId="2A8A80AC">
      <w:pPr>
        <w:pStyle w:val="5"/>
        <w:keepNext/>
        <w:spacing w:before="180" w:after="100" w:line="259" w:lineRule="auto"/>
      </w:pPr>
      <w:r>
        <w:rPr>
          <w:rFonts w:ascii="微软雅黑" w:hAnsi="微软雅黑" w:eastAsia="微软雅黑"/>
          <w:b/>
          <w:color w:val="2F5597"/>
          <w:sz w:val="25"/>
        </w:rPr>
        <w:t>音乐管理</w:t>
      </w:r>
    </w:p>
    <w:p w14:paraId="3EB00200">
      <w:pPr>
        <w:pStyle w:val="6"/>
      </w:pPr>
      <w:r>
        <w:rPr>
          <w:rFonts w:ascii="微软雅黑" w:hAnsi="微软雅黑" w:eastAsia="微软雅黑"/>
          <w:b/>
          <w:color w:val="1F4E79"/>
          <w:sz w:val="21"/>
        </w:rPr>
        <w:t>页面说明</w:t>
      </w:r>
    </w:p>
    <w:p w14:paraId="5F957846">
      <w:pPr>
        <w:jc w:val="center"/>
      </w:pPr>
      <w:r>
        <w:drawing>
          <wp:inline distT="0" distB="0" distL="114300" distR="114300">
            <wp:extent cx="5943600" cy="1033780"/>
            <wp:effectExtent l="0" t="0" r="0" b="139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4"/>
                    <a:stretch>
                      <a:fillRect/>
                    </a:stretch>
                  </pic:blipFill>
                  <pic:spPr>
                    <a:xfrm>
                      <a:off x="0" y="0"/>
                      <a:ext cx="5943600" cy="1034136"/>
                    </a:xfrm>
                    <a:prstGeom prst="rect">
                      <a:avLst/>
                    </a:prstGeom>
                  </pic:spPr>
                </pic:pic>
              </a:graphicData>
            </a:graphic>
          </wp:inline>
        </w:drawing>
      </w:r>
    </w:p>
    <w:p w14:paraId="303E3B98">
      <w:pPr>
        <w:pStyle w:val="15"/>
        <w:jc w:val="center"/>
      </w:pPr>
      <w:r>
        <w:rPr>
          <w:rFonts w:ascii="微软雅黑" w:hAnsi="微软雅黑" w:eastAsia="微软雅黑"/>
          <w:color w:val="7F7F7F"/>
          <w:sz w:val="18"/>
        </w:rPr>
        <w:t>图：音乐管理列表，用于维护音乐开关、曲目状态和列表操作。</w:t>
      </w:r>
    </w:p>
    <w:p w14:paraId="64C55D59">
      <w:pPr>
        <w:pStyle w:val="16"/>
      </w:pPr>
      <w:r>
        <w:rPr>
          <w:rFonts w:ascii="微软雅黑" w:hAnsi="微软雅黑" w:eastAsia="微软雅黑"/>
          <w:sz w:val="20"/>
        </w:rPr>
        <w:t>音乐管理用于维护客户端背景音乐或侧滑菜单音乐播放器中可播放的曲目。页面顶部提供“音乐开关”，用于统一控制客户端音乐播放功能；下方列表展示已上传的音乐文件，支持新增、修改、删除和单曲启用或停用。</w:t>
      </w:r>
    </w:p>
    <w:p w14:paraId="218C7D0D">
      <w:pPr>
        <w:pStyle w:val="16"/>
      </w:pPr>
      <w:r>
        <w:rPr>
          <w:rFonts w:ascii="微软雅黑" w:hAnsi="微软雅黑" w:eastAsia="微软雅黑"/>
          <w:sz w:val="20"/>
        </w:rPr>
        <w:t>当音乐开关关闭时，客户端音乐播放功能关闭，侧滑菜单中的音乐播放器不再展示。关闭前应确认当前站点是否仍需要背景音乐、活动音乐或用户侧音乐入口，避免影响前台体验。</w:t>
      </w:r>
    </w:p>
    <w:p w14:paraId="4DD11641">
      <w:pPr>
        <w:pStyle w:val="6"/>
      </w:pPr>
      <w:r>
        <w:rPr>
          <w:rFonts w:ascii="微软雅黑" w:hAnsi="微软雅黑" w:eastAsia="微软雅黑"/>
          <w:b/>
          <w:color w:val="1F4E79"/>
          <w:sz w:val="21"/>
        </w:rPr>
        <w:t>列表字段</w:t>
      </w:r>
    </w:p>
    <w:p w14:paraId="68DAC838">
      <w:pPr>
        <w:pStyle w:val="16"/>
      </w:pPr>
      <w:r>
        <w:rPr>
          <w:rFonts w:ascii="微软雅黑" w:hAnsi="微软雅黑" w:eastAsia="微软雅黑"/>
          <w:b/>
          <w:color w:val="1F4E79"/>
          <w:sz w:val="20"/>
        </w:rPr>
        <w:t>序号：</w:t>
      </w:r>
      <w:r>
        <w:rPr>
          <w:rFonts w:ascii="微软雅黑" w:hAnsi="微软雅黑" w:eastAsia="微软雅黑"/>
          <w:sz w:val="20"/>
        </w:rPr>
        <w:t>显示当前音乐在列表中的顺序编号，用于快速核对曲目数量和位置。</w:t>
      </w:r>
    </w:p>
    <w:p w14:paraId="440D5560">
      <w:pPr>
        <w:pStyle w:val="16"/>
      </w:pPr>
      <w:r>
        <w:rPr>
          <w:rFonts w:ascii="微软雅黑" w:hAnsi="微软雅黑" w:eastAsia="微软雅黑"/>
          <w:b/>
          <w:color w:val="1F4E79"/>
          <w:sz w:val="20"/>
        </w:rPr>
        <w:t>歌曲名称：</w:t>
      </w:r>
      <w:r>
        <w:rPr>
          <w:rFonts w:ascii="微软雅黑" w:hAnsi="微软雅黑" w:eastAsia="微软雅黑"/>
          <w:sz w:val="20"/>
        </w:rPr>
        <w:t>展示音乐名称，例如 BGM1、BGM2。名称建议简短清晰，便于运营人员识别用途或播放场景。</w:t>
      </w:r>
    </w:p>
    <w:p w14:paraId="314D1081">
      <w:pPr>
        <w:pStyle w:val="16"/>
      </w:pPr>
      <w:r>
        <w:rPr>
          <w:rFonts w:ascii="微软雅黑" w:hAnsi="微软雅黑" w:eastAsia="微软雅黑"/>
          <w:b/>
          <w:color w:val="1F4E79"/>
          <w:sz w:val="20"/>
        </w:rPr>
        <w:t>大小/MB：</w:t>
      </w:r>
      <w:r>
        <w:rPr>
          <w:rFonts w:ascii="微软雅黑" w:hAnsi="微软雅黑" w:eastAsia="微软雅黑"/>
          <w:sz w:val="20"/>
        </w:rPr>
        <w:t>展示源文件大小，便于判断文件是否符合上传限制以及是否可能影响前台加载速度。</w:t>
      </w:r>
    </w:p>
    <w:p w14:paraId="47AD7DD8">
      <w:pPr>
        <w:pStyle w:val="16"/>
      </w:pPr>
      <w:r>
        <w:rPr>
          <w:rFonts w:ascii="微软雅黑" w:hAnsi="微软雅黑" w:eastAsia="微软雅黑"/>
          <w:b/>
          <w:color w:val="1F4E79"/>
          <w:sz w:val="20"/>
        </w:rPr>
        <w:t>源文件：</w:t>
      </w:r>
      <w:r>
        <w:rPr>
          <w:rFonts w:ascii="微软雅黑" w:hAnsi="微软雅黑" w:eastAsia="微软雅黑"/>
          <w:sz w:val="20"/>
        </w:rPr>
        <w:t>展示音乐文件地址。列表中较长地址会自动省略，核对文件时可结合修改入口或源文件管理记录确认完整链接。</w:t>
      </w:r>
    </w:p>
    <w:p w14:paraId="2DE33A98">
      <w:pPr>
        <w:pStyle w:val="16"/>
      </w:pPr>
      <w:r>
        <w:rPr>
          <w:rFonts w:ascii="微软雅黑" w:hAnsi="微软雅黑" w:eastAsia="微软雅黑"/>
          <w:b/>
          <w:color w:val="1F4E79"/>
          <w:sz w:val="20"/>
        </w:rPr>
        <w:t>停/启用：</w:t>
      </w:r>
      <w:r>
        <w:rPr>
          <w:rFonts w:ascii="微软雅黑" w:hAnsi="微软雅黑" w:eastAsia="微软雅黑"/>
          <w:sz w:val="20"/>
        </w:rPr>
        <w:t>控制单首音乐是否参与前台展示或播放。启用后该曲目可被客户端使用；停用后该曲目不应继续出现在用户侧音乐播放列表中。</w:t>
      </w:r>
    </w:p>
    <w:p w14:paraId="1A1EC9BA">
      <w:pPr>
        <w:pStyle w:val="16"/>
      </w:pPr>
      <w:r>
        <w:rPr>
          <w:rFonts w:ascii="微软雅黑" w:hAnsi="微软雅黑" w:eastAsia="微软雅黑"/>
          <w:b/>
          <w:color w:val="1F4E79"/>
          <w:sz w:val="20"/>
        </w:rPr>
        <w:t>操作：</w:t>
      </w:r>
      <w:r>
        <w:rPr>
          <w:rFonts w:ascii="微软雅黑" w:hAnsi="微软雅黑" w:eastAsia="微软雅黑"/>
          <w:sz w:val="20"/>
        </w:rPr>
        <w:t>提供“修改”和“删除”。修改用于调整歌曲名称、排序或重新上传文件；删除用于移除不再使用的曲目，删除前应确认该音乐没有被活动、页面或运营配置依赖。</w:t>
      </w:r>
    </w:p>
    <w:p w14:paraId="7851E77A">
      <w:pPr>
        <w:pStyle w:val="6"/>
      </w:pPr>
      <w:r>
        <w:rPr>
          <w:rFonts w:ascii="微软雅黑" w:hAnsi="微软雅黑" w:eastAsia="微软雅黑"/>
          <w:b/>
          <w:color w:val="1F4E79"/>
          <w:sz w:val="21"/>
        </w:rPr>
        <w:t>新增音乐</w:t>
      </w:r>
    </w:p>
    <w:p w14:paraId="409DC0DC">
      <w:pPr>
        <w:jc w:val="center"/>
      </w:pPr>
      <w:r>
        <w:drawing>
          <wp:inline distT="0" distB="0" distL="114300" distR="114300">
            <wp:extent cx="4297680" cy="2256790"/>
            <wp:effectExtent l="0" t="0" r="7620" b="1016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5"/>
                    <a:stretch>
                      <a:fillRect/>
                    </a:stretch>
                  </pic:blipFill>
                  <pic:spPr>
                    <a:xfrm>
                      <a:off x="0" y="0"/>
                      <a:ext cx="4297680" cy="2257286"/>
                    </a:xfrm>
                    <a:prstGeom prst="rect">
                      <a:avLst/>
                    </a:prstGeom>
                  </pic:spPr>
                </pic:pic>
              </a:graphicData>
            </a:graphic>
          </wp:inline>
        </w:drawing>
      </w:r>
    </w:p>
    <w:p w14:paraId="60BC61DD">
      <w:pPr>
        <w:pStyle w:val="15"/>
        <w:jc w:val="center"/>
      </w:pPr>
      <w:r>
        <w:rPr>
          <w:rFonts w:ascii="微软雅黑" w:hAnsi="微软雅黑" w:eastAsia="微软雅黑"/>
          <w:color w:val="7F7F7F"/>
          <w:sz w:val="18"/>
        </w:rPr>
        <w:t>图：新增音乐弹窗，用于填写歌曲名称、排序并上传 MP3 文件。</w:t>
      </w:r>
    </w:p>
    <w:p w14:paraId="23181468">
      <w:pPr>
        <w:pStyle w:val="16"/>
      </w:pPr>
      <w:r>
        <w:rPr>
          <w:rFonts w:ascii="微软雅黑" w:hAnsi="微软雅黑" w:eastAsia="微软雅黑"/>
          <w:sz w:val="20"/>
        </w:rPr>
        <w:t>点击右上角“新增”打开“新增音乐”弹窗，按页面提示填写歌曲名称、排序并上传音乐文件。带星号的歌曲名称和音乐文件为必填项，提交前应确认名称不重复、排序值符合展示顺序、文件格式和大小符合限制。</w:t>
      </w:r>
    </w:p>
    <w:p w14:paraId="3A7FC387">
      <w:pPr>
        <w:pStyle w:val="16"/>
      </w:pPr>
      <w:r>
        <w:rPr>
          <w:rFonts w:ascii="微软雅黑" w:hAnsi="微软雅黑" w:eastAsia="微软雅黑"/>
          <w:b/>
          <w:color w:val="1F4E79"/>
          <w:sz w:val="20"/>
        </w:rPr>
        <w:t>歌曲名称：</w:t>
      </w:r>
      <w:r>
        <w:rPr>
          <w:rFonts w:ascii="微软雅黑" w:hAnsi="微软雅黑" w:eastAsia="微软雅黑"/>
          <w:sz w:val="20"/>
        </w:rPr>
        <w:t>填写后台列表和前台可能展示的曲目名称。建议使用统一命名规则，例如 BGM1、活动主题曲、首页背景音乐等。</w:t>
      </w:r>
    </w:p>
    <w:p w14:paraId="73186168">
      <w:pPr>
        <w:pStyle w:val="16"/>
      </w:pPr>
      <w:r>
        <w:rPr>
          <w:rFonts w:ascii="微软雅黑" w:hAnsi="微软雅黑" w:eastAsia="微软雅黑"/>
          <w:b/>
          <w:color w:val="1F4E79"/>
          <w:sz w:val="20"/>
        </w:rPr>
        <w:t>排序：</w:t>
      </w:r>
      <w:r>
        <w:rPr>
          <w:rFonts w:ascii="微软雅黑" w:hAnsi="微软雅黑" w:eastAsia="微软雅黑"/>
          <w:sz w:val="20"/>
        </w:rPr>
        <w:t>填写数字排序值，用于控制音乐在列表或前台播放器中的排列位置。数字规则以页面实际排序口径为准，保存后应回到列表确认顺序是否符合预期。</w:t>
      </w:r>
    </w:p>
    <w:p w14:paraId="7609770D">
      <w:pPr>
        <w:pStyle w:val="16"/>
      </w:pPr>
      <w:r>
        <w:rPr>
          <w:rFonts w:ascii="微软雅黑" w:hAnsi="微软雅黑" w:eastAsia="微软雅黑"/>
          <w:b/>
          <w:color w:val="1F4E79"/>
          <w:sz w:val="20"/>
        </w:rPr>
        <w:t>音乐文件：</w:t>
      </w:r>
      <w:r>
        <w:rPr>
          <w:rFonts w:ascii="微软雅黑" w:hAnsi="微软雅黑" w:eastAsia="微软雅黑"/>
          <w:sz w:val="20"/>
        </w:rPr>
        <w:t>点击“上传歌曲”选择本地 MP3 文件。页面提示文件需为 MP3 格式且小于 10240KB；超过限制或格式不符时应重新压缩或转换后再上传。</w:t>
      </w:r>
    </w:p>
    <w:p w14:paraId="3D185126">
      <w:pPr>
        <w:pStyle w:val="16"/>
      </w:pPr>
      <w:r>
        <w:rPr>
          <w:rFonts w:ascii="微软雅黑" w:hAnsi="微软雅黑" w:eastAsia="微软雅黑"/>
          <w:b/>
          <w:color w:val="1F4E79"/>
          <w:sz w:val="20"/>
        </w:rPr>
        <w:t>提交与取消：</w:t>
      </w:r>
      <w:r>
        <w:rPr>
          <w:rFonts w:ascii="微软雅黑" w:hAnsi="微软雅黑" w:eastAsia="微软雅黑"/>
          <w:sz w:val="20"/>
        </w:rPr>
        <w:t>点击“提交”保存新增音乐并回到列表；点击“取消”或右上角关闭不会保存本次填写内容。提交后应检查列表中歌曲名称、大小、源文件地址和启用状态是否正常。</w:t>
      </w:r>
    </w:p>
    <w:p w14:paraId="6FEEF14C">
      <w:pPr>
        <w:pStyle w:val="6"/>
      </w:pPr>
      <w:r>
        <w:rPr>
          <w:rFonts w:ascii="微软雅黑" w:hAnsi="微软雅黑" w:eastAsia="微软雅黑"/>
          <w:b/>
          <w:color w:val="1F4E79"/>
          <w:sz w:val="21"/>
        </w:rPr>
        <w:t>修改、停用与删除</w:t>
      </w:r>
    </w:p>
    <w:p w14:paraId="65148321">
      <w:pPr>
        <w:pStyle w:val="16"/>
      </w:pPr>
      <w:r>
        <w:rPr>
          <w:rFonts w:ascii="微软雅黑" w:hAnsi="微软雅黑" w:eastAsia="微软雅黑"/>
          <w:b/>
          <w:color w:val="1F4E79"/>
          <w:sz w:val="20"/>
        </w:rPr>
        <w:t>修改音乐：</w:t>
      </w:r>
      <w:r>
        <w:rPr>
          <w:rFonts w:ascii="微软雅黑" w:hAnsi="微软雅黑" w:eastAsia="微软雅黑"/>
          <w:sz w:val="20"/>
        </w:rPr>
        <w:t>在列表操作列点击“修改”，进入编辑弹窗后可调整歌曲名称、排序或重新上传源文件。替换文件前应确认新文件试听正常、大小符合限制，并避免误覆盖线上正在使用的曲目。</w:t>
      </w:r>
    </w:p>
    <w:p w14:paraId="311B272F">
      <w:pPr>
        <w:pStyle w:val="16"/>
      </w:pPr>
      <w:r>
        <w:rPr>
          <w:rFonts w:ascii="微软雅黑" w:hAnsi="微软雅黑" w:eastAsia="微软雅黑"/>
          <w:b/>
          <w:color w:val="1F4E79"/>
          <w:sz w:val="20"/>
        </w:rPr>
        <w:t>启用或停用单曲：</w:t>
      </w:r>
      <w:r>
        <w:rPr>
          <w:rFonts w:ascii="微软雅黑" w:hAnsi="微软雅黑" w:eastAsia="微软雅黑"/>
          <w:sz w:val="20"/>
        </w:rPr>
        <w:t>通过列表“停/启用”开关控制单首音乐状态。批量调整多首音乐前，应先确认全局音乐开关处于预期状态，否则单曲启用后用户侧也可能无法播放。</w:t>
      </w:r>
    </w:p>
    <w:p w14:paraId="2BF71BFB">
      <w:pPr>
        <w:pStyle w:val="16"/>
      </w:pPr>
      <w:r>
        <w:rPr>
          <w:rFonts w:ascii="微软雅黑" w:hAnsi="微软雅黑" w:eastAsia="微软雅黑"/>
          <w:b/>
          <w:color w:val="1F4E79"/>
          <w:sz w:val="20"/>
        </w:rPr>
        <w:t>删除音乐：</w:t>
      </w:r>
      <w:r>
        <w:rPr>
          <w:rFonts w:ascii="微软雅黑" w:hAnsi="微软雅黑" w:eastAsia="微软雅黑"/>
          <w:sz w:val="20"/>
        </w:rPr>
        <w:t>点击“删除”移除曲目。删除属于高影响操作，执行前应确认该歌曲不再用于前台播放、活动配置或运营素材；误删后通常需要重新上传文件并重新配置排序。</w:t>
      </w:r>
    </w:p>
    <w:p w14:paraId="498D47D5">
      <w:pPr>
        <w:pStyle w:val="6"/>
      </w:pPr>
      <w:r>
        <w:rPr>
          <w:rFonts w:ascii="微软雅黑" w:hAnsi="微软雅黑" w:eastAsia="微软雅黑"/>
          <w:b/>
          <w:color w:val="1F4E79"/>
          <w:sz w:val="21"/>
        </w:rPr>
        <w:t>注意事项</w:t>
      </w:r>
    </w:p>
    <w:p w14:paraId="375B3F5E">
      <w:pPr>
        <w:pStyle w:val="16"/>
      </w:pPr>
      <w:r>
        <w:rPr>
          <w:rFonts w:ascii="微软雅黑" w:hAnsi="微软雅黑" w:eastAsia="微软雅黑"/>
          <w:sz w:val="20"/>
        </w:rPr>
        <w:t>音乐文件会影响用户侧加载和播放体验，建议控制文件大小、音量和时长，避免上传过大的 MP3 或音质异常文件。</w:t>
      </w:r>
    </w:p>
    <w:p w14:paraId="1F7029F1">
      <w:pPr>
        <w:pStyle w:val="16"/>
      </w:pPr>
      <w:r>
        <w:rPr>
          <w:rFonts w:ascii="微软雅黑" w:hAnsi="微软雅黑" w:eastAsia="微软雅黑"/>
          <w:sz w:val="20"/>
        </w:rPr>
        <w:t>新增或修改后应在前台对应入口做一次播放验证，重点检查播放器是否展示、歌曲是否能正常加载、切换曲目是否顺畅，以及关闭音乐开关后用户侧入口是否按预期隐藏。</w:t>
      </w:r>
    </w:p>
    <w:p w14:paraId="00489EA7">
      <w:pPr>
        <w:pStyle w:val="3"/>
        <w:keepNext/>
        <w:spacing w:before="360" w:after="240" w:line="276" w:lineRule="auto"/>
      </w:pPr>
      <w:r>
        <w:rPr>
          <w:rFonts w:ascii="微软雅黑" w:hAnsi="微软雅黑" w:eastAsia="微软雅黑"/>
          <w:b/>
          <w:color w:val="17365D"/>
          <w:sz w:val="40"/>
        </w:rPr>
        <w:t>五、运营中心</w:t>
      </w:r>
    </w:p>
    <w:p w14:paraId="243C499A">
      <w:pPr>
        <w:pStyle w:val="4"/>
        <w:keepNext/>
        <w:spacing w:before="240" w:after="140" w:line="269" w:lineRule="auto"/>
      </w:pPr>
      <w:r>
        <w:rPr>
          <w:rFonts w:ascii="微软雅黑" w:hAnsi="微软雅黑" w:eastAsia="微软雅黑"/>
          <w:b/>
          <w:color w:val="1F4E79"/>
          <w:sz w:val="30"/>
        </w:rPr>
        <w:t>模块定位</w:t>
      </w:r>
    </w:p>
    <w:p w14:paraId="37FA3E10">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D4CFE54">
      <w:pPr>
        <w:pStyle w:val="4"/>
        <w:keepNext/>
        <w:spacing w:before="240" w:after="140" w:line="269" w:lineRule="auto"/>
      </w:pPr>
      <w:r>
        <w:rPr>
          <w:rFonts w:ascii="微软雅黑" w:hAnsi="微软雅黑" w:eastAsia="微软雅黑"/>
          <w:b/>
          <w:color w:val="1F4E79"/>
          <w:sz w:val="30"/>
        </w:rPr>
        <w:t>页面说明</w:t>
      </w:r>
    </w:p>
    <w:p w14:paraId="0E329C96">
      <w:pPr>
        <w:pStyle w:val="5"/>
        <w:keepNext/>
        <w:spacing w:before="180" w:after="100" w:line="259" w:lineRule="auto"/>
      </w:pPr>
      <w:r>
        <w:rPr>
          <w:rFonts w:ascii="微软雅黑" w:hAnsi="微软雅黑" w:eastAsia="微软雅黑"/>
          <w:b/>
          <w:color w:val="2F5597"/>
          <w:sz w:val="25"/>
        </w:rPr>
        <w:t>站点维护管理</w:t>
      </w:r>
    </w:p>
    <w:p>
      <w:pPr>
        <w:pStyle w:val="16"/>
        <w:spacing w:after="60" w:line="276" w:lineRule="auto"/>
      </w:pPr>
      <w:r>
        <w:rPr>
          <w:rFonts w:ascii="微软雅黑" w:hAnsi="微软雅黑" w:eastAsia="微软雅黑"/>
          <w:b/>
          <w:color w:val="2F5597"/>
          <w:sz w:val="20"/>
        </w:rPr>
        <w:t>站点维护管理</w:t>
      </w:r>
      <w:r>
        <w:rPr>
          <w:rFonts w:ascii="微软雅黑" w:hAnsi="微软雅黑" w:eastAsia="微软雅黑"/>
          <w:b w:val="0"/>
          <w:sz w:val="20"/>
        </w:rPr>
        <w:t>：用于设置站点维护状态、维护时间和前台提示内容。</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：查看维护配置，新增或编辑维护计划，启用、停用维护状态。</w:t>
      </w:r>
    </w:p>
    <w:p>
      <w:pPr>
        <w:pStyle w:val="16"/>
        <w:spacing w:after="60" w:line="276" w:lineRule="auto"/>
      </w:pPr>
      <w:r>
        <w:rPr>
          <w:rFonts w:ascii="微软雅黑" w:hAnsi="微软雅黑" w:eastAsia="微软雅黑"/>
          <w:b/>
          <w:color w:val="2F5597"/>
          <w:sz w:val="20"/>
        </w:rPr>
        <w:t>保存前检查</w:t>
      </w:r>
      <w:r>
        <w:rPr>
          <w:rFonts w:ascii="微软雅黑" w:hAnsi="微软雅黑" w:eastAsia="微软雅黑"/>
          <w:b w:val="0"/>
          <w:sz w:val="20"/>
        </w:rPr>
        <w:t>：保存前确认维护时间、影响站点和提示文案，避免误影响正常访问。</w:t>
      </w:r>
    </w:p>
    <w:p w14:paraId="59F87390">
      <w:pPr>
        <w:pStyle w:val="5"/>
        <w:keepNext/>
        <w:spacing w:before="180" w:after="100" w:line="259" w:lineRule="auto"/>
      </w:pPr>
      <w:r>
        <w:rPr>
          <w:rFonts w:ascii="微软雅黑" w:hAnsi="微软雅黑" w:eastAsia="微软雅黑"/>
          <w:b/>
          <w:color w:val="2F5597"/>
          <w:sz w:val="25"/>
        </w:rPr>
        <w:t>平台公告</w:t>
      </w:r>
    </w:p>
    <w:p>
      <w:pPr>
        <w:spacing w:after="60" w:line="276" w:lineRule="auto"/>
      </w:pPr>
      <w:r>
        <w:rPr>
          <w:rFonts w:ascii="微软雅黑" w:hAnsi="微软雅黑" w:eastAsia="微软雅黑"/>
          <w:b w:val="0"/>
          <w:sz w:val="20"/>
        </w:rPr>
        <w:t>平台公告用于查看平台发布的公告、通知和站内消息。</w:t>
      </w:r>
    </w:p>
    <w:p>
      <w:pPr>
        <w:spacing w:after="40"/>
        <w:jc w:val="center"/>
      </w:pPr>
      <w:r>
        <w:drawing>
          <wp:inline xmlns:a="http://schemas.openxmlformats.org/drawingml/2006/main" xmlns:pic="http://schemas.openxmlformats.org/drawingml/2006/picture">
            <wp:extent cx="5943600" cy="2228850"/>
            <wp:docPr id="45" name="Picture 45"/>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943600" cy="2228850"/>
                    </a:xfrm>
                    <a:prstGeom prst="rect"/>
                  </pic:spPr>
                </pic:pic>
              </a:graphicData>
            </a:graphic>
          </wp:inline>
        </w:drawing>
      </w:r>
    </w:p>
    <w:p>
      <w:pPr>
        <w:pStyle w:val="15"/>
        <w:spacing w:after="120"/>
        <w:jc w:val="center"/>
      </w:pPr>
      <w:r>
        <w:rPr>
          <w:rFonts w:ascii="微软雅黑" w:hAnsi="微软雅黑" w:eastAsia="微软雅黑"/>
          <w:b w:val="0"/>
          <w:color w:val="707E92"/>
          <w:sz w:val="18"/>
        </w:rPr>
        <w:t>图：平台公告列表，用于查看公告通知和站内消息。</w:t>
      </w:r>
    </w:p>
    <w:p>
      <w:pPr>
        <w:pStyle w:val="16"/>
        <w:spacing w:after="60" w:line="276" w:lineRule="auto"/>
      </w:pPr>
      <w:r>
        <w:rPr>
          <w:rFonts w:ascii="微软雅黑" w:hAnsi="微软雅黑" w:eastAsia="微软雅黑"/>
          <w:b/>
          <w:color w:val="2F5597"/>
          <w:sz w:val="20"/>
        </w:rPr>
        <w:t>类型</w:t>
      </w:r>
      <w:r>
        <w:rPr>
          <w:rFonts w:ascii="微软雅黑" w:hAnsi="微软雅黑" w:eastAsia="微软雅黑"/>
          <w:b w:val="0"/>
          <w:sz w:val="20"/>
        </w:rPr>
        <w:t>：按平台公告、通知、短信、风控预警、站内信等类型筛选。</w:t>
      </w:r>
    </w:p>
    <w:p>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：输入标题关键字查询消息。</w:t>
      </w:r>
    </w:p>
    <w:p>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：按未读、已读筛选消息。</w:t>
      </w:r>
    </w:p>
    <w:p>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pPr>
        <w:pStyle w:val="16"/>
        <w:spacing w:after="60" w:line="276" w:lineRule="auto"/>
      </w:pPr>
      <w:r>
        <w:rPr>
          <w:rFonts w:ascii="微软雅黑" w:hAnsi="微软雅黑" w:eastAsia="微软雅黑"/>
          <w:b/>
          <w:color w:val="2F5597"/>
          <w:sz w:val="20"/>
        </w:rPr>
        <w:t>全部已读</w:t>
      </w:r>
      <w:r>
        <w:rPr>
          <w:rFonts w:ascii="微软雅黑" w:hAnsi="微软雅黑" w:eastAsia="微软雅黑"/>
          <w:b w:val="0"/>
          <w:sz w:val="20"/>
        </w:rPr>
        <w:t>：将当前未读消息批量标记为已读。</w:t>
      </w:r>
    </w:p>
    <w:p>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：展示类型、标题、时间、状态和操作入口。</w:t>
      </w:r>
    </w:p>
    <w:p>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：打开消息详情，查看完整标题和内容。</w:t>
      </w:r>
    </w:p>
    <w:p w14:paraId="74C9FC42">
      <w:pPr>
        <w:pStyle w:val="5"/>
        <w:keepNext/>
        <w:spacing w:before="180" w:after="100" w:line="259" w:lineRule="auto"/>
      </w:pPr>
      <w:r>
        <w:rPr>
          <w:rFonts w:ascii="微软雅黑" w:hAnsi="微软雅黑" w:eastAsia="微软雅黑"/>
          <w:b/>
          <w:color w:val="2F5597"/>
          <w:sz w:val="25"/>
        </w:rPr>
        <w:t>给平台提建议</w:t>
      </w:r>
    </w:p>
    <w:p>
      <w:pPr>
        <w:pStyle w:val="16"/>
        <w:spacing w:after="60" w:line="276" w:lineRule="auto"/>
      </w:pPr>
      <w:r>
        <w:rPr>
          <w:rFonts w:ascii="微软雅黑" w:hAnsi="微软雅黑" w:eastAsia="微软雅黑"/>
          <w:b/>
          <w:color w:val="2F5597"/>
          <w:sz w:val="20"/>
        </w:rPr>
        <w:t>给平台提建议</w:t>
      </w:r>
      <w:r>
        <w:rPr>
          <w:rFonts w:ascii="微软雅黑" w:hAnsi="微软雅黑" w:eastAsia="微软雅黑"/>
          <w:b w:val="0"/>
          <w:sz w:val="20"/>
        </w:rPr>
        <w:t>：用于向平台提交产品、运营或系统使用建议。</w:t>
      </w:r>
    </w:p>
    <w:p>
      <w:pPr>
        <w:pStyle w:val="16"/>
        <w:spacing w:after="60" w:line="276" w:lineRule="auto"/>
      </w:pPr>
      <w:r>
        <w:rPr>
          <w:rFonts w:ascii="微软雅黑" w:hAnsi="微软雅黑" w:eastAsia="微软雅黑"/>
          <w:b/>
          <w:color w:val="2F5597"/>
          <w:sz w:val="20"/>
        </w:rPr>
        <w:t>查看内容</w:t>
      </w:r>
      <w:r>
        <w:rPr>
          <w:rFonts w:ascii="微软雅黑" w:hAnsi="微软雅黑" w:eastAsia="微软雅黑"/>
          <w:b w:val="0"/>
          <w:sz w:val="20"/>
        </w:rPr>
        <w:t>：填写建议标题、建议内容和联系方式，提交后在列表查看处理状态。</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：建议内容应描述具体问题、使用场景和期望结果，便于平台跟进。</w:t>
      </w:r>
    </w:p>
    <w:p w14:paraId="239E6456">
      <w:pPr>
        <w:pStyle w:val="5"/>
        <w:keepNext/>
        <w:spacing w:before="180" w:after="100" w:line="259" w:lineRule="auto"/>
      </w:pPr>
      <w:r>
        <w:rPr>
          <w:rFonts w:ascii="微软雅黑" w:hAnsi="微软雅黑" w:eastAsia="微软雅黑"/>
          <w:b/>
          <w:color w:val="2F5597"/>
          <w:sz w:val="25"/>
        </w:rPr>
        <w:t>会员投诉列表</w:t>
      </w:r>
    </w:p>
    <w:p>
      <w:pPr>
        <w:pStyle w:val="16"/>
        <w:spacing w:after="60" w:line="276" w:lineRule="auto"/>
      </w:pPr>
      <w:r>
        <w:rPr>
          <w:rFonts w:ascii="微软雅黑" w:hAnsi="微软雅黑" w:eastAsia="微软雅黑"/>
          <w:b/>
          <w:color w:val="2F5597"/>
          <w:sz w:val="20"/>
        </w:rPr>
        <w:t>会员投诉列表</w:t>
      </w:r>
      <w:r>
        <w:rPr>
          <w:rFonts w:ascii="微软雅黑" w:hAnsi="微软雅黑" w:eastAsia="微软雅黑"/>
          <w:b w:val="0"/>
          <w:sz w:val="20"/>
        </w:rPr>
        <w:t>：用于查看玩家提交的投诉、意见和处理状态。</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：按会员、状态或时间筛选投诉，查看详情并记录处理结果。</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：处理投诉前先核对会员账号、问题类型和相关订单或活动记录。</w:t>
      </w:r>
    </w:p>
    <w:p w14:paraId="03EC7769">
      <w:pPr>
        <w:pStyle w:val="5"/>
        <w:keepNext/>
        <w:spacing w:before="180" w:after="100" w:line="259" w:lineRule="auto"/>
      </w:pPr>
      <w:r>
        <w:rPr>
          <w:rFonts w:ascii="微软雅黑" w:hAnsi="微软雅黑" w:eastAsia="微软雅黑"/>
          <w:b/>
          <w:color w:val="2F5597"/>
          <w:sz w:val="25"/>
        </w:rPr>
        <w:t>消息推送</w:t>
      </w:r>
    </w:p>
    <w:p>
      <w:pPr>
        <w:spacing w:after="60" w:line="276" w:lineRule="auto"/>
      </w:pPr>
      <w:r>
        <w:rPr>
          <w:rFonts w:ascii="微软雅黑" w:hAnsi="微软雅黑" w:eastAsia="微软雅黑"/>
          <w:b w:val="0"/>
          <w:sz w:val="20"/>
        </w:rPr>
        <w:t>消息推送用于创建和管理面向玩家展示的消息、公告和跑马灯。</w:t>
      </w:r>
    </w:p>
    <w:p>
      <w:pPr>
        <w:spacing w:after="40"/>
        <w:jc w:val="center"/>
      </w:pPr>
      <w:r>
        <w:drawing>
          <wp:inline xmlns:a="http://schemas.openxmlformats.org/drawingml/2006/main" xmlns:pic="http://schemas.openxmlformats.org/drawingml/2006/picture">
            <wp:extent cx="5943600" cy="2515149"/>
            <wp:docPr id="46" name="Picture 46"/>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943600" cy="2515149"/>
                    </a:xfrm>
                    <a:prstGeom prst="rect"/>
                  </pic:spPr>
                </pic:pic>
              </a:graphicData>
            </a:graphic>
          </wp:inline>
        </w:drawing>
      </w:r>
    </w:p>
    <w:p>
      <w:pPr>
        <w:pStyle w:val="15"/>
        <w:spacing w:after="120"/>
        <w:jc w:val="center"/>
      </w:pPr>
      <w:r>
        <w:rPr>
          <w:rFonts w:ascii="微软雅黑" w:hAnsi="微软雅黑" w:eastAsia="微软雅黑"/>
          <w:b w:val="0"/>
          <w:color w:val="707E92"/>
          <w:sz w:val="18"/>
        </w:rPr>
        <w:t>图：消息推送列表，用于管理消息、公告和跑马灯。</w:t>
      </w:r>
    </w:p>
    <w:p>
      <w:pPr>
        <w:pStyle w:val="16"/>
        <w:spacing w:after="60" w:line="276" w:lineRule="auto"/>
      </w:pPr>
      <w:r>
        <w:rPr>
          <w:rFonts w:ascii="微软雅黑" w:hAnsi="微软雅黑" w:eastAsia="微软雅黑"/>
          <w:b/>
          <w:color w:val="2F5597"/>
          <w:sz w:val="20"/>
        </w:rPr>
        <w:t>消息类型</w:t>
      </w:r>
      <w:r>
        <w:rPr>
          <w:rFonts w:ascii="微软雅黑" w:hAnsi="微软雅黑" w:eastAsia="微软雅黑"/>
          <w:b w:val="0"/>
          <w:sz w:val="20"/>
        </w:rPr>
        <w:t>：按消息、公告、跑马灯筛选记录。</w:t>
      </w:r>
    </w:p>
    <w:p>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：按未开始、已发送、已结束、已撤回筛选。</w:t>
      </w:r>
    </w:p>
    <w:p>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：输入标题关键字查询推送内容。</w:t>
      </w:r>
    </w:p>
    <w:p>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：打开新增弹窗，配置消息类型、弹窗频次、收件人、标题、显示内容、发送时间和结束时间。</w:t>
      </w:r>
    </w:p>
    <w:p>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：展示消息编号、标题、消息类型、收件人、发送时间、结束时间、状态、操作人和操作时间。</w:t>
      </w:r>
    </w:p>
    <w:p>
      <w:pPr>
        <w:pStyle w:val="16"/>
        <w:spacing w:after="60" w:line="276" w:lineRule="auto"/>
      </w:pPr>
      <w:r>
        <w:rPr>
          <w:rFonts w:ascii="微软雅黑" w:hAnsi="微软雅黑" w:eastAsia="微软雅黑"/>
          <w:b/>
          <w:color w:val="2F5597"/>
          <w:sz w:val="20"/>
        </w:rPr>
        <w:t>详情</w:t>
      </w:r>
      <w:r>
        <w:rPr>
          <w:rFonts w:ascii="微软雅黑" w:hAnsi="微软雅黑" w:eastAsia="微软雅黑"/>
          <w:b w:val="0"/>
          <w:sz w:val="20"/>
        </w:rPr>
        <w:t>：查看单条推送的完整配置和内容。</w:t>
      </w:r>
    </w:p>
    <w:p>
      <w:pPr>
        <w:pStyle w:val="16"/>
        <w:spacing w:after="60" w:line="276" w:lineRule="auto"/>
      </w:pPr>
      <w:r>
        <w:rPr>
          <w:rFonts w:ascii="微软雅黑" w:hAnsi="微软雅黑" w:eastAsia="微软雅黑"/>
          <w:b/>
          <w:color w:val="2F5597"/>
          <w:sz w:val="20"/>
        </w:rPr>
        <w:t>撤回</w:t>
      </w:r>
      <w:r>
        <w:rPr>
          <w:rFonts w:ascii="微软雅黑" w:hAnsi="微软雅黑" w:eastAsia="微软雅黑"/>
          <w:b w:val="0"/>
          <w:sz w:val="20"/>
        </w:rPr>
        <w:t>：对已发送或需下线的推送执行撤回。</w:t>
      </w:r>
    </w:p>
    <w:p w14:paraId="1CDEBA92">
      <w:pPr>
        <w:pStyle w:val="5"/>
        <w:keepNext/>
        <w:spacing w:before="180" w:after="100" w:line="259" w:lineRule="auto"/>
      </w:pPr>
      <w:r>
        <w:rPr>
          <w:rFonts w:ascii="微软雅黑" w:hAnsi="微软雅黑" w:eastAsia="微软雅黑"/>
          <w:b/>
          <w:color w:val="2F5597"/>
          <w:sz w:val="21"/>
        </w:rPr>
        <w:t>宣传管理</w:t>
      </w:r>
    </w:p>
    <w:p>
      <w:pPr>
        <w:spacing w:after="60" w:line="276" w:lineRule="auto"/>
      </w:pPr>
      <w:r>
        <w:rPr>
          <w:rFonts w:ascii="微软雅黑" w:hAnsi="微软雅黑" w:eastAsia="微软雅黑"/>
          <w:b w:val="0"/>
          <w:sz w:val="20"/>
        </w:rPr>
        <w:t>宣传管理用于维护站点大厅 Banner 等宣传素材的展示顺序、展示图片和跳转内容，是运营统一配置首页宣传位的入口。新增、修改或删除宣传内容后，会直接影响前台宣传位展示，提交前应复核图片规格、跳转目标、活动有效期和排序结果。</w:t>
      </w:r>
    </w:p>
    <w:p>
      <w:pPr>
        <w:spacing w:after="20"/>
        <w:jc w:val="center"/>
      </w:pPr>
      <w:r>
        <w:rPr>
          <w:rFonts w:ascii="微软雅黑" w:hAnsi="微软雅黑" w:eastAsia="微软雅黑"/>
          <w:b w:val="0"/>
          <w:color w:val="707E92"/>
          <w:sz w:val="20"/>
        </w:rPr>
        <w:t>[图片]</w:t>
      </w:r>
    </w:p>
    <w:p>
      <w:pPr>
        <w:pStyle w:val="15"/>
        <w:spacing w:after="120"/>
        <w:jc w:val="center"/>
      </w:pPr>
      <w:r>
        <w:rPr>
          <w:rFonts w:ascii="微软雅黑" w:hAnsi="微软雅黑" w:eastAsia="微软雅黑"/>
          <w:b w:val="0"/>
          <w:color w:val="707E92"/>
          <w:sz w:val="18"/>
        </w:rPr>
        <w:t>图：宣传管理列表页面，用于查看宣传记录、筛选条件和行内操作。</w:t>
      </w:r>
    </w:p>
    <w:p>
      <w:pPr>
        <w:pStyle w:val="16"/>
        <w:spacing w:after="60" w:line="276" w:lineRule="auto"/>
      </w:pPr>
      <w:r>
        <w:rPr>
          <w:rFonts w:ascii="微软雅黑" w:hAnsi="微软雅黑" w:eastAsia="微软雅黑"/>
          <w:b/>
          <w:color w:val="2F5597"/>
          <w:sz w:val="20"/>
        </w:rPr>
        <w:t>页面操作</w:t>
      </w:r>
      <w:r>
        <w:rPr>
          <w:rFonts w:ascii="微软雅黑" w:hAnsi="微软雅黑" w:eastAsia="微软雅黑"/>
          <w:b w:val="0"/>
          <w:sz w:val="20"/>
        </w:rPr>
        <w:t>：页面顶部提供宣传类型筛选、搜索、重置和新增入口，适合先按宣传类型定位目标宣传位，再执行维护操作。</w:t>
      </w:r>
    </w:p>
    <w:p>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：选择宣传类型后点击“搜索”刷新列表；点击“重置”可清空筛选条件并恢复全部记录。</w:t>
      </w:r>
    </w:p>
    <w:p>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：列表展示排序、类型、宣传图、路径链接、创建时间和操作等信息，便于快速确认当前展示内容。</w:t>
      </w:r>
    </w:p>
    <w:p>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：排序值通常用于控制前台展示顺序，数值越小越靠前；调整排序后应结合前台展示位再次核对实际顺序。</w:t>
      </w:r>
    </w:p>
    <w:p>
      <w:pPr>
        <w:pStyle w:val="16"/>
        <w:spacing w:after="60" w:line="276" w:lineRule="auto"/>
      </w:pPr>
      <w:r>
        <w:rPr>
          <w:rFonts w:ascii="微软雅黑" w:hAnsi="微软雅黑" w:eastAsia="微软雅黑"/>
          <w:b/>
          <w:color w:val="2F5597"/>
          <w:sz w:val="20"/>
        </w:rPr>
        <w:t>路径链接</w:t>
      </w:r>
      <w:r>
        <w:rPr>
          <w:rFonts w:ascii="微软雅黑" w:hAnsi="微软雅黑" w:eastAsia="微软雅黑"/>
          <w:b w:val="0"/>
          <w:sz w:val="20"/>
        </w:rPr>
        <w:t>：列表中的路径链接用于显示当前宣传图对应的跳转目标，常见内容包括无、外部链接、活动、返水、代理和 VIP 等。</w:t>
      </w:r>
    </w:p>
    <w:p>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：点击“修改”可进入编辑弹窗，调整宣传类型、宣传图片、跳转类型、活动或外部链接以及排序。</w:t>
      </w:r>
    </w:p>
    <w:p>
      <w:pPr>
        <w:pStyle w:val="16"/>
        <w:spacing w:after="60" w:line="276" w:lineRule="auto"/>
      </w:pPr>
      <w:r>
        <w:rPr>
          <w:rFonts w:ascii="微软雅黑" w:hAnsi="微软雅黑" w:eastAsia="微软雅黑"/>
          <w:b/>
          <w:color w:val="2F5597"/>
          <w:sz w:val="20"/>
        </w:rPr>
        <w:t>删除</w:t>
      </w:r>
      <w:r>
        <w:rPr>
          <w:rFonts w:ascii="微软雅黑" w:hAnsi="微软雅黑" w:eastAsia="微软雅黑"/>
          <w:b w:val="0"/>
          <w:sz w:val="20"/>
        </w:rPr>
        <w:t>：点击“删除”可移除当前宣传记录。删除前应确认该宣传位已下线或已有替代素材，避免前台出现空白宣传位。</w:t>
      </w:r>
    </w:p>
    <w:p>
      <w:pPr>
        <w:spacing w:after="20"/>
        <w:jc w:val="center"/>
      </w:pPr>
      <w:r>
        <w:rPr>
          <w:rFonts w:ascii="微软雅黑" w:hAnsi="微软雅黑" w:eastAsia="微软雅黑"/>
          <w:b w:val="0"/>
          <w:color w:val="707E92"/>
          <w:sz w:val="20"/>
        </w:rPr>
        <w:t>[图片]</w:t>
      </w:r>
    </w:p>
    <w:p>
      <w:pPr>
        <w:pStyle w:val="15"/>
        <w:spacing w:after="120"/>
        <w:jc w:val="center"/>
      </w:pPr>
      <w:r>
        <w:rPr>
          <w:rFonts w:ascii="微软雅黑" w:hAnsi="微软雅黑" w:eastAsia="微软雅黑"/>
          <w:b w:val="0"/>
          <w:color w:val="707E92"/>
          <w:sz w:val="18"/>
        </w:rPr>
        <w:t>图：宣传管理新增弹窗，用于配置宣传类型、上传宣传图片和设置跳转内容。</w:t>
      </w:r>
    </w:p>
    <w:p>
      <w:pPr>
        <w:pStyle w:val="16"/>
        <w:spacing w:after="60" w:line="276" w:lineRule="auto"/>
      </w:pPr>
      <w:r>
        <w:rPr>
          <w:rFonts w:ascii="微软雅黑" w:hAnsi="微软雅黑" w:eastAsia="微软雅黑"/>
          <w:b/>
          <w:color w:val="2F5597"/>
          <w:sz w:val="20"/>
        </w:rPr>
        <w:t>宣传类型</w:t>
      </w:r>
      <w:r>
        <w:rPr>
          <w:rFonts w:ascii="微软雅黑" w:hAnsi="微软雅黑" w:eastAsia="微软雅黑"/>
          <w:b w:val="0"/>
          <w:sz w:val="20"/>
        </w:rPr>
        <w:t>：新增时应先选择宣传类型。不同宣传类型对应的图片尺寸要求可能不同，先选类型再上传图片可减少返工。</w:t>
      </w:r>
    </w:p>
    <w:p>
      <w:pPr>
        <w:pStyle w:val="16"/>
        <w:spacing w:after="60" w:line="276" w:lineRule="auto"/>
      </w:pPr>
      <w:r>
        <w:rPr>
          <w:rFonts w:ascii="微软雅黑" w:hAnsi="微软雅黑" w:eastAsia="微软雅黑"/>
          <w:b/>
          <w:color w:val="2F5597"/>
          <w:sz w:val="20"/>
        </w:rPr>
        <w:t>宣传图片</w:t>
      </w:r>
      <w:r>
        <w:rPr>
          <w:rFonts w:ascii="微软雅黑" w:hAnsi="微软雅黑" w:eastAsia="微软雅黑"/>
          <w:b w:val="0"/>
          <w:sz w:val="20"/>
        </w:rPr>
        <w:t>：宣传图片为核心展示素材，上传前应检查清晰度、比例和文案是否正确，避免出现裁切、拉伸或旧活动图未替换的情况。</w:t>
      </w:r>
    </w:p>
    <w:p>
      <w:pPr>
        <w:pStyle w:val="16"/>
        <w:spacing w:after="60" w:line="276" w:lineRule="auto"/>
      </w:pPr>
      <w:r>
        <w:rPr>
          <w:rFonts w:ascii="微软雅黑" w:hAnsi="微软雅黑" w:eastAsia="微软雅黑"/>
          <w:b/>
          <w:color w:val="2F5597"/>
          <w:sz w:val="20"/>
        </w:rPr>
        <w:t>跳转类型</w:t>
      </w:r>
      <w:r>
        <w:rPr>
          <w:rFonts w:ascii="微软雅黑" w:hAnsi="微软雅黑" w:eastAsia="微软雅黑"/>
          <w:b w:val="0"/>
          <w:sz w:val="20"/>
        </w:rPr>
        <w:t>：跳转类型支持无、外部链接、活动、返水、代理和 VIP 等配置，应按实际落地页面选择对应类型。</w:t>
      </w:r>
    </w:p>
    <w:p>
      <w:pPr>
        <w:pStyle w:val="16"/>
        <w:spacing w:after="60" w:line="276" w:lineRule="auto"/>
      </w:pPr>
      <w:r>
        <w:rPr>
          <w:rFonts w:ascii="微软雅黑" w:hAnsi="微软雅黑" w:eastAsia="微软雅黑"/>
          <w:b/>
          <w:color w:val="2F5597"/>
          <w:sz w:val="20"/>
        </w:rPr>
        <w:t>活动选择</w:t>
      </w:r>
      <w:r>
        <w:rPr>
          <w:rFonts w:ascii="微软雅黑" w:hAnsi="微软雅黑" w:eastAsia="微软雅黑"/>
          <w:b w:val="0"/>
          <w:sz w:val="20"/>
        </w:rPr>
        <w:t>：当跳转类型选择活动时，应从活动列表中选择对应活动，并确认活动状态、名称和有效期无误。</w:t>
      </w:r>
    </w:p>
    <w:p>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：当跳转类型选择外部链接时，应填写完整可访问地址，并检查是否能够正常打开目标页面。</w:t>
      </w:r>
    </w:p>
    <w:p>
      <w:pPr>
        <w:pStyle w:val="16"/>
        <w:spacing w:after="60" w:line="276" w:lineRule="auto"/>
      </w:pPr>
      <w:r>
        <w:rPr>
          <w:rFonts w:ascii="微软雅黑" w:hAnsi="微软雅黑" w:eastAsia="微软雅黑"/>
          <w:b/>
          <w:color w:val="2F5597"/>
          <w:sz w:val="20"/>
        </w:rPr>
        <w:t>排序设置</w:t>
      </w:r>
      <w:r>
        <w:rPr>
          <w:rFonts w:ascii="微软雅黑" w:hAnsi="微软雅黑" w:eastAsia="微软雅黑"/>
          <w:b w:val="0"/>
          <w:sz w:val="20"/>
        </w:rPr>
        <w:t>：弹窗中的排序字段用于维护当前宣传位的展示先后顺序，保存前应与同类宣传位统一核对。</w:t>
      </w:r>
    </w:p>
    <w:p>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：点击“确定”后保存本次新增或修改；点击“取消”或关闭弹窗会放弃当前未保存内容。</w:t>
      </w:r>
    </w:p>
    <w:p>
      <w:pPr>
        <w:pStyle w:val="16"/>
        <w:spacing w:after="60" w:line="276" w:lineRule="auto"/>
      </w:pPr>
      <w:r>
        <w:rPr>
          <w:rFonts w:ascii="微软雅黑" w:hAnsi="微软雅黑" w:eastAsia="微软雅黑"/>
          <w:b/>
          <w:color w:val="2F5597"/>
          <w:sz w:val="20"/>
        </w:rPr>
        <w:t>发布检查</w:t>
      </w:r>
      <w:r>
        <w:rPr>
          <w:rFonts w:ascii="微软雅黑" w:hAnsi="微软雅黑" w:eastAsia="微软雅黑"/>
          <w:b w:val="0"/>
          <w:sz w:val="20"/>
        </w:rPr>
        <w:t>：发布前重点检查宣传图片、跳转目标、活动配置、排序值和前台展示效果，避免出现图片正确但跳转错误的情况。</w:t>
      </w:r>
    </w:p>
    <w:p>
      <w:pPr>
        <w:pStyle w:val="16"/>
        <w:spacing w:after="60" w:line="276" w:lineRule="auto"/>
      </w:pPr>
      <w:r>
        <w:rPr>
          <w:rFonts w:ascii="微软雅黑" w:hAnsi="微软雅黑" w:eastAsia="微软雅黑"/>
          <w:b/>
          <w:color w:val="2F5597"/>
          <w:sz w:val="20"/>
        </w:rPr>
        <w:t>维护提示</w:t>
      </w:r>
      <w:r>
        <w:rPr>
          <w:rFonts w:ascii="微软雅黑" w:hAnsi="微软雅黑" w:eastAsia="微软雅黑"/>
          <w:b w:val="0"/>
          <w:sz w:val="20"/>
        </w:rPr>
        <w:t>：修改已上线宣传素材时，应同步关注相关活动、落地页和公告排期，确保前台宣传内容与实际运营安排一致。</w:t>
      </w:r>
    </w:p>
    <w:p w14:paraId="49D66ED6">
      <w:pPr>
        <w:pStyle w:val="5"/>
        <w:keepNext/>
        <w:spacing w:before="180" w:after="100" w:line="259" w:lineRule="auto"/>
      </w:pPr>
      <w:r>
        <w:rPr>
          <w:rFonts w:ascii="微软雅黑" w:hAnsi="微软雅黑" w:eastAsia="微软雅黑"/>
          <w:b/>
          <w:color w:val="2F5597"/>
          <w:sz w:val="25"/>
        </w:rPr>
        <w:t>客服中心</w:t>
      </w:r>
    </w:p>
    <w:p>
      <w:pPr>
        <w:spacing w:after="60" w:line="276" w:lineRule="auto"/>
      </w:pPr>
      <w:r>
        <w:rPr>
          <w:rFonts w:ascii="微软雅黑" w:hAnsi="微软雅黑" w:eastAsia="微软雅黑"/>
          <w:b w:val="0"/>
          <w:sz w:val="20"/>
        </w:rPr>
        <w:t>客服中心用于接待会员咨询、处理在线会话和跟进待回复问题，是客服日常处理用户沟通的主要页面。</w:t>
      </w:r>
    </w:p>
    <w:p>
      <w:pPr>
        <w:spacing w:after="40"/>
        <w:jc w:val="center"/>
      </w:pPr>
      <w:r>
        <w:drawing>
          <wp:inline xmlns:a="http://schemas.openxmlformats.org/drawingml/2006/main" xmlns:pic="http://schemas.openxmlformats.org/drawingml/2006/picture">
            <wp:extent cx="5897880" cy="2737294"/>
            <wp:docPr id="47" name="Picture 47"/>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897880" cy="2737294"/>
                    </a:xfrm>
                    <a:prstGeom prst="rect"/>
                  </pic:spPr>
                </pic:pic>
              </a:graphicData>
            </a:graphic>
          </wp:inline>
        </w:drawing>
      </w:r>
    </w:p>
    <w:p>
      <w:pPr>
        <w:pStyle w:val="15"/>
        <w:spacing w:after="120"/>
        <w:jc w:val="center"/>
      </w:pPr>
      <w:r>
        <w:rPr>
          <w:rFonts w:ascii="微软雅黑" w:hAnsi="微软雅黑" w:eastAsia="微软雅黑"/>
          <w:b w:val="0"/>
          <w:color w:val="707E92"/>
          <w:sz w:val="18"/>
        </w:rPr>
        <w:t>图：客服中心页面，用于查看会话队列、接入会员咨询并发送客服回复。</w:t>
      </w:r>
    </w:p>
    <w:p>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：左侧展示当前会话、排队数量、搜索框和自动接待开关，可先从队列或搜索结果中定位目标会员。</w:t>
      </w:r>
    </w:p>
    <w:p>
      <w:pPr>
        <w:pStyle w:val="16"/>
        <w:spacing w:after="60" w:line="276" w:lineRule="auto"/>
      </w:pPr>
      <w:r>
        <w:rPr>
          <w:rFonts w:ascii="微软雅黑" w:hAnsi="微软雅黑" w:eastAsia="微软雅黑"/>
          <w:b/>
          <w:color w:val="2F5597"/>
          <w:sz w:val="20"/>
        </w:rPr>
        <w:t>搜索</w:t>
      </w:r>
      <w:r>
        <w:rPr>
          <w:rFonts w:ascii="微软雅黑" w:hAnsi="微软雅黑" w:eastAsia="微软雅黑"/>
          <w:b w:val="0"/>
          <w:sz w:val="20"/>
        </w:rPr>
        <w:t>：支持按会员昵称、ID 或标签快速筛选会话，适合同时处理多位会员时快速切换。</w:t>
      </w:r>
    </w:p>
    <w:p>
      <w:pPr>
        <w:pStyle w:val="16"/>
        <w:spacing w:after="60" w:line="276" w:lineRule="auto"/>
      </w:pPr>
      <w:r>
        <w:rPr>
          <w:rFonts w:ascii="微软雅黑" w:hAnsi="微软雅黑" w:eastAsia="微软雅黑"/>
          <w:b/>
          <w:color w:val="2F5597"/>
          <w:sz w:val="20"/>
        </w:rPr>
        <w:t>自动接待</w:t>
      </w:r>
      <w:r>
        <w:rPr>
          <w:rFonts w:ascii="微软雅黑" w:hAnsi="微软雅黑" w:eastAsia="微软雅黑"/>
          <w:b w:val="0"/>
          <w:sz w:val="20"/>
        </w:rPr>
        <w:t>：用于控制是否自动接入新会话；开启前先确认当前客服处理量，避免接入后回复不及时。</w:t>
      </w:r>
    </w:p>
    <w:p>
      <w:pPr>
        <w:pStyle w:val="16"/>
        <w:spacing w:after="60" w:line="276" w:lineRule="auto"/>
      </w:pPr>
      <w:r>
        <w:rPr>
          <w:rFonts w:ascii="微软雅黑" w:hAnsi="微软雅黑" w:eastAsia="微软雅黑"/>
          <w:b/>
          <w:color w:val="2F5597"/>
          <w:sz w:val="20"/>
        </w:rPr>
        <w:t>聊天工作区</w:t>
      </w:r>
      <w:r>
        <w:rPr>
          <w:rFonts w:ascii="微软雅黑" w:hAnsi="微软雅黑" w:eastAsia="微软雅黑"/>
          <w:b w:val="0"/>
          <w:sz w:val="20"/>
        </w:rPr>
        <w:t>：右侧显示当前会话的会员信息、聊天记录、标签按钮、语言切换和消息输入区，用于集中完成沟通处理。</w:t>
      </w:r>
    </w:p>
    <w:p>
      <w:pPr>
        <w:pStyle w:val="16"/>
        <w:spacing w:after="60" w:line="276" w:lineRule="auto"/>
      </w:pPr>
      <w:r>
        <w:rPr>
          <w:rFonts w:ascii="微软雅黑" w:hAnsi="微软雅黑" w:eastAsia="微软雅黑"/>
          <w:b/>
          <w:color w:val="2F5597"/>
          <w:sz w:val="20"/>
        </w:rPr>
        <w:t>发送回复</w:t>
      </w:r>
      <w:r>
        <w:rPr>
          <w:rFonts w:ascii="微软雅黑" w:hAnsi="微软雅黑" w:eastAsia="微软雅黑"/>
          <w:b w:val="0"/>
          <w:sz w:val="20"/>
        </w:rPr>
        <w:t>：确认当前选中的会话后，在底部输入内容并发送；涉及订单、活动、充值提现等问题时，先到对应页面核对再回复结果。</w:t>
      </w:r>
    </w:p>
    <w:p>
      <w:pPr>
        <w:pStyle w:val="16"/>
        <w:spacing w:after="60" w:line="276" w:lineRule="auto"/>
      </w:pPr>
      <w:r>
        <w:rPr>
          <w:rFonts w:ascii="微软雅黑" w:hAnsi="微软雅黑" w:eastAsia="微软雅黑"/>
          <w:b/>
          <w:color w:val="2F5597"/>
          <w:sz w:val="20"/>
        </w:rPr>
        <w:t>工具入口</w:t>
      </w:r>
      <w:r>
        <w:rPr>
          <w:rFonts w:ascii="微软雅黑" w:hAnsi="微软雅黑" w:eastAsia="微软雅黑"/>
          <w:b w:val="0"/>
          <w:sz w:val="20"/>
        </w:rPr>
        <w:t>：可结合附件、表情或快捷用语提高回复效率，但发送前仍需按当前问题补充实际处理进度。</w:t>
      </w:r>
    </w:p>
    <w:p>
      <w:pPr>
        <w:pStyle w:val="16"/>
        <w:spacing w:after="60" w:line="276" w:lineRule="auto"/>
      </w:pPr>
      <w:r>
        <w:rPr>
          <w:rFonts w:ascii="微软雅黑" w:hAnsi="微软雅黑" w:eastAsia="微软雅黑"/>
          <w:b/>
          <w:color w:val="2F5597"/>
          <w:sz w:val="20"/>
        </w:rPr>
        <w:t>问题跟进</w:t>
      </w:r>
      <w:r>
        <w:rPr>
          <w:rFonts w:ascii="微软雅黑" w:hAnsi="微软雅黑" w:eastAsia="微软雅黑"/>
          <w:b w:val="0"/>
          <w:sz w:val="20"/>
        </w:rPr>
        <w:t>：问题处理完成后可继续在当前会话反馈结果；如涉及风控、财务或人工审核，需说明已转交并保留会话记录便于跟进。</w:t>
      </w:r>
    </w:p>
    <w:bookmarkEnd w:id="0"/>
    <w:p w14:paraId="353F86C3">
      <w:pPr>
        <w:pStyle w:val="5"/>
        <w:keepNext/>
        <w:spacing w:before="180" w:after="100" w:line="259" w:lineRule="auto"/>
      </w:pPr>
      <w:r>
        <w:rPr>
          <w:rFonts w:ascii="微软雅黑" w:hAnsi="微软雅黑" w:eastAsia="微软雅黑"/>
          <w:b/>
          <w:color w:val="2F5597"/>
          <w:sz w:val="25"/>
        </w:rPr>
        <w:t>任务中心</w:t>
      </w:r>
    </w:p>
    <w:p>
      <w:pPr>
        <w:spacing w:after="60" w:line="276" w:lineRule="auto"/>
      </w:pPr>
      <w:r>
        <w:rPr>
          <w:rFonts w:ascii="微软雅黑" w:hAnsi="微软雅黑" w:eastAsia="微软雅黑"/>
          <w:b w:val="0"/>
          <w:sz w:val="20"/>
        </w:rPr>
        <w:t>任务中心用于集中维护新人福利、每日任务、每周任务和活跃度宝箱。运营人员可在不同页签下配置任务门槛、奖励金额、奖励活跃度、任务说明、领取方式和启停状态，并通过规则设置统一维护打码倍数等公共参数。</w:t>
      </w:r>
    </w:p>
    <w:p>
      <w:pPr>
        <w:spacing w:after="40"/>
        <w:jc w:val="center"/>
      </w:pPr>
      <w:r>
        <w:drawing>
          <wp:inline xmlns:a="http://schemas.openxmlformats.org/drawingml/2006/main" xmlns:pic="http://schemas.openxmlformats.org/drawingml/2006/picture">
            <wp:extent cx="5897880" cy="2542445"/>
            <wp:docPr id="50" name="Picture 50"/>
            <wp:cNvGraphicFramePr>
              <a:graphicFrameLocks noChangeAspect="1"/>
            </wp:cNvGraphicFramePr>
            <a:graphic>
              <a:graphicData uri="http://schemas.openxmlformats.org/drawingml/2006/picture">
                <pic:pic>
                  <pic:nvPicPr>
                    <pic:cNvPr id="0" name="task-center-newbie-list.png"/>
                    <pic:cNvPicPr/>
                  </pic:nvPicPr>
                  <pic:blipFill>
                    <a:blip r:embed="rId48"/>
                    <a:stretch>
                      <a:fillRect/>
                    </a:stretch>
                  </pic:blipFill>
                  <pic:spPr>
                    <a:xfrm>
                      <a:off x="0" y="0"/>
                      <a:ext cx="5897880" cy="2542445"/>
                    </a:xfrm>
                    <a:prstGeom prst="rect"/>
                  </pic:spPr>
                </pic:pic>
              </a:graphicData>
            </a:graphic>
          </wp:inline>
        </w:drawing>
      </w:r>
    </w:p>
    <w:p>
      <w:pPr>
        <w:pStyle w:val="15"/>
        <w:spacing w:after="120"/>
        <w:jc w:val="center"/>
      </w:pPr>
      <w:r>
        <w:rPr>
          <w:rFonts w:ascii="微软雅黑" w:hAnsi="微软雅黑" w:eastAsia="微软雅黑"/>
          <w:b w:val="0"/>
          <w:color w:val="707E92"/>
          <w:sz w:val="18"/>
        </w:rPr>
        <w:t>图：任务中心页面的新人福利页签，用于维护新手任务奖励、领取方式和启停状态。</w:t>
      </w:r>
    </w:p>
    <w:p>
      <w:pPr>
        <w:pStyle w:val="6"/>
        <w:spacing w:after="100"/>
      </w:pPr>
      <w:r>
        <w:rPr>
          <w:rFonts w:ascii="微软雅黑" w:hAnsi="微软雅黑" w:eastAsia="微软雅黑"/>
          <w:b/>
          <w:color w:val="2F5597"/>
          <w:sz w:val="21"/>
        </w:rPr>
        <w:t>新人福利</w:t>
      </w:r>
    </w:p>
    <w:p>
      <w:pPr>
        <w:pStyle w:val="16"/>
        <w:spacing w:after="60" w:line="276" w:lineRule="auto"/>
      </w:pPr>
      <w:r>
        <w:rPr>
          <w:rFonts w:ascii="微软雅黑" w:hAnsi="微软雅黑" w:eastAsia="微软雅黑"/>
          <w:b/>
          <w:color w:val="2F5597"/>
          <w:sz w:val="20"/>
        </w:rPr>
        <w:t>页签用途</w:t>
      </w:r>
      <w:r>
        <w:rPr>
          <w:rFonts w:ascii="微软雅黑" w:hAnsi="微软雅黑" w:eastAsia="微软雅黑"/>
          <w:b w:val="0"/>
          <w:sz w:val="20"/>
        </w:rPr>
        <w:t>：新人福利页签按任务条件展示新手阶段可领取的任务，如注册账号、首笔充值、绑定邮箱、绑定手机号和绑定社交账号等，适合统一维护新玩家成长奖励。</w:t>
      </w:r>
    </w:p>
    <w:p>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：列表通常包含任务条件、图标、奖励金额、奖励活跃度、任务介绍、领取方式、是否开启、提示气泡和操作。领取方式用于区分自动派发和手动领取；启用和提示气泡开关用于控制前台是否展示及是否提示。</w:t>
      </w:r>
    </w:p>
    <w:p>
      <w:pPr>
        <w:pStyle w:val="16"/>
        <w:spacing w:after="60" w:line="276" w:lineRule="auto"/>
      </w:pPr>
      <w:r>
        <w:rPr>
          <w:rFonts w:ascii="微软雅黑" w:hAnsi="微软雅黑" w:eastAsia="微软雅黑"/>
          <w:b/>
          <w:color w:val="2F5597"/>
          <w:sz w:val="20"/>
        </w:rPr>
        <w:t>修改任务</w:t>
      </w:r>
      <w:r>
        <w:rPr>
          <w:rFonts w:ascii="微软雅黑" w:hAnsi="微软雅黑" w:eastAsia="微软雅黑"/>
          <w:b w:val="0"/>
          <w:sz w:val="20"/>
        </w:rPr>
        <w:t>：在目标任务行点击“修改”后，更新宣传图、奖励金额、奖励活跃度、打码倍数和任务介绍，并按需要调整是否开启和提示气泡。保存前应确认图片规格、奖励数值和介绍文案已与当前活动口径一致。</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：奖励金额与奖励活跃度属于直接发放内容，修改后要同步核对预算、站内展示和奖励发放规则；对暂未上线的任务，应先关闭开关，避免玩家提前看到入口。</w:t>
      </w:r>
    </w:p>
    <w:p>
      <w:pPr>
        <w:pStyle w:val="6"/>
        <w:spacing w:after="100"/>
      </w:pPr>
      <w:r>
        <w:rPr>
          <w:rFonts w:ascii="微软雅黑" w:hAnsi="微软雅黑" w:eastAsia="微软雅黑"/>
          <w:b/>
          <w:color w:val="2F5597"/>
          <w:sz w:val="21"/>
        </w:rPr>
        <w:t>每日任务</w:t>
      </w:r>
    </w:p>
    <w:p>
      <w:pPr>
        <w:spacing w:after="40"/>
        <w:jc w:val="center"/>
      </w:pPr>
      <w:r>
        <w:drawing>
          <wp:inline xmlns:a="http://schemas.openxmlformats.org/drawingml/2006/main" xmlns:pic="http://schemas.openxmlformats.org/drawingml/2006/picture">
            <wp:extent cx="5897880" cy="2620870"/>
            <wp:docPr id="51" name="Picture 51"/>
            <wp:cNvGraphicFramePr>
              <a:graphicFrameLocks noChangeAspect="1"/>
            </wp:cNvGraphicFramePr>
            <a:graphic>
              <a:graphicData uri="http://schemas.openxmlformats.org/drawingml/2006/picture">
                <pic:pic>
                  <pic:nvPicPr>
                    <pic:cNvPr id="0" name="task-center-daily-edit.png"/>
                    <pic:cNvPicPr/>
                  </pic:nvPicPr>
                  <pic:blipFill>
                    <a:blip r:embed="rId49"/>
                    <a:stretch>
                      <a:fillRect/>
                    </a:stretch>
                  </pic:blipFill>
                  <pic:spPr>
                    <a:xfrm>
                      <a:off x="0" y="0"/>
                      <a:ext cx="5897880" cy="2620870"/>
                    </a:xfrm>
                    <a:prstGeom prst="rect"/>
                  </pic:spPr>
                </pic:pic>
              </a:graphicData>
            </a:graphic>
          </wp:inline>
        </w:drawing>
      </w:r>
    </w:p>
    <w:p>
      <w:pPr>
        <w:pStyle w:val="15"/>
        <w:spacing w:after="120"/>
        <w:jc w:val="center"/>
      </w:pPr>
      <w:r>
        <w:rPr>
          <w:rFonts w:ascii="微软雅黑" w:hAnsi="微软雅黑" w:eastAsia="微软雅黑"/>
          <w:b w:val="0"/>
          <w:color w:val="707E92"/>
          <w:sz w:val="18"/>
        </w:rPr>
        <w:t>图：每日任务页签，支持按累计充值、累计打码和单局打码维护阶梯奖励。</w:t>
      </w:r>
    </w:p>
    <w:p>
      <w:pPr>
        <w:pStyle w:val="16"/>
        <w:spacing w:after="60" w:line="276" w:lineRule="auto"/>
      </w:pPr>
      <w:r>
        <w:rPr>
          <w:rFonts w:ascii="微软雅黑" w:hAnsi="微软雅黑" w:eastAsia="微软雅黑"/>
          <w:b/>
          <w:color w:val="2F5597"/>
          <w:sz w:val="20"/>
        </w:rPr>
        <w:t>奖励维度</w:t>
      </w:r>
      <w:r>
        <w:rPr>
          <w:rFonts w:ascii="微软雅黑" w:hAnsi="微软雅黑" w:eastAsia="微软雅黑"/>
          <w:b w:val="0"/>
          <w:sz w:val="20"/>
        </w:rPr>
        <w:t>：每日任务支持在累计充值、累计打码和单局打码之间切换，分别维护不同的任务口径和阶梯配置。切换维度后，应分别检查每一档门槛和奖励是否完整。</w:t>
      </w:r>
    </w:p>
    <w:p>
      <w:pPr>
        <w:pStyle w:val="16"/>
        <w:spacing w:after="60" w:line="276" w:lineRule="auto"/>
      </w:pPr>
      <w:r>
        <w:rPr>
          <w:rFonts w:ascii="微软雅黑" w:hAnsi="微软雅黑" w:eastAsia="微软雅黑"/>
          <w:b/>
          <w:color w:val="2F5597"/>
          <w:sz w:val="20"/>
        </w:rPr>
        <w:t>编辑方式</w:t>
      </w:r>
      <w:r>
        <w:rPr>
          <w:rFonts w:ascii="微软雅黑" w:hAnsi="微软雅黑" w:eastAsia="微软雅黑"/>
          <w:b w:val="0"/>
          <w:sz w:val="20"/>
        </w:rPr>
        <w:t>：点击页面底部“修改”进入编辑态后，可逐行维护累计金额、奖励金额、奖励活跃度和任务介绍。任务介绍建议直接写明达成条件，便于前台玩家理解领取要求。</w:t>
      </w:r>
    </w:p>
    <w:p>
      <w:pPr>
        <w:pStyle w:val="16"/>
        <w:spacing w:after="60" w:line="276" w:lineRule="auto"/>
      </w:pPr>
      <w:r>
        <w:rPr>
          <w:rFonts w:ascii="微软雅黑" w:hAnsi="微软雅黑" w:eastAsia="微软雅黑"/>
          <w:b/>
          <w:color w:val="2F5597"/>
          <w:sz w:val="20"/>
        </w:rPr>
        <w:t>保存规则</w:t>
      </w:r>
      <w:r>
        <w:rPr>
          <w:rFonts w:ascii="微软雅黑" w:hAnsi="微软雅黑" w:eastAsia="微软雅黑"/>
          <w:b w:val="0"/>
          <w:sz w:val="20"/>
        </w:rPr>
        <w:t>：每一行至少要配置奖励金额或奖励活跃度中的一种；两项都为空的数据在保存时会被过滤。保存前要检查阶梯是否按从低到高递增，避免门槛交叉或奖励倒挂。</w:t>
      </w:r>
    </w:p>
    <w:p>
      <w:pPr>
        <w:pStyle w:val="6"/>
        <w:spacing w:after="100"/>
      </w:pPr>
      <w:r>
        <w:rPr>
          <w:rFonts w:ascii="微软雅黑" w:hAnsi="微软雅黑" w:eastAsia="微软雅黑"/>
          <w:b/>
          <w:color w:val="2F5597"/>
          <w:sz w:val="21"/>
        </w:rPr>
        <w:t>每周任务</w:t>
      </w:r>
    </w:p>
    <w:p>
      <w:pPr>
        <w:spacing w:after="40"/>
        <w:jc w:val="center"/>
      </w:pPr>
      <w:r>
        <w:drawing>
          <wp:inline xmlns:a="http://schemas.openxmlformats.org/drawingml/2006/main" xmlns:pic="http://schemas.openxmlformats.org/drawingml/2006/picture">
            <wp:extent cx="5897880" cy="2659328"/>
            <wp:docPr id="52" name="Picture 52"/>
            <wp:cNvGraphicFramePr>
              <a:graphicFrameLocks noChangeAspect="1"/>
            </wp:cNvGraphicFramePr>
            <a:graphic>
              <a:graphicData uri="http://schemas.openxmlformats.org/drawingml/2006/picture">
                <pic:pic>
                  <pic:nvPicPr>
                    <pic:cNvPr id="0" name="task-center-weekly-edit.png"/>
                    <pic:cNvPicPr/>
                  </pic:nvPicPr>
                  <pic:blipFill>
                    <a:blip r:embed="rId50"/>
                    <a:stretch>
                      <a:fillRect/>
                    </a:stretch>
                  </pic:blipFill>
                  <pic:spPr>
                    <a:xfrm>
                      <a:off x="0" y="0"/>
                      <a:ext cx="5897880" cy="2659328"/>
                    </a:xfrm>
                    <a:prstGeom prst="rect"/>
                  </pic:spPr>
                </pic:pic>
              </a:graphicData>
            </a:graphic>
          </wp:inline>
        </w:drawing>
      </w:r>
    </w:p>
    <w:p>
      <w:pPr>
        <w:pStyle w:val="15"/>
        <w:spacing w:after="120"/>
        <w:jc w:val="center"/>
      </w:pPr>
      <w:r>
        <w:rPr>
          <w:rFonts w:ascii="微软雅黑" w:hAnsi="微软雅黑" w:eastAsia="微软雅黑"/>
          <w:b w:val="0"/>
          <w:color w:val="707E92"/>
          <w:sz w:val="18"/>
        </w:rPr>
        <w:t>图：每周任务页签，按周配置奖励门槛、奖励金额、奖励活跃度和任务说明。</w:t>
      </w:r>
    </w:p>
    <w:p>
      <w:pPr>
        <w:pStyle w:val="16"/>
        <w:spacing w:after="60" w:line="276" w:lineRule="auto"/>
      </w:pPr>
      <w:r>
        <w:rPr>
          <w:rFonts w:ascii="微软雅黑" w:hAnsi="微软雅黑" w:eastAsia="微软雅黑"/>
          <w:b/>
          <w:color w:val="2F5597"/>
          <w:sz w:val="20"/>
        </w:rPr>
        <w:t>配置逻辑</w:t>
      </w:r>
      <w:r>
        <w:rPr>
          <w:rFonts w:ascii="微软雅黑" w:hAnsi="微软雅黑" w:eastAsia="微软雅黑"/>
          <w:b w:val="0"/>
          <w:sz w:val="20"/>
        </w:rPr>
        <w:t>：每周任务的维护方式与每日任务一致，同样支持累计充值、累计打码和单局打码三类任务口径，但奖励门槛通常按周目标设置，数值会高于每日任务。</w:t>
      </w:r>
    </w:p>
    <w:p>
      <w:pPr>
        <w:pStyle w:val="16"/>
        <w:spacing w:after="60" w:line="276" w:lineRule="auto"/>
      </w:pPr>
      <w:r>
        <w:rPr>
          <w:rFonts w:ascii="微软雅黑" w:hAnsi="微软雅黑" w:eastAsia="微软雅黑"/>
          <w:b/>
          <w:color w:val="2F5597"/>
          <w:sz w:val="20"/>
        </w:rPr>
        <w:t>核对重点</w:t>
      </w:r>
      <w:r>
        <w:rPr>
          <w:rFonts w:ascii="微软雅黑" w:hAnsi="微软雅黑" w:eastAsia="微软雅黑"/>
          <w:b w:val="0"/>
          <w:sz w:val="20"/>
        </w:rPr>
        <w:t>：调整每周阶梯时，应同时核对奖励金额、奖励活跃度和说明文案，确保周任务目标与站点活动周期一致；如果周任务与每日任务同时存在，需避免同一行为重复激励过高。</w:t>
      </w:r>
    </w:p>
    <w:p>
      <w:pPr>
        <w:pStyle w:val="6"/>
        <w:spacing w:after="100"/>
      </w:pPr>
      <w:r>
        <w:rPr>
          <w:rFonts w:ascii="微软雅黑" w:hAnsi="微软雅黑" w:eastAsia="微软雅黑"/>
          <w:b/>
          <w:color w:val="2F5597"/>
          <w:sz w:val="21"/>
        </w:rPr>
        <w:t>规则设置</w:t>
      </w:r>
    </w:p>
    <w:p>
      <w:pPr>
        <w:spacing w:after="40"/>
        <w:jc w:val="center"/>
      </w:pPr>
      <w:r>
        <w:drawing>
          <wp:inline xmlns:a="http://schemas.openxmlformats.org/drawingml/2006/main" xmlns:pic="http://schemas.openxmlformats.org/drawingml/2006/picture">
            <wp:extent cx="3291840" cy="1888516"/>
            <wp:docPr id="53" name="Picture 53"/>
            <wp:cNvGraphicFramePr>
              <a:graphicFrameLocks noChangeAspect="1"/>
            </wp:cNvGraphicFramePr>
            <a:graphic>
              <a:graphicData uri="http://schemas.openxmlformats.org/drawingml/2006/picture">
                <pic:pic>
                  <pic:nvPicPr>
                    <pic:cNvPr id="0" name="task-center-rule-modal.png"/>
                    <pic:cNvPicPr/>
                  </pic:nvPicPr>
                  <pic:blipFill>
                    <a:blip r:embed="rId51"/>
                    <a:stretch>
                      <a:fillRect/>
                    </a:stretch>
                  </pic:blipFill>
                  <pic:spPr>
                    <a:xfrm>
                      <a:off x="0" y="0"/>
                      <a:ext cx="3291840" cy="1888516"/>
                    </a:xfrm>
                    <a:prstGeom prst="rect"/>
                  </pic:spPr>
                </pic:pic>
              </a:graphicData>
            </a:graphic>
          </wp:inline>
        </w:drawing>
      </w:r>
    </w:p>
    <w:p>
      <w:pPr>
        <w:pStyle w:val="15"/>
        <w:spacing w:after="120"/>
        <w:jc w:val="center"/>
      </w:pPr>
      <w:r>
        <w:rPr>
          <w:rFonts w:ascii="微软雅黑" w:hAnsi="微软雅黑" w:eastAsia="微软雅黑"/>
          <w:b w:val="0"/>
          <w:color w:val="707E92"/>
          <w:sz w:val="18"/>
        </w:rPr>
        <w:t>图：规则设置弹窗，用于配置打码倍数和任务启用状态。</w:t>
      </w:r>
    </w:p>
    <w:p>
      <w:pPr>
        <w:pStyle w:val="16"/>
        <w:spacing w:after="60" w:line="276" w:lineRule="auto"/>
      </w:pPr>
      <w:r>
        <w:rPr>
          <w:rFonts w:ascii="微软雅黑" w:hAnsi="微软雅黑" w:eastAsia="微软雅黑"/>
          <w:b/>
          <w:color w:val="2F5597"/>
          <w:sz w:val="20"/>
        </w:rPr>
        <w:t>打码倍数</w:t>
      </w:r>
      <w:r>
        <w:rPr>
          <w:rFonts w:ascii="微软雅黑" w:hAnsi="微软雅黑" w:eastAsia="微软雅黑"/>
          <w:b w:val="0"/>
          <w:sz w:val="20"/>
        </w:rPr>
        <w:t>：规则设置弹窗用于维护任务对应的打码倍数。修改前应确认平台当前流水要求，避免奖励到账后无法满足提款或活动结算条件。</w:t>
      </w:r>
    </w:p>
    <w:p>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：是否启用用于控制当前任务规则是否生效。停用前要确认前台是否仍有展示入口，以及是否存在未完成但仍需结算的历史任务。</w:t>
      </w:r>
    </w:p>
    <w:p>
      <w:pPr>
        <w:pStyle w:val="6"/>
        <w:spacing w:after="100"/>
      </w:pPr>
      <w:r>
        <w:rPr>
          <w:rFonts w:ascii="微软雅黑" w:hAnsi="微软雅黑" w:eastAsia="微软雅黑"/>
          <w:b/>
          <w:color w:val="2F5597"/>
          <w:sz w:val="21"/>
        </w:rPr>
        <w:t>活跃度宝箱</w:t>
      </w:r>
    </w:p>
    <w:p>
      <w:pPr>
        <w:spacing w:after="40"/>
        <w:jc w:val="center"/>
      </w:pPr>
      <w:r>
        <w:drawing>
          <wp:inline xmlns:a="http://schemas.openxmlformats.org/drawingml/2006/main" xmlns:pic="http://schemas.openxmlformats.org/drawingml/2006/picture">
            <wp:extent cx="5897880" cy="1427559"/>
            <wp:docPr id="54" name="Picture 54"/>
            <wp:cNvGraphicFramePr>
              <a:graphicFrameLocks noChangeAspect="1"/>
            </wp:cNvGraphicFramePr>
            <a:graphic>
              <a:graphicData uri="http://schemas.openxmlformats.org/drawingml/2006/picture">
                <pic:pic>
                  <pic:nvPicPr>
                    <pic:cNvPr id="0" name="task-center-chest-list.png"/>
                    <pic:cNvPicPr/>
                  </pic:nvPicPr>
                  <pic:blipFill>
                    <a:blip r:embed="rId52"/>
                    <a:stretch>
                      <a:fillRect/>
                    </a:stretch>
                  </pic:blipFill>
                  <pic:spPr>
                    <a:xfrm>
                      <a:off x="0" y="0"/>
                      <a:ext cx="5897880" cy="1427559"/>
                    </a:xfrm>
                    <a:prstGeom prst="rect"/>
                  </pic:spPr>
                </pic:pic>
              </a:graphicData>
            </a:graphic>
          </wp:inline>
        </w:drawing>
      </w:r>
    </w:p>
    <w:p>
      <w:pPr>
        <w:pStyle w:val="15"/>
        <w:spacing w:after="120"/>
        <w:jc w:val="center"/>
      </w:pPr>
      <w:r>
        <w:rPr>
          <w:rFonts w:ascii="微软雅黑" w:hAnsi="微软雅黑" w:eastAsia="微软雅黑"/>
          <w:b w:val="0"/>
          <w:color w:val="707E92"/>
          <w:sz w:val="18"/>
        </w:rPr>
        <w:t>图：活跃度宝箱页签，用于查看宝箱门槛、奖励类型和金额范围。</w:t>
      </w:r>
    </w:p>
    <w:p>
      <w:pPr>
        <w:pStyle w:val="16"/>
        <w:spacing w:after="60" w:line="276" w:lineRule="auto"/>
      </w:pPr>
      <w:r>
        <w:rPr>
          <w:rFonts w:ascii="微软雅黑" w:hAnsi="微软雅黑" w:eastAsia="微软雅黑"/>
          <w:b/>
          <w:color w:val="2F5597"/>
          <w:sz w:val="20"/>
        </w:rPr>
        <w:t>列表管理</w:t>
      </w:r>
      <w:r>
        <w:rPr>
          <w:rFonts w:ascii="微软雅黑" w:hAnsi="微软雅黑" w:eastAsia="微软雅黑"/>
          <w:b w:val="0"/>
          <w:sz w:val="20"/>
        </w:rPr>
        <w:t>：活跃度宝箱页签用于维护按活跃度领取的奖励宝箱，列表展示宝箱名称、所需活跃度、奖励类型、奖励金额和操作。可通过“新增宝箱”补充新档位，也可对现有档位执行修改或删除。</w:t>
      </w:r>
    </w:p>
    <w:p>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：奖励类型分为随机和固定。随机奖励通常需要维护起止金额区间；固定奖励则直接配置一个确定金额。配置前应确认是否与活动预算、前台文案和派奖逻辑一致。</w:t>
      </w:r>
    </w:p>
    <w:p>
      <w:pPr>
        <w:spacing w:after="40"/>
        <w:jc w:val="center"/>
      </w:pPr>
      <w:r>
        <w:drawing>
          <wp:inline xmlns:a="http://schemas.openxmlformats.org/drawingml/2006/main" xmlns:pic="http://schemas.openxmlformats.org/drawingml/2006/picture">
            <wp:extent cx="3840480" cy="2513403"/>
            <wp:docPr id="55" name="Picture 55"/>
            <wp:cNvGraphicFramePr>
              <a:graphicFrameLocks noChangeAspect="1"/>
            </wp:cNvGraphicFramePr>
            <a:graphic>
              <a:graphicData uri="http://schemas.openxmlformats.org/drawingml/2006/picture">
                <pic:pic>
                  <pic:nvPicPr>
                    <pic:cNvPr id="0" name="task-center-chest-edit.png"/>
                    <pic:cNvPicPr/>
                  </pic:nvPicPr>
                  <pic:blipFill>
                    <a:blip r:embed="rId53"/>
                    <a:stretch>
                      <a:fillRect/>
                    </a:stretch>
                  </pic:blipFill>
                  <pic:spPr>
                    <a:xfrm>
                      <a:off x="0" y="0"/>
                      <a:ext cx="3840480" cy="2513403"/>
                    </a:xfrm>
                    <a:prstGeom prst="rect"/>
                  </pic:spPr>
                </pic:pic>
              </a:graphicData>
            </a:graphic>
          </wp:inline>
        </w:drawing>
      </w:r>
    </w:p>
    <w:p>
      <w:pPr>
        <w:pStyle w:val="15"/>
        <w:spacing w:after="120"/>
        <w:jc w:val="center"/>
      </w:pPr>
      <w:r>
        <w:rPr>
          <w:rFonts w:ascii="微软雅黑" w:hAnsi="微软雅黑" w:eastAsia="微软雅黑"/>
          <w:b w:val="0"/>
          <w:color w:val="707E92"/>
          <w:sz w:val="18"/>
        </w:rPr>
        <w:t>图：宝箱编辑弹窗，用于维护宝箱名称、所需活跃度和奖励金额。</w:t>
      </w:r>
    </w:p>
    <w:p>
      <w:pPr>
        <w:pStyle w:val="16"/>
        <w:spacing w:after="60" w:line="276" w:lineRule="auto"/>
      </w:pPr>
      <w:r>
        <w:rPr>
          <w:rFonts w:ascii="微软雅黑" w:hAnsi="微软雅黑" w:eastAsia="微软雅黑"/>
          <w:b/>
          <w:color w:val="2F5597"/>
          <w:sz w:val="20"/>
        </w:rPr>
        <w:t>弹窗字段</w:t>
      </w:r>
      <w:r>
        <w:rPr>
          <w:rFonts w:ascii="微软雅黑" w:hAnsi="微软雅黑" w:eastAsia="微软雅黑"/>
          <w:b w:val="0"/>
          <w:sz w:val="20"/>
        </w:rPr>
        <w:t>：宝箱编辑弹窗通常需要填写宝箱名称、所需活跃度、奖励类型和奖励金额。宝箱名称建议使用便于识别的档位名称，所需活跃度需与前台活跃度产出规则保持一致。</w:t>
      </w:r>
    </w:p>
    <w:p>
      <w:pPr>
        <w:pStyle w:val="16"/>
        <w:spacing w:after="60" w:line="276" w:lineRule="auto"/>
      </w:pPr>
      <w:r>
        <w:rPr>
          <w:rFonts w:ascii="微软雅黑" w:hAnsi="微软雅黑" w:eastAsia="微软雅黑"/>
          <w:b/>
          <w:color w:val="2F5597"/>
          <w:sz w:val="20"/>
        </w:rPr>
        <w:t>提交流程</w:t>
      </w:r>
      <w:r>
        <w:rPr>
          <w:rFonts w:ascii="微软雅黑" w:hAnsi="微软雅黑" w:eastAsia="微软雅黑"/>
          <w:b w:val="0"/>
          <w:sz w:val="20"/>
        </w:rPr>
        <w:t>：新增或修改后点击“提交”保存；如果本次只是查看配置，可点击“取消”关闭。保存前要检查名称长度、活跃度门槛和奖励区间上下限，避免出现空值、倒置或重复档位。</w:t>
      </w:r>
    </w:p>
    <w:p>
      <w:pPr>
        <w:pStyle w:val="16"/>
        <w:spacing w:after="60" w:line="276" w:lineRule="auto"/>
      </w:pPr>
      <w:r>
        <w:rPr>
          <w:rFonts w:ascii="微软雅黑" w:hAnsi="微软雅黑" w:eastAsia="微软雅黑"/>
          <w:b/>
          <w:color w:val="2F5597"/>
          <w:sz w:val="20"/>
        </w:rPr>
        <w:t>注意事项</w:t>
      </w:r>
      <w:r>
        <w:rPr>
          <w:rFonts w:ascii="微软雅黑" w:hAnsi="微软雅黑" w:eastAsia="微软雅黑"/>
          <w:b w:val="0"/>
          <w:sz w:val="20"/>
        </w:rPr>
        <w:t>：任务中心同时影响前台任务展示和奖励发放，调整任何门槛、奖励或启停状态前，都应先确认活动预算、任务周期、前台文案和结算规则，必要时与运营、风控和财务口径同步后再保存。</w:t>
      </w:r>
    </w:p>
    <w:p w14:paraId="45A28C8D">
      <w:pPr>
        <w:pStyle w:val="5"/>
        <w:keepNext/>
        <w:spacing w:before="180" w:after="100" w:line="259" w:lineRule="auto"/>
      </w:pPr>
      <w:r>
        <w:rPr>
          <w:rFonts w:ascii="微软雅黑" w:hAnsi="微软雅黑" w:eastAsia="微软雅黑"/>
          <w:b/>
          <w:color w:val="2F5597"/>
          <w:sz w:val="21"/>
        </w:rPr>
        <w:t>落地页管理</w:t>
      </w:r>
    </w:p>
    <w:p>
      <w:pPr>
        <w:spacing w:after="60" w:line="276" w:lineRule="auto"/>
      </w:pPr>
      <w:r>
        <w:rPr>
          <w:rFonts w:ascii="微软雅黑" w:hAnsi="微软雅黑" w:eastAsia="微软雅黑"/>
          <w:b w:val="0"/>
          <w:sz w:val="20"/>
        </w:rPr>
        <w:t>落地页管理用于维护推广落地页的模板样式、应用名称、下载地址、评分、截图和详情介绍，是运营维护投放页素材和跳转链路的统一入口。新增、编辑或删除落地页后，会直接影响渠道投放页展示内容，提交前应同步复核模板名称、应用图标、下载地址和截图素材是否与当前投放计划一致。</w:t>
      </w:r>
    </w:p>
    <w:p>
      <w:pPr>
        <w:spacing w:after="40"/>
        <w:jc w:val="center"/>
      </w:pPr>
      <w:r>
        <w:drawing>
          <wp:inline xmlns:a="http://schemas.openxmlformats.org/drawingml/2006/main" xmlns:pic="http://schemas.openxmlformats.org/drawingml/2006/picture">
            <wp:extent cx="5897880" cy="1909226"/>
            <wp:docPr id="56" name="Picture 56"/>
            <wp:cNvGraphicFramePr>
              <a:graphicFrameLocks noChangeAspect="1"/>
            </wp:cNvGraphicFramePr>
            <a:graphic>
              <a:graphicData uri="http://schemas.openxmlformats.org/drawingml/2006/picture">
                <pic:pic>
                  <pic:nvPicPr>
                    <pic:cNvPr id="0" name="list-table.png"/>
                    <pic:cNvPicPr/>
                  </pic:nvPicPr>
                  <pic:blipFill>
                    <a:blip r:embed="rId56"/>
                    <a:stretch>
                      <a:fillRect/>
                    </a:stretch>
                  </pic:blipFill>
                  <pic:spPr>
                    <a:xfrm>
                      <a:off x="0" y="0"/>
                      <a:ext cx="5897880" cy="1909226"/>
                    </a:xfrm>
                    <a:prstGeom prst="rect"/>
                  </pic:spPr>
                </pic:pic>
              </a:graphicData>
            </a:graphic>
          </wp:inline>
        </w:drawing>
      </w:r>
    </w:p>
    <w:p>
      <w:pPr>
        <w:pStyle w:val="15"/>
        <w:spacing w:after="120"/>
        <w:jc w:val="center"/>
      </w:pPr>
      <w:r>
        <w:rPr>
          <w:rFonts w:ascii="微软雅黑" w:hAnsi="微软雅黑" w:eastAsia="微软雅黑"/>
          <w:b w:val="0"/>
          <w:color w:val="707E92"/>
          <w:sz w:val="18"/>
        </w:rPr>
        <w:t>图：落地页管理列表页面，用于查看模板信息、下载地址、评分、截图和行内操作。</w:t>
      </w:r>
    </w:p>
    <w:p>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：页面顶部支持按名称输入关键字后执行“搜索”，也可通过“重置”快速清空条件并恢复全部数据，适合在模板数量较多时先定位目标落地页。</w:t>
      </w:r>
    </w:p>
    <w:p>
      <w:pPr>
        <w:pStyle w:val="16"/>
        <w:spacing w:after="60" w:line="276" w:lineRule="auto"/>
      </w:pPr>
      <w:r>
        <w:rPr>
          <w:rFonts w:ascii="微软雅黑" w:hAnsi="微软雅黑" w:eastAsia="微软雅黑"/>
          <w:b/>
          <w:color w:val="2F5597"/>
          <w:sz w:val="20"/>
        </w:rPr>
        <w:t>新增入口</w:t>
      </w:r>
      <w:r>
        <w:rPr>
          <w:rFonts w:ascii="微软雅黑" w:hAnsi="微软雅黑" w:eastAsia="微软雅黑"/>
          <w:b w:val="0"/>
          <w:sz w:val="20"/>
        </w:rPr>
        <w:t>：点击“新增”可打开新增落地页弹窗，录入模板样式、模板名称、应用图标、下载地址、评分、截图和应用详细介绍。新增完成后，新记录会出现在列表中，便于继续核对素材和链接。</w:t>
      </w:r>
    </w:p>
    <w:p>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 ID、模板名称、样式、图标、APP 名字、安卓下载地址、评分和截图缩略图，便于运营快速确认当前投放页使用的模板和素材版本。</w:t>
      </w:r>
    </w:p>
    <w:p>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：安卓下载地址字段用于展示当前落地页跳转链接。维护时应填写完整可访问地址，并在保存前检查渠道参数、页面路径和打开结果是否正确。</w:t>
      </w:r>
    </w:p>
    <w:p>
      <w:pPr>
        <w:pStyle w:val="16"/>
        <w:spacing w:after="60" w:line="276" w:lineRule="auto"/>
      </w:pPr>
      <w:r>
        <w:rPr>
          <w:rFonts w:ascii="微软雅黑" w:hAnsi="微软雅黑" w:eastAsia="微软雅黑"/>
          <w:b/>
          <w:color w:val="2F5597"/>
          <w:sz w:val="20"/>
        </w:rPr>
        <w:t>截图预览</w:t>
      </w:r>
      <w:r>
        <w:rPr>
          <w:rFonts w:ascii="微软雅黑" w:hAnsi="微软雅黑" w:eastAsia="微软雅黑"/>
          <w:b w:val="0"/>
          <w:sz w:val="20"/>
        </w:rPr>
        <w:t>：截图列用于展示当前落地页的页面预览图，适合快速核对展示风格、页面主题和素材是否与投放内容一致。上传或替换截图后，应确认缩略图顺序与实际展示顺序一致。</w:t>
      </w:r>
    </w:p>
    <w:p>
      <w:pPr>
        <w:pStyle w:val="16"/>
        <w:spacing w:after="60" w:line="276" w:lineRule="auto"/>
      </w:pPr>
      <w:r>
        <w:rPr>
          <w:rFonts w:ascii="微软雅黑" w:hAnsi="微软雅黑" w:eastAsia="微软雅黑"/>
          <w:b/>
          <w:color w:val="2F5597"/>
          <w:sz w:val="20"/>
        </w:rPr>
        <w:t>编辑与删除</w:t>
      </w:r>
      <w:r>
        <w:rPr>
          <w:rFonts w:ascii="微软雅黑" w:hAnsi="微软雅黑" w:eastAsia="微软雅黑"/>
          <w:b w:val="0"/>
          <w:sz w:val="20"/>
        </w:rPr>
        <w:t>：点击“编辑”可修改当前落地页的模板信息和素材；点击“删除”会移除当前记录。删除前应确认该模板已停用或有替代页面，避免影响正在使用的推广链接。</w:t>
      </w:r>
    </w:p>
    <w:p>
      <w:pPr>
        <w:spacing w:after="40"/>
        <w:jc w:val="center"/>
      </w:pPr>
      <w:r>
        <w:drawing>
          <wp:inline xmlns:a="http://schemas.openxmlformats.org/drawingml/2006/main" xmlns:pic="http://schemas.openxmlformats.org/drawingml/2006/picture">
            <wp:extent cx="4480560" cy="5638247"/>
            <wp:docPr id="57" name="Picture 57"/>
            <wp:cNvGraphicFramePr>
              <a:graphicFrameLocks noChangeAspect="1"/>
            </wp:cNvGraphicFramePr>
            <a:graphic>
              <a:graphicData uri="http://schemas.openxmlformats.org/drawingml/2006/picture">
                <pic:pic>
                  <pic:nvPicPr>
                    <pic:cNvPr id="0" name="add-modal.png"/>
                    <pic:cNvPicPr/>
                  </pic:nvPicPr>
                  <pic:blipFill>
                    <a:blip r:embed="rId57"/>
                    <a:stretch>
                      <a:fillRect/>
                    </a:stretch>
                  </pic:blipFill>
                  <pic:spPr>
                    <a:xfrm>
                      <a:off x="0" y="0"/>
                      <a:ext cx="4480560" cy="5638247"/>
                    </a:xfrm>
                    <a:prstGeom prst="rect"/>
                  </pic:spPr>
                </pic:pic>
              </a:graphicData>
            </a:graphic>
          </wp:inline>
        </w:drawing>
      </w:r>
    </w:p>
    <w:p>
      <w:pPr>
        <w:pStyle w:val="15"/>
        <w:spacing w:after="120"/>
        <w:jc w:val="center"/>
      </w:pPr>
      <w:r>
        <w:rPr>
          <w:rFonts w:ascii="微软雅黑" w:hAnsi="微软雅黑" w:eastAsia="微软雅黑"/>
          <w:b w:val="0"/>
          <w:color w:val="707E92"/>
          <w:sz w:val="18"/>
        </w:rPr>
        <w:t>图：新增落地页弹窗，用于维护模板样式、图标、下载地址、评分、截图和应用介绍。</w:t>
      </w:r>
    </w:p>
    <w:p>
      <w:pPr>
        <w:pStyle w:val="16"/>
        <w:spacing w:after="60" w:line="276" w:lineRule="auto"/>
      </w:pPr>
      <w:r>
        <w:rPr>
          <w:rFonts w:ascii="微软雅黑" w:hAnsi="微软雅黑" w:eastAsia="微软雅黑"/>
          <w:b/>
          <w:color w:val="2F5597"/>
          <w:sz w:val="20"/>
        </w:rPr>
        <w:t>模板样式</w:t>
      </w:r>
      <w:r>
        <w:rPr>
          <w:rFonts w:ascii="微软雅黑" w:hAnsi="微软雅黑" w:eastAsia="微软雅黑"/>
          <w:b w:val="0"/>
          <w:sz w:val="20"/>
        </w:rPr>
        <w:t>：模板样式用于区分当前落地页使用的展示风格，应先选择对应模板，再继续填写名称和素材，避免后续页面风格与投放渠道不匹配。</w:t>
      </w:r>
    </w:p>
    <w:p>
      <w:pPr>
        <w:pStyle w:val="16"/>
        <w:spacing w:after="60" w:line="276" w:lineRule="auto"/>
      </w:pPr>
      <w:r>
        <w:rPr>
          <w:rFonts w:ascii="微软雅黑" w:hAnsi="微软雅黑" w:eastAsia="微软雅黑"/>
          <w:b/>
          <w:color w:val="2F5597"/>
          <w:sz w:val="20"/>
        </w:rPr>
        <w:t>模板名称</w:t>
      </w:r>
      <w:r>
        <w:rPr>
          <w:rFonts w:ascii="微软雅黑" w:hAnsi="微软雅黑" w:eastAsia="微软雅黑"/>
          <w:b w:val="0"/>
          <w:sz w:val="20"/>
        </w:rPr>
        <w:t>：模板名称建议填写便于识别的投放页名称或活动名称，方便后续通过名称筛选快速找到目标模板。</w:t>
      </w:r>
    </w:p>
    <w:p>
      <w:pPr>
        <w:pStyle w:val="16"/>
        <w:spacing w:after="60" w:line="276" w:lineRule="auto"/>
      </w:pPr>
      <w:r>
        <w:rPr>
          <w:rFonts w:ascii="微软雅黑" w:hAnsi="微软雅黑" w:eastAsia="微软雅黑"/>
          <w:b/>
          <w:color w:val="2F5597"/>
          <w:sz w:val="20"/>
        </w:rPr>
        <w:t>APP 图标</w:t>
      </w:r>
      <w:r>
        <w:rPr>
          <w:rFonts w:ascii="微软雅黑" w:hAnsi="微软雅黑" w:eastAsia="微软雅黑"/>
          <w:b w:val="0"/>
          <w:sz w:val="20"/>
        </w:rPr>
        <w:t>：APP 图标要求尺寸为 64×64，支持等比例缩放。上传前应确认图标清晰、品牌版本正确，避免出现旧图标或模糊素材。</w:t>
      </w:r>
    </w:p>
    <w:p>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：安卓下载地址为必填项，iOS 下载地址可按投放需要补充。保存前应分别检查链接是否可访问、是否带齐渠道参数，以及是否跳转到正确的下载页面。</w:t>
      </w:r>
    </w:p>
    <w:p>
      <w:pPr>
        <w:pStyle w:val="16"/>
        <w:spacing w:after="60" w:line="276" w:lineRule="auto"/>
      </w:pPr>
      <w:r>
        <w:rPr>
          <w:rFonts w:ascii="微软雅黑" w:hAnsi="微软雅黑" w:eastAsia="微软雅黑"/>
          <w:b/>
          <w:color w:val="2F5597"/>
          <w:sz w:val="20"/>
        </w:rPr>
        <w:t>APP 评分</w:t>
      </w:r>
      <w:r>
        <w:rPr>
          <w:rFonts w:ascii="微软雅黑" w:hAnsi="微软雅黑" w:eastAsia="微软雅黑"/>
          <w:b w:val="0"/>
          <w:sz w:val="20"/>
        </w:rPr>
        <w:t>：APP 评分用于展示落地页应用评分，录入时应控制在 0 到 5 分范围内，并与当前投放素材口径保持一致。</w:t>
      </w:r>
    </w:p>
    <w:p>
      <w:pPr>
        <w:pStyle w:val="16"/>
        <w:spacing w:after="60" w:line="276" w:lineRule="auto"/>
      </w:pPr>
      <w:r>
        <w:rPr>
          <w:rFonts w:ascii="微软雅黑" w:hAnsi="微软雅黑" w:eastAsia="微软雅黑"/>
          <w:b/>
          <w:color w:val="2F5597"/>
          <w:sz w:val="20"/>
        </w:rPr>
        <w:t>截图上传</w:t>
      </w:r>
      <w:r>
        <w:rPr>
          <w:rFonts w:ascii="微软雅黑" w:hAnsi="微软雅黑" w:eastAsia="微软雅黑"/>
          <w:b w:val="0"/>
          <w:sz w:val="20"/>
        </w:rPr>
        <w:t>：截图建议尺寸为 330×587，最多可上传 5 张。截图应覆盖落地页核心展示内容，顺序建议与页面实际浏览顺序一致，方便前台按预期展示。</w:t>
      </w:r>
    </w:p>
    <w:p>
      <w:pPr>
        <w:pStyle w:val="16"/>
        <w:spacing w:after="60" w:line="276" w:lineRule="auto"/>
      </w:pPr>
      <w:r>
        <w:rPr>
          <w:rFonts w:ascii="微软雅黑" w:hAnsi="微软雅黑" w:eastAsia="微软雅黑"/>
          <w:b/>
          <w:color w:val="2F5597"/>
          <w:sz w:val="20"/>
        </w:rPr>
        <w:t>详细介绍</w:t>
      </w:r>
      <w:r>
        <w:rPr>
          <w:rFonts w:ascii="微软雅黑" w:hAnsi="微软雅黑" w:eastAsia="微软雅黑"/>
          <w:b w:val="0"/>
          <w:sz w:val="20"/>
        </w:rPr>
        <w:t>：APP 详细介绍用于补充应用卖点或功能说明，建议直接描述核心内容，避免文案过长或与页面素材不一致。</w:t>
      </w:r>
    </w:p>
    <w:p>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：点击“确定”后保存新增内容；点击“取消”或关闭弹窗会放弃本次未保存修改。提交前应重点复核模板样式、图标、下载地址、评分、截图数量和详细介绍，确保投放页素材完整可用。</w:t>
      </w:r>
    </w:p>
    <w:p w14:paraId="6D87C06F">
      <w:pPr>
        <w:pStyle w:val="5"/>
        <w:keepNext/>
        <w:spacing w:before="180" w:after="100" w:line="259" w:lineRule="auto"/>
      </w:pPr>
      <w:r>
        <w:rPr>
          <w:rFonts w:ascii="微软雅黑" w:hAnsi="微软雅黑" w:eastAsia="微软雅黑"/>
          <w:b/>
          <w:color w:val="2F5597"/>
          <w:sz w:val="25"/>
        </w:rPr>
        <w:t>活动排行统计</w:t>
      </w:r>
    </w:p>
    <w:p>
      <w:pPr>
        <w:pStyle w:val="16"/>
        <w:spacing w:after="60" w:line="276" w:lineRule="auto"/>
      </w:pPr>
      <w:r>
        <w:rPr>
          <w:rFonts w:ascii="微软雅黑" w:hAnsi="微软雅黑" w:eastAsia="微软雅黑"/>
          <w:b/>
          <w:color w:val="2F5597"/>
          <w:sz w:val="20"/>
        </w:rPr>
        <w:t>活动排行统计</w:t>
      </w:r>
      <w:r>
        <w:rPr>
          <w:rFonts w:ascii="微软雅黑" w:hAnsi="微软雅黑" w:eastAsia="微软雅黑"/>
          <w:b w:val="0"/>
          <w:sz w:val="20"/>
        </w:rPr>
        <w:t>：用于查看活动参与、排名和奖励相关统计。</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：按活动、时间或玩家筛选数据，查看排行、参与人数和奖励发放情况。</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：统计结果用于活动复盘，需结合活动规则和奖励记录一起核对。</w:t>
      </w:r>
    </w:p>
    <w:p w14:paraId="0F49B09C">
      <w:pPr>
        <w:pStyle w:val="3"/>
        <w:keepNext/>
        <w:spacing w:before="360" w:after="240" w:line="276" w:lineRule="auto"/>
      </w:pPr>
      <w:r>
        <w:rPr>
          <w:rFonts w:ascii="微软雅黑" w:hAnsi="微软雅黑" w:eastAsia="微软雅黑"/>
          <w:b/>
          <w:color w:val="17365D"/>
          <w:sz w:val="40"/>
        </w:rPr>
        <w:t>六、优惠活动</w:t>
      </w:r>
    </w:p>
    <w:p w14:paraId="672254AC">
      <w:pPr>
        <w:pStyle w:val="4"/>
        <w:keepNext/>
        <w:spacing w:before="240" w:after="140" w:line="269" w:lineRule="auto"/>
      </w:pPr>
      <w:r>
        <w:rPr>
          <w:rFonts w:ascii="微软雅黑" w:hAnsi="微软雅黑" w:eastAsia="微软雅黑"/>
          <w:b/>
          <w:color w:val="1F4E79"/>
          <w:sz w:val="30"/>
        </w:rPr>
        <w:t>模块定位</w:t>
      </w:r>
    </w:p>
    <w:p w14:paraId="27D010F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23A8F73">
      <w:pPr>
        <w:pStyle w:val="4"/>
        <w:keepNext/>
        <w:spacing w:before="240" w:after="140" w:line="269" w:lineRule="auto"/>
      </w:pPr>
      <w:r>
        <w:rPr>
          <w:rFonts w:ascii="微软雅黑" w:hAnsi="微软雅黑" w:eastAsia="微软雅黑"/>
          <w:b/>
          <w:color w:val="1F4E79"/>
          <w:sz w:val="30"/>
        </w:rPr>
        <w:t>页面说明</w:t>
      </w:r>
    </w:p>
    <w:p w14:paraId="489C7955">
      <w:pPr>
        <w:pStyle w:val="5"/>
        <w:keepNext/>
        <w:spacing w:before="180" w:after="100" w:line="259" w:lineRule="auto"/>
      </w:pPr>
      <w:r>
        <w:rPr>
          <w:rFonts w:ascii="微软雅黑" w:hAnsi="微软雅黑" w:eastAsia="微软雅黑"/>
          <w:b/>
          <w:color w:val="2F5597"/>
          <w:sz w:val="25"/>
        </w:rPr>
        <w:t>优惠活动列表</w:t>
      </w:r>
    </w:p>
    <w:p>
      <w:pPr>
        <w:pStyle w:val="16"/>
        <w:spacing w:after="60" w:line="276" w:lineRule="auto"/>
      </w:pPr>
      <w:r>
        <w:rPr>
          <w:rFonts w:ascii="微软雅黑" w:hAnsi="微软雅黑" w:eastAsia="微软雅黑"/>
          <w:b/>
          <w:color w:val="2F5597"/>
          <w:sz w:val="20"/>
        </w:rPr>
        <w:t>优惠活动列表</w:t>
      </w:r>
      <w:r>
        <w:rPr>
          <w:rFonts w:ascii="微软雅黑" w:hAnsi="微软雅黑" w:eastAsia="微软雅黑"/>
          <w:b w:val="0"/>
          <w:sz w:val="20"/>
        </w:rPr>
        <w:t>：用于管理站点优惠活动和活动状态。</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：查询活动，新增、编辑、复制、启用、停用或查看活动数据。</w:t>
      </w:r>
    </w:p>
    <w:p>
      <w:pPr>
        <w:pStyle w:val="16"/>
        <w:spacing w:after="60" w:line="276" w:lineRule="auto"/>
      </w:pPr>
      <w:r>
        <w:rPr>
          <w:rFonts w:ascii="微软雅黑" w:hAnsi="微软雅黑" w:eastAsia="微软雅黑"/>
          <w:b/>
          <w:color w:val="2F5597"/>
          <w:sz w:val="20"/>
        </w:rPr>
        <w:t>上线前检查</w:t>
      </w:r>
      <w:r>
        <w:rPr>
          <w:rFonts w:ascii="微软雅黑" w:hAnsi="微软雅黑" w:eastAsia="微软雅黑"/>
          <w:b w:val="0"/>
          <w:sz w:val="20"/>
        </w:rPr>
        <w:t>：上线前确认活动时间、参与条件、奖励规则和展示入口。</w:t>
      </w:r>
    </w:p>
    <w:p w14:paraId="4E0C8557">
      <w:pPr>
        <w:pStyle w:val="5"/>
        <w:keepNext/>
        <w:spacing w:before="180" w:after="100" w:line="259" w:lineRule="auto"/>
      </w:pPr>
      <w:r>
        <w:rPr>
          <w:rFonts w:ascii="微软雅黑" w:hAnsi="微软雅黑" w:eastAsia="微软雅黑"/>
          <w:b/>
          <w:color w:val="2F5597"/>
          <w:sz w:val="25"/>
        </w:rPr>
        <w:t>幸运转盘配置</w:t>
      </w:r>
    </w:p>
    <w:p>
      <w:pPr>
        <w:pStyle w:val="16"/>
        <w:spacing w:after="60" w:line="276" w:lineRule="auto"/>
      </w:pPr>
      <w:r>
        <w:rPr>
          <w:rFonts w:ascii="微软雅黑" w:hAnsi="微软雅黑" w:eastAsia="微软雅黑"/>
          <w:b/>
          <w:color w:val="2F5597"/>
          <w:sz w:val="20"/>
        </w:rPr>
        <w:t>幸运转盘配置</w:t>
      </w:r>
      <w:r>
        <w:rPr>
          <w:rFonts w:ascii="微软雅黑" w:hAnsi="微软雅黑" w:eastAsia="微软雅黑"/>
          <w:b w:val="0"/>
          <w:sz w:val="20"/>
        </w:rPr>
        <w:t>：用于配置幸运转盘活动、奖品和抽奖规则。</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：设置奖品、中奖概率、参与条件、活动时间和启停状态。</w:t>
      </w:r>
    </w:p>
    <w:p>
      <w:pPr>
        <w:pStyle w:val="16"/>
        <w:spacing w:after="60" w:line="276" w:lineRule="auto"/>
      </w:pPr>
      <w:r>
        <w:rPr>
          <w:rFonts w:ascii="微软雅黑" w:hAnsi="微软雅黑" w:eastAsia="微软雅黑"/>
          <w:b/>
          <w:color w:val="2F5597"/>
          <w:sz w:val="20"/>
        </w:rPr>
        <w:t>发布前检查</w:t>
      </w:r>
      <w:r>
        <w:rPr>
          <w:rFonts w:ascii="微软雅黑" w:hAnsi="微软雅黑" w:eastAsia="微软雅黑"/>
          <w:b w:val="0"/>
          <w:sz w:val="20"/>
        </w:rPr>
        <w:t>：发布前核对奖品库存、概率配置和奖励发放方式。</w:t>
      </w:r>
    </w:p>
    <w:p w14:paraId="736D48AC">
      <w:pPr>
        <w:pStyle w:val="5"/>
        <w:keepNext/>
        <w:spacing w:before="180" w:after="100" w:line="259" w:lineRule="auto"/>
      </w:pPr>
      <w:r>
        <w:rPr>
          <w:rFonts w:ascii="微软雅黑" w:hAnsi="微软雅黑" w:eastAsia="微软雅黑"/>
          <w:b/>
          <w:color w:val="2F5597"/>
          <w:sz w:val="25"/>
        </w:rPr>
        <w:t>新增活动</w:t>
      </w:r>
    </w:p>
    <w:p>
      <w:pPr>
        <w:pStyle w:val="16"/>
        <w:spacing w:after="60" w:line="276" w:lineRule="auto"/>
      </w:pPr>
      <w:r>
        <w:rPr>
          <w:rFonts w:ascii="微软雅黑" w:hAnsi="微软雅黑" w:eastAsia="微软雅黑"/>
          <w:b/>
          <w:color w:val="2F5597"/>
          <w:sz w:val="20"/>
        </w:rPr>
        <w:t>新增活动</w:t>
      </w:r>
      <w:r>
        <w:rPr>
          <w:rFonts w:ascii="微软雅黑" w:hAnsi="微软雅黑" w:eastAsia="微软雅黑"/>
          <w:b w:val="0"/>
          <w:sz w:val="20"/>
        </w:rPr>
        <w:t>：用于创建新的优惠活动。</w:t>
      </w:r>
    </w:p>
    <w:p>
      <w:pPr>
        <w:pStyle w:val="16"/>
        <w:spacing w:after="60" w:line="276" w:lineRule="auto"/>
      </w:pPr>
      <w:r>
        <w:rPr>
          <w:rFonts w:ascii="微软雅黑" w:hAnsi="微软雅黑" w:eastAsia="微软雅黑"/>
          <w:b/>
          <w:color w:val="2F5597"/>
          <w:sz w:val="20"/>
        </w:rPr>
        <w:t>操作说明</w:t>
      </w:r>
      <w:r>
        <w:rPr>
          <w:rFonts w:ascii="微软雅黑" w:hAnsi="微软雅黑" w:eastAsia="微软雅黑"/>
          <w:b w:val="0"/>
          <w:sz w:val="20"/>
        </w:rPr>
        <w:t>：选择活动类型，填写活动信息、规则、奖励、展示素材和时间范围。</w:t>
      </w:r>
    </w:p>
    <w:p>
      <w:pPr>
        <w:pStyle w:val="16"/>
        <w:spacing w:after="60" w:line="276" w:lineRule="auto"/>
      </w:pPr>
      <w:r>
        <w:rPr>
          <w:rFonts w:ascii="微软雅黑" w:hAnsi="微软雅黑" w:eastAsia="微软雅黑"/>
          <w:b/>
          <w:color w:val="2F5597"/>
          <w:sz w:val="20"/>
        </w:rPr>
        <w:t>提交前检查</w:t>
      </w:r>
      <w:r>
        <w:rPr>
          <w:rFonts w:ascii="微软雅黑" w:hAnsi="微软雅黑" w:eastAsia="微软雅黑"/>
          <w:b w:val="0"/>
          <w:sz w:val="20"/>
        </w:rPr>
        <w:t>：提交前逐项检查必填字段、奖励条件和前台展示文案。</w:t>
      </w:r>
    </w:p>
    <w:p w14:paraId="0BFA7C18">
      <w:pPr>
        <w:pStyle w:val="5"/>
        <w:keepNext/>
        <w:spacing w:before="180" w:after="100" w:line="259" w:lineRule="auto"/>
      </w:pPr>
      <w:r>
        <w:rPr>
          <w:rFonts w:ascii="微软雅黑" w:hAnsi="微软雅黑" w:eastAsia="微软雅黑"/>
          <w:b/>
          <w:color w:val="2F5597"/>
          <w:sz w:val="25"/>
        </w:rPr>
        <w:t>活动分析</w:t>
      </w:r>
    </w:p>
    <w:p>
      <w:pPr>
        <w:pStyle w:val="16"/>
        <w:spacing w:after="60" w:line="276" w:lineRule="auto"/>
      </w:pPr>
      <w:r>
        <w:rPr>
          <w:rFonts w:ascii="微软雅黑" w:hAnsi="微软雅黑" w:eastAsia="微软雅黑"/>
          <w:b/>
          <w:color w:val="2F5597"/>
          <w:sz w:val="20"/>
        </w:rPr>
        <w:t>活动分析</w:t>
      </w:r>
      <w:r>
        <w:rPr>
          <w:rFonts w:ascii="微软雅黑" w:hAnsi="微软雅黑" w:eastAsia="微软雅黑"/>
          <w:b w:val="0"/>
          <w:sz w:val="20"/>
        </w:rPr>
        <w:t>：用于查看活动效果和玩家参与数据。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：按活动和时间筛选，查看参与人数、领取金额、转化效果等指标。</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：分析时结合活动成本、充值投注表现和奖励发放记录判断效果。</w:t>
      </w:r>
    </w:p>
    <w:p w14:paraId="4888D1C6">
      <w:pPr>
        <w:pStyle w:val="5"/>
        <w:keepNext/>
        <w:spacing w:before="180" w:after="100" w:line="259" w:lineRule="auto"/>
      </w:pPr>
      <w:r>
        <w:rPr>
          <w:rFonts w:ascii="微软雅黑" w:hAnsi="微软雅黑" w:eastAsia="微软雅黑"/>
          <w:b/>
          <w:color w:val="2F5597"/>
          <w:sz w:val="25"/>
        </w:rPr>
        <w:t>优惠数据报表</w:t>
      </w:r>
    </w:p>
    <w:p>
      <w:pPr>
        <w:pStyle w:val="16"/>
        <w:spacing w:after="60" w:line="276" w:lineRule="auto"/>
      </w:pPr>
      <w:r>
        <w:rPr>
          <w:rFonts w:ascii="微软雅黑" w:hAnsi="微软雅黑" w:eastAsia="微软雅黑"/>
          <w:b/>
          <w:color w:val="2F5597"/>
          <w:sz w:val="20"/>
        </w:rPr>
        <w:t>优惠数据报表</w:t>
      </w:r>
      <w:r>
        <w:rPr>
          <w:rFonts w:ascii="微软雅黑" w:hAnsi="微软雅黑" w:eastAsia="微软雅黑"/>
          <w:b w:val="0"/>
          <w:sz w:val="20"/>
        </w:rPr>
        <w:t>：用于统计优惠活动相关数据。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：按活动、时间、渠道或玩家筛选，查看领取、消耗和转化数据。</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：报表数据用于活动复盘和成本控制，口径以页面筛选条件为准。</w:t>
      </w:r>
    </w:p>
    <w:p w14:paraId="14F5B3AE">
      <w:pPr>
        <w:pStyle w:val="5"/>
        <w:keepNext/>
        <w:spacing w:before="180" w:after="100" w:line="259" w:lineRule="auto"/>
      </w:pPr>
      <w:r>
        <w:rPr>
          <w:rFonts w:ascii="微软雅黑" w:hAnsi="微软雅黑" w:eastAsia="微软雅黑"/>
          <w:b/>
          <w:color w:val="2F5597"/>
          <w:sz w:val="25"/>
        </w:rPr>
        <w:t>票券中心</w:t>
      </w:r>
    </w:p>
    <w:p>
      <w:pPr>
        <w:pStyle w:val="16"/>
        <w:spacing w:after="60" w:line="276" w:lineRule="auto"/>
      </w:pPr>
      <w:r>
        <w:rPr>
          <w:rFonts w:ascii="微软雅黑" w:hAnsi="微软雅黑" w:eastAsia="微软雅黑"/>
          <w:b/>
          <w:color w:val="2F5597"/>
          <w:sz w:val="20"/>
        </w:rPr>
        <w:t>票券中心</w:t>
      </w:r>
      <w:r>
        <w:rPr>
          <w:rFonts w:ascii="微软雅黑" w:hAnsi="微软雅黑" w:eastAsia="微软雅黑"/>
          <w:b w:val="0"/>
          <w:sz w:val="20"/>
        </w:rPr>
        <w:t>：用于管理优惠券、票券模板和发放规则。</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：新增、编辑、启用、停用票券，配置面额、使用门槛和有效期。</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：发券前确认适用范围、有效期和使用限制，避免与活动规则冲突。</w:t>
      </w:r>
    </w:p>
    <w:p w14:paraId="06B5E40D">
      <w:pPr>
        <w:pStyle w:val="5"/>
        <w:keepNext/>
        <w:spacing w:before="180" w:after="100" w:line="259" w:lineRule="auto"/>
      </w:pPr>
      <w:r>
        <w:rPr>
          <w:rFonts w:ascii="微软雅黑" w:hAnsi="微软雅黑" w:eastAsia="微软雅黑"/>
          <w:b/>
          <w:color w:val="2F5597"/>
          <w:sz w:val="25"/>
        </w:rPr>
        <w:t>票券使用记录</w:t>
      </w:r>
    </w:p>
    <w:p>
      <w:pPr>
        <w:pStyle w:val="16"/>
        <w:spacing w:after="60" w:line="276" w:lineRule="auto"/>
      </w:pPr>
      <w:r>
        <w:rPr>
          <w:rFonts w:ascii="微软雅黑" w:hAnsi="微软雅黑" w:eastAsia="微软雅黑"/>
          <w:b/>
          <w:color w:val="2F5597"/>
          <w:sz w:val="20"/>
        </w:rPr>
        <w:t>票券使用记录</w:t>
      </w:r>
      <w:r>
        <w:rPr>
          <w:rFonts w:ascii="微软雅黑" w:hAnsi="微软雅黑" w:eastAsia="微软雅黑"/>
          <w:b w:val="0"/>
          <w:sz w:val="20"/>
        </w:rPr>
        <w:t>：用于查询玩家票券领取和使用记录。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：按玩家、票券、状态或时间筛选，查看使用时间和关联活动。</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：排查奖励问题时可结合票券状态、账变记录和活动记录核对。</w:t>
      </w:r>
    </w:p>
    <w:p w14:paraId="211BE088">
      <w:pPr>
        <w:pStyle w:val="5"/>
        <w:keepNext/>
        <w:spacing w:before="180" w:after="100" w:line="259" w:lineRule="auto"/>
      </w:pPr>
      <w:r>
        <w:rPr>
          <w:rFonts w:ascii="微软雅黑" w:hAnsi="微软雅黑" w:eastAsia="微软雅黑"/>
          <w:b/>
          <w:color w:val="2F5597"/>
          <w:sz w:val="25"/>
        </w:rPr>
        <w:t>全局配置</w:t>
      </w:r>
    </w:p>
    <w:p>
      <w:pPr>
        <w:pStyle w:val="16"/>
        <w:spacing w:after="60" w:line="276" w:lineRule="auto"/>
      </w:pPr>
      <w:r>
        <w:rPr>
          <w:rFonts w:ascii="微软雅黑" w:hAnsi="微软雅黑" w:eastAsia="微软雅黑"/>
          <w:b/>
          <w:color w:val="2F5597"/>
          <w:sz w:val="20"/>
        </w:rPr>
        <w:t>全局配置</w:t>
      </w:r>
      <w:r>
        <w:rPr>
          <w:rFonts w:ascii="微软雅黑" w:hAnsi="微软雅黑" w:eastAsia="微软雅黑"/>
          <w:b w:val="0"/>
          <w:sz w:val="20"/>
        </w:rPr>
        <w:t>：用于维护优惠活动相关的全局规则和默认参数。</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：查看并编辑活动通用开关、限制条件和基础配置。</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：全局配置会影响多个活动，保存前需确认影响范围。</w:t>
      </w:r>
    </w:p>
    <w:p w14:paraId="033F0063">
      <w:pPr>
        <w:pStyle w:val="3"/>
        <w:keepNext/>
        <w:spacing w:before="360" w:after="240" w:line="276" w:lineRule="auto"/>
      </w:pPr>
      <w:r>
        <w:rPr>
          <w:rFonts w:ascii="微软雅黑" w:hAnsi="微软雅黑" w:eastAsia="微软雅黑"/>
          <w:b/>
          <w:color w:val="17365D"/>
          <w:sz w:val="40"/>
        </w:rPr>
        <w:t>七、财务中心</w:t>
      </w:r>
    </w:p>
    <w:p w14:paraId="3CB29151">
      <w:pPr>
        <w:pStyle w:val="4"/>
        <w:keepNext/>
        <w:spacing w:before="240" w:after="140" w:line="269" w:lineRule="auto"/>
      </w:pPr>
      <w:r>
        <w:rPr>
          <w:rFonts w:ascii="微软雅黑" w:hAnsi="微软雅黑" w:eastAsia="微软雅黑"/>
          <w:b/>
          <w:color w:val="1F4E79"/>
          <w:sz w:val="30"/>
        </w:rPr>
        <w:t>模块定位</w:t>
      </w:r>
    </w:p>
    <w:p w14:paraId="747616E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1ECDFC1">
      <w:pPr>
        <w:pStyle w:val="4"/>
        <w:keepNext/>
        <w:spacing w:before="240" w:after="140" w:line="269" w:lineRule="auto"/>
      </w:pPr>
      <w:r>
        <w:rPr>
          <w:rFonts w:ascii="微软雅黑" w:hAnsi="微软雅黑" w:eastAsia="微软雅黑"/>
          <w:b/>
          <w:color w:val="1F4E79"/>
          <w:sz w:val="30"/>
        </w:rPr>
        <w:t>页面说明</w:t>
      </w:r>
    </w:p>
    <w:p w14:paraId="3EECD788">
      <w:pPr>
        <w:pStyle w:val="5"/>
        <w:keepNext/>
        <w:spacing w:before="180" w:after="100" w:line="259" w:lineRule="auto"/>
      </w:pPr>
      <w:r>
        <w:rPr>
          <w:rFonts w:ascii="微软雅黑" w:hAnsi="微软雅黑" w:eastAsia="微软雅黑"/>
          <w:b/>
          <w:color w:val="2F5597"/>
          <w:sz w:val="25"/>
        </w:rPr>
        <w:t>会员提现设置</w:t>
      </w:r>
    </w:p>
    <w:p>
      <w:pPr>
        <w:pStyle w:val="16"/>
        <w:spacing w:after="60" w:line="276" w:lineRule="auto"/>
      </w:pPr>
      <w:r>
        <w:rPr>
          <w:rFonts w:ascii="微软雅黑" w:hAnsi="微软雅黑" w:eastAsia="微软雅黑"/>
          <w:b/>
          <w:color w:val="2F5597"/>
          <w:sz w:val="20"/>
        </w:rPr>
        <w:t>会员提现设置</w:t>
      </w:r>
      <w:r>
        <w:rPr>
          <w:rFonts w:ascii="微软雅黑" w:hAnsi="微软雅黑" w:eastAsia="微软雅黑"/>
          <w:b w:val="0"/>
          <w:sz w:val="20"/>
        </w:rPr>
        <w:t>：用于配置会员提现规则和限制。</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：设置提现额度、次数、手续费、审核规则和启停状态。</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：调整后会影响玩家提现体验，需与风控和财务口径一致。</w:t>
      </w:r>
    </w:p>
    <w:p w14:paraId="233CA22C">
      <w:pPr>
        <w:pStyle w:val="5"/>
        <w:keepNext/>
        <w:spacing w:before="180" w:after="100" w:line="259" w:lineRule="auto"/>
      </w:pPr>
      <w:r>
        <w:rPr>
          <w:rFonts w:ascii="微软雅黑" w:hAnsi="微软雅黑" w:eastAsia="微软雅黑"/>
          <w:b/>
          <w:color w:val="2F5597"/>
          <w:sz w:val="25"/>
        </w:rPr>
        <w:t>会员充值配置</w:t>
      </w:r>
    </w:p>
    <w:p>
      <w:pPr>
        <w:pStyle w:val="16"/>
        <w:spacing w:after="60" w:line="276" w:lineRule="auto"/>
      </w:pPr>
      <w:r>
        <w:rPr>
          <w:rFonts w:ascii="微软雅黑" w:hAnsi="微软雅黑" w:eastAsia="微软雅黑"/>
          <w:b/>
          <w:color w:val="2F5597"/>
          <w:sz w:val="20"/>
        </w:rPr>
        <w:t>会员充值配置</w:t>
      </w:r>
      <w:r>
        <w:rPr>
          <w:rFonts w:ascii="微软雅黑" w:hAnsi="微软雅黑" w:eastAsia="微软雅黑"/>
          <w:b w:val="0"/>
          <w:sz w:val="20"/>
        </w:rPr>
        <w:t>：用于配置会员充值入口、限额和展示规则。</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：维护充值金额、通道展示、优惠提示和启停状态。</w:t>
      </w:r>
    </w:p>
    <w:p>
      <w:pPr>
        <w:pStyle w:val="16"/>
        <w:spacing w:after="60" w:line="276" w:lineRule="auto"/>
      </w:pPr>
      <w:r>
        <w:rPr>
          <w:rFonts w:ascii="微软雅黑" w:hAnsi="微软雅黑" w:eastAsia="微软雅黑"/>
          <w:b/>
          <w:color w:val="2F5597"/>
          <w:sz w:val="20"/>
        </w:rPr>
        <w:t>保存前检查</w:t>
      </w:r>
      <w:r>
        <w:rPr>
          <w:rFonts w:ascii="微软雅黑" w:hAnsi="微软雅黑" w:eastAsia="微软雅黑"/>
          <w:b w:val="0"/>
          <w:sz w:val="20"/>
        </w:rPr>
        <w:t>：保存前确认充值通道可用、金额范围合理、前台展示正确。</w:t>
      </w:r>
    </w:p>
    <w:p w14:paraId="1C845537">
      <w:pPr>
        <w:pStyle w:val="5"/>
        <w:keepNext/>
        <w:spacing w:before="180" w:after="100" w:line="259" w:lineRule="auto"/>
      </w:pPr>
      <w:r>
        <w:rPr>
          <w:rFonts w:ascii="微软雅黑" w:hAnsi="微软雅黑" w:eastAsia="微软雅黑"/>
          <w:b/>
          <w:color w:val="2F5597"/>
          <w:sz w:val="25"/>
        </w:rPr>
        <w:t>充值订单列表</w:t>
      </w:r>
    </w:p>
    <w:p>
      <w:pPr>
        <w:pStyle w:val="16"/>
        <w:spacing w:after="60" w:line="276" w:lineRule="auto"/>
      </w:pPr>
      <w:r>
        <w:rPr>
          <w:rFonts w:ascii="微软雅黑" w:hAnsi="微软雅黑" w:eastAsia="微软雅黑"/>
          <w:b/>
          <w:color w:val="2F5597"/>
          <w:sz w:val="20"/>
        </w:rPr>
        <w:t>充值订单列表</w:t>
      </w:r>
      <w:r>
        <w:rPr>
          <w:rFonts w:ascii="微软雅黑" w:hAnsi="微软雅黑" w:eastAsia="微软雅黑"/>
          <w:b w:val="0"/>
          <w:sz w:val="20"/>
        </w:rPr>
        <w:t>：用于查询会员充值订单和订单状态。</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：按会员、订单号、通道、状态或时间筛选，查看订单详情。</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：处理充值问题时应核对支付状态、到账状态和账变记录。</w:t>
      </w:r>
    </w:p>
    <w:p w14:paraId="55C231D4">
      <w:pPr>
        <w:pStyle w:val="5"/>
        <w:keepNext/>
        <w:spacing w:before="180" w:after="100" w:line="259" w:lineRule="auto"/>
      </w:pPr>
      <w:r>
        <w:rPr>
          <w:rFonts w:ascii="微软雅黑" w:hAnsi="微软雅黑" w:eastAsia="微软雅黑"/>
          <w:b/>
          <w:color w:val="2F5597"/>
          <w:sz w:val="25"/>
        </w:rPr>
        <w:t>提现订单列表</w:t>
      </w:r>
    </w:p>
    <w:p>
      <w:pPr>
        <w:pStyle w:val="16"/>
        <w:spacing w:after="60" w:line="276" w:lineRule="auto"/>
      </w:pPr>
      <w:r>
        <w:rPr>
          <w:rFonts w:ascii="微软雅黑" w:hAnsi="微软雅黑" w:eastAsia="微软雅黑"/>
          <w:b/>
          <w:color w:val="2F5597"/>
          <w:sz w:val="20"/>
        </w:rPr>
        <w:t>提现订单列表</w:t>
      </w:r>
      <w:r>
        <w:rPr>
          <w:rFonts w:ascii="微软雅黑" w:hAnsi="微软雅黑" w:eastAsia="微软雅黑"/>
          <w:b w:val="0"/>
          <w:sz w:val="20"/>
        </w:rPr>
        <w:t>：用于查询会员提现订单和处理进度。</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：按会员、订单号、状态或时间筛选，查看审核和出款信息。</w:t>
      </w:r>
    </w:p>
    <w:p>
      <w:pPr>
        <w:pStyle w:val="16"/>
        <w:spacing w:after="60" w:line="276" w:lineRule="auto"/>
      </w:pPr>
      <w:r>
        <w:rPr>
          <w:rFonts w:ascii="微软雅黑" w:hAnsi="微软雅黑" w:eastAsia="微软雅黑"/>
          <w:b/>
          <w:color w:val="2F5597"/>
          <w:sz w:val="20"/>
        </w:rPr>
        <w:t>对账要点</w:t>
      </w:r>
      <w:r>
        <w:rPr>
          <w:rFonts w:ascii="微软雅黑" w:hAnsi="微软雅黑" w:eastAsia="微软雅黑"/>
          <w:b w:val="0"/>
          <w:sz w:val="20"/>
        </w:rPr>
        <w:t>：处理前核对账户信息、风控结果和资金状态。</w:t>
      </w:r>
    </w:p>
    <w:p w14:paraId="738BC6AE">
      <w:pPr>
        <w:pStyle w:val="5"/>
        <w:keepNext/>
        <w:spacing w:before="180" w:after="100" w:line="259" w:lineRule="auto"/>
      </w:pPr>
      <w:r>
        <w:rPr>
          <w:rFonts w:ascii="微软雅黑" w:hAnsi="微软雅黑" w:eastAsia="微软雅黑"/>
          <w:b/>
          <w:color w:val="2F5597"/>
          <w:sz w:val="25"/>
        </w:rPr>
        <w:t>提现风控审核</w:t>
      </w:r>
    </w:p>
    <w:p>
      <w:pPr>
        <w:pStyle w:val="16"/>
        <w:spacing w:after="60" w:line="276" w:lineRule="auto"/>
      </w:pPr>
      <w:r>
        <w:rPr>
          <w:rFonts w:ascii="微软雅黑" w:hAnsi="微软雅黑" w:eastAsia="微软雅黑"/>
          <w:b/>
          <w:color w:val="2F5597"/>
          <w:sz w:val="20"/>
        </w:rPr>
        <w:t>提现风控审核</w:t>
      </w:r>
      <w:r>
        <w:rPr>
          <w:rFonts w:ascii="微软雅黑" w:hAnsi="微软雅黑" w:eastAsia="微软雅黑"/>
          <w:b w:val="0"/>
          <w:sz w:val="20"/>
        </w:rPr>
        <w:t>：用于处理触发风控的提现订单。</w:t>
      </w:r>
    </w:p>
    <w:p>
      <w:pPr>
        <w:pStyle w:val="16"/>
        <w:spacing w:after="60" w:line="276" w:lineRule="auto"/>
      </w:pPr>
      <w:r>
        <w:rPr>
          <w:rFonts w:ascii="微软雅黑" w:hAnsi="微软雅黑" w:eastAsia="微软雅黑"/>
          <w:b/>
          <w:color w:val="2F5597"/>
          <w:sz w:val="20"/>
        </w:rPr>
        <w:t>详情查看</w:t>
      </w:r>
      <w:r>
        <w:rPr>
          <w:rFonts w:ascii="微软雅黑" w:hAnsi="微软雅黑" w:eastAsia="微软雅黑"/>
          <w:b w:val="0"/>
          <w:sz w:val="20"/>
        </w:rPr>
        <w:t>：查看风控原因、会员信息和订单详情，执行通过、拒绝或补充审核。</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：审核结果会影响资金出款，需按风控规则和财务要求处理。</w:t>
      </w:r>
    </w:p>
    <w:p w14:paraId="0761347B">
      <w:pPr>
        <w:pStyle w:val="5"/>
        <w:keepNext/>
        <w:spacing w:before="180" w:after="100" w:line="259" w:lineRule="auto"/>
      </w:pPr>
      <w:r>
        <w:rPr>
          <w:rFonts w:ascii="微软雅黑" w:hAnsi="微软雅黑" w:eastAsia="微软雅黑"/>
          <w:b/>
          <w:color w:val="2F5597"/>
          <w:sz w:val="25"/>
        </w:rPr>
        <w:t>支付通道数据</w:t>
      </w:r>
    </w:p>
    <w:p>
      <w:pPr>
        <w:pStyle w:val="16"/>
        <w:spacing w:after="60" w:line="276" w:lineRule="auto"/>
      </w:pPr>
      <w:r>
        <w:rPr>
          <w:rFonts w:ascii="微软雅黑" w:hAnsi="微软雅黑" w:eastAsia="微软雅黑"/>
          <w:b/>
          <w:color w:val="2F5597"/>
          <w:sz w:val="20"/>
        </w:rPr>
        <w:t>支付通道数据</w:t>
      </w:r>
      <w:r>
        <w:rPr>
          <w:rFonts w:ascii="微软雅黑" w:hAnsi="微软雅黑" w:eastAsia="微软雅黑"/>
          <w:b w:val="0"/>
          <w:sz w:val="20"/>
        </w:rPr>
        <w:t>：用于查看支付通道的交易和成功率数据。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：按通道、时间或状态筛选，查看充值笔数、金额和成功率。</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：用于判断通道质量，异常时联系通道配置或财务人员处理。</w:t>
      </w:r>
    </w:p>
    <w:p w14:paraId="0CF38EB6">
      <w:pPr>
        <w:pStyle w:val="5"/>
        <w:keepNext/>
        <w:spacing w:before="180" w:after="100" w:line="259" w:lineRule="auto"/>
      </w:pPr>
      <w:r>
        <w:rPr>
          <w:rFonts w:ascii="微软雅黑" w:hAnsi="微软雅黑" w:eastAsia="微软雅黑"/>
          <w:b/>
          <w:color w:val="2F5597"/>
          <w:sz w:val="25"/>
        </w:rPr>
        <w:t>人工加扣款</w:t>
      </w:r>
    </w:p>
    <w:p>
      <w:pPr>
        <w:pStyle w:val="16"/>
        <w:spacing w:after="60" w:line="276" w:lineRule="auto"/>
      </w:pPr>
      <w:r>
        <w:rPr>
          <w:rFonts w:ascii="微软雅黑" w:hAnsi="微软雅黑" w:eastAsia="微软雅黑"/>
          <w:b/>
          <w:color w:val="2F5597"/>
          <w:sz w:val="20"/>
        </w:rPr>
        <w:t>人工加扣款</w:t>
      </w:r>
      <w:r>
        <w:rPr>
          <w:rFonts w:ascii="微软雅黑" w:hAnsi="微软雅黑" w:eastAsia="微软雅黑"/>
          <w:b w:val="0"/>
          <w:sz w:val="20"/>
        </w:rPr>
        <w:t>：用于对会员账户执行人工加款或扣款。</w:t>
      </w:r>
    </w:p>
    <w:p>
      <w:pPr>
        <w:pStyle w:val="16"/>
        <w:spacing w:after="60" w:line="276" w:lineRule="auto"/>
      </w:pPr>
      <w:r>
        <w:rPr>
          <w:rFonts w:ascii="微软雅黑" w:hAnsi="微软雅黑" w:eastAsia="微软雅黑"/>
          <w:b/>
          <w:color w:val="2F5597"/>
          <w:sz w:val="20"/>
        </w:rPr>
        <w:t>查看内容</w:t>
      </w:r>
      <w:r>
        <w:rPr>
          <w:rFonts w:ascii="微软雅黑" w:hAnsi="微软雅黑" w:eastAsia="微软雅黑"/>
          <w:b w:val="0"/>
          <w:sz w:val="20"/>
        </w:rPr>
        <w:t>：填写会员、金额、类型和备注，提交后查看处理结果。</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：此操作直接影响会员余额，提交前必须核对会员和金额。</w:t>
      </w:r>
    </w:p>
    <w:p w14:paraId="53760425">
      <w:pPr>
        <w:pStyle w:val="5"/>
        <w:keepNext/>
        <w:spacing w:before="180" w:after="100" w:line="259" w:lineRule="auto"/>
      </w:pPr>
      <w:r>
        <w:rPr>
          <w:rFonts w:ascii="微软雅黑" w:hAnsi="微软雅黑" w:eastAsia="微软雅黑"/>
          <w:b/>
          <w:color w:val="2F5597"/>
          <w:sz w:val="25"/>
        </w:rPr>
        <w:t>账变记录</w:t>
      </w:r>
    </w:p>
    <w:p>
      <w:pPr>
        <w:pStyle w:val="16"/>
        <w:spacing w:after="60" w:line="276" w:lineRule="auto"/>
      </w:pPr>
      <w:r>
        <w:rPr>
          <w:rFonts w:ascii="微软雅黑" w:hAnsi="微软雅黑" w:eastAsia="微软雅黑"/>
          <w:b/>
          <w:color w:val="2F5597"/>
          <w:sz w:val="20"/>
        </w:rPr>
        <w:t>账变记录</w:t>
      </w:r>
      <w:r>
        <w:rPr>
          <w:rFonts w:ascii="微软雅黑" w:hAnsi="微软雅黑" w:eastAsia="微软雅黑"/>
          <w:b w:val="0"/>
          <w:sz w:val="20"/>
        </w:rPr>
        <w:t>：用于查询会员资金变动明细。</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：按会员、账变类型、订单号或时间筛选，查看余额变化。</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：排查资金问题时优先结合订单、活动和人工加扣款记录核对。</w:t>
      </w:r>
    </w:p>
    <w:p w14:paraId="124545B9">
      <w:pPr>
        <w:pStyle w:val="5"/>
        <w:keepNext/>
        <w:spacing w:before="180" w:after="100" w:line="259" w:lineRule="auto"/>
      </w:pPr>
      <w:r>
        <w:rPr>
          <w:rFonts w:ascii="微软雅黑" w:hAnsi="微软雅黑" w:eastAsia="微软雅黑"/>
          <w:b/>
          <w:color w:val="2F5597"/>
          <w:sz w:val="25"/>
        </w:rPr>
        <w:t>资金账变类型</w:t>
      </w:r>
    </w:p>
    <w:p>
      <w:pPr>
        <w:pStyle w:val="16"/>
        <w:spacing w:after="60" w:line="276" w:lineRule="auto"/>
      </w:pPr>
      <w:r>
        <w:rPr>
          <w:rFonts w:ascii="微软雅黑" w:hAnsi="微软雅黑" w:eastAsia="微软雅黑"/>
          <w:b/>
          <w:color w:val="2F5597"/>
          <w:sz w:val="20"/>
        </w:rPr>
        <w:t>资金账变类型</w:t>
      </w:r>
      <w:r>
        <w:rPr>
          <w:rFonts w:ascii="微软雅黑" w:hAnsi="微软雅黑" w:eastAsia="微软雅黑"/>
          <w:b w:val="0"/>
          <w:sz w:val="20"/>
        </w:rPr>
        <w:t>：用于维护资金账变类型和展示名称。</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：查看、启用、停用或调整账变类型配置。</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：类型配置会影响账变筛选和前后台展示，调整前需确认口径。</w:t>
      </w:r>
    </w:p>
    <w:p w14:paraId="3E3C5FA6">
      <w:pPr>
        <w:pStyle w:val="5"/>
        <w:keepNext/>
        <w:spacing w:before="180" w:after="100" w:line="259" w:lineRule="auto"/>
      </w:pPr>
      <w:r>
        <w:rPr>
          <w:rFonts w:ascii="微软雅黑" w:hAnsi="微软雅黑" w:eastAsia="微软雅黑"/>
          <w:b/>
          <w:color w:val="2F5597"/>
          <w:sz w:val="25"/>
        </w:rPr>
        <w:t>打码管理</w:t>
      </w:r>
    </w:p>
    <w:p>
      <w:pPr>
        <w:pStyle w:val="16"/>
        <w:spacing w:after="60" w:line="276" w:lineRule="auto"/>
      </w:pPr>
      <w:r>
        <w:rPr>
          <w:rFonts w:ascii="微软雅黑" w:hAnsi="微软雅黑" w:eastAsia="微软雅黑"/>
          <w:b/>
          <w:color w:val="2F5597"/>
          <w:sz w:val="20"/>
        </w:rPr>
        <w:t>打码管理</w:t>
      </w:r>
      <w:r>
        <w:rPr>
          <w:rFonts w:ascii="微软雅黑" w:hAnsi="微软雅黑" w:eastAsia="微软雅黑"/>
          <w:b w:val="0"/>
          <w:sz w:val="20"/>
        </w:rPr>
        <w:t>：用于查看和管理会员打码量要求。</w:t>
      </w:r>
    </w:p>
    <w:p>
      <w:pPr>
        <w:pStyle w:val="16"/>
        <w:spacing w:after="60" w:line="276" w:lineRule="auto"/>
      </w:pPr>
      <w:r>
        <w:rPr>
          <w:rFonts w:ascii="微软雅黑" w:hAnsi="微软雅黑" w:eastAsia="微软雅黑"/>
          <w:b/>
          <w:color w:val="2F5597"/>
          <w:sz w:val="20"/>
        </w:rPr>
        <w:t>操作说明</w:t>
      </w:r>
      <w:r>
        <w:rPr>
          <w:rFonts w:ascii="微软雅黑" w:hAnsi="微软雅黑" w:eastAsia="微软雅黑"/>
          <w:b w:val="0"/>
          <w:sz w:val="20"/>
        </w:rPr>
        <w:t>：查询会员打码进度，核对活动、充值或人工调整产生的打码要求。</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：处理提现或活动问题时，应结合打码完成情况判断。</w:t>
      </w:r>
    </w:p>
    <w:p w14:paraId="35C4E9E9">
      <w:pPr>
        <w:pStyle w:val="3"/>
        <w:keepNext/>
        <w:spacing w:before="360" w:after="240" w:line="276" w:lineRule="auto"/>
      </w:pPr>
      <w:r>
        <w:rPr>
          <w:rFonts w:ascii="微软雅黑" w:hAnsi="微软雅黑" w:eastAsia="微软雅黑"/>
          <w:b/>
          <w:color w:val="17365D"/>
          <w:sz w:val="40"/>
        </w:rPr>
        <w:t>八、数据报表</w:t>
      </w:r>
    </w:p>
    <w:p w14:paraId="5016B412">
      <w:pPr>
        <w:pStyle w:val="4"/>
        <w:keepNext/>
        <w:spacing w:before="240" w:after="140" w:line="269" w:lineRule="auto"/>
      </w:pPr>
      <w:r>
        <w:rPr>
          <w:rFonts w:ascii="微软雅黑" w:hAnsi="微软雅黑" w:eastAsia="微软雅黑"/>
          <w:b/>
          <w:color w:val="1F4E79"/>
          <w:sz w:val="30"/>
        </w:rPr>
        <w:t>模块定位</w:t>
      </w:r>
    </w:p>
    <w:p w14:paraId="1EA7E716">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6892336">
      <w:pPr>
        <w:pStyle w:val="4"/>
        <w:keepNext/>
        <w:spacing w:before="240" w:after="140" w:line="269" w:lineRule="auto"/>
      </w:pPr>
      <w:r>
        <w:rPr>
          <w:rFonts w:ascii="微软雅黑" w:hAnsi="微软雅黑" w:eastAsia="微软雅黑"/>
          <w:b/>
          <w:color w:val="1F4E79"/>
          <w:sz w:val="30"/>
        </w:rPr>
        <w:t>页面说明</w:t>
      </w:r>
    </w:p>
    <w:p w14:paraId="5D82E6EB">
      <w:pPr>
        <w:pStyle w:val="5"/>
        <w:keepNext/>
        <w:spacing w:before="180" w:after="100" w:line="259" w:lineRule="auto"/>
      </w:pPr>
      <w:r>
        <w:rPr>
          <w:rFonts w:ascii="微软雅黑" w:hAnsi="微软雅黑" w:eastAsia="微软雅黑"/>
          <w:b/>
          <w:color w:val="2F5597"/>
          <w:sz w:val="25"/>
        </w:rPr>
        <w:t>综合数据报表</w:t>
      </w:r>
    </w:p>
    <w:p>
      <w:pPr>
        <w:pStyle w:val="16"/>
        <w:spacing w:after="60" w:line="276" w:lineRule="auto"/>
      </w:pPr>
      <w:r>
        <w:rPr>
          <w:rFonts w:ascii="微软雅黑" w:hAnsi="微软雅黑" w:eastAsia="微软雅黑"/>
          <w:b/>
          <w:color w:val="2F5597"/>
          <w:sz w:val="20"/>
        </w:rPr>
        <w:t>综合数据报表</w:t>
      </w:r>
      <w:r>
        <w:rPr>
          <w:rFonts w:ascii="微软雅黑" w:hAnsi="微软雅黑" w:eastAsia="微软雅黑"/>
          <w:b w:val="0"/>
          <w:sz w:val="20"/>
        </w:rPr>
        <w:t>：用于查看站点综合运营数据。</w:t>
      </w:r>
    </w:p>
    <w:p>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：按时间筛选充值、提现、投注、输赢、会员等关键指标。</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：用于日常经营看板和趋势分析，需注意筛选时间口径。</w:t>
      </w:r>
    </w:p>
    <w:p w14:paraId="2D9CF65D">
      <w:pPr>
        <w:pStyle w:val="5"/>
        <w:keepNext/>
        <w:spacing w:before="180" w:after="100" w:line="259" w:lineRule="auto"/>
      </w:pPr>
      <w:r>
        <w:rPr>
          <w:rFonts w:ascii="微软雅黑" w:hAnsi="微软雅黑" w:eastAsia="微软雅黑"/>
          <w:b/>
          <w:color w:val="2F5597"/>
          <w:sz w:val="25"/>
        </w:rPr>
        <w:t>游戏人数据表</w:t>
      </w:r>
    </w:p>
    <w:p>
      <w:pPr>
        <w:pStyle w:val="16"/>
        <w:spacing w:after="60" w:line="276" w:lineRule="auto"/>
      </w:pPr>
      <w:r>
        <w:rPr>
          <w:rFonts w:ascii="微软雅黑" w:hAnsi="微软雅黑" w:eastAsia="微软雅黑"/>
          <w:b/>
          <w:color w:val="2F5597"/>
          <w:sz w:val="20"/>
        </w:rPr>
        <w:t>游戏人数据表</w:t>
      </w:r>
      <w:r>
        <w:rPr>
          <w:rFonts w:ascii="微软雅黑" w:hAnsi="微软雅黑" w:eastAsia="微软雅黑"/>
          <w:b w:val="0"/>
          <w:sz w:val="20"/>
        </w:rPr>
        <w:t>：用于查看游戏维度的玩家人数数据。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：按时间、游戏或渠道筛选，查看活跃、投注和参与人数。</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：用于判断游戏热度和玩家分布，分析时结合投注报表。</w:t>
      </w:r>
    </w:p>
    <w:p w14:paraId="4F380F61">
      <w:pPr>
        <w:pStyle w:val="5"/>
        <w:keepNext/>
        <w:spacing w:before="180" w:after="100" w:line="259" w:lineRule="auto"/>
      </w:pPr>
      <w:r>
        <w:rPr>
          <w:rFonts w:ascii="微软雅黑" w:hAnsi="微软雅黑" w:eastAsia="微软雅黑"/>
          <w:b/>
          <w:color w:val="2F5597"/>
          <w:sz w:val="25"/>
        </w:rPr>
        <w:t>优惠数据报表</w:t>
      </w:r>
    </w:p>
    <w:p>
      <w:pPr>
        <w:pStyle w:val="16"/>
        <w:spacing w:after="60" w:line="276" w:lineRule="auto"/>
      </w:pPr>
      <w:r>
        <w:rPr>
          <w:rFonts w:ascii="微软雅黑" w:hAnsi="微软雅黑" w:eastAsia="微软雅黑"/>
          <w:b/>
          <w:color w:val="2F5597"/>
          <w:sz w:val="20"/>
        </w:rPr>
        <w:t>优惠数据报表</w:t>
      </w:r>
      <w:r>
        <w:rPr>
          <w:rFonts w:ascii="微软雅黑" w:hAnsi="微软雅黑" w:eastAsia="微软雅黑"/>
          <w:b w:val="0"/>
          <w:sz w:val="20"/>
        </w:rPr>
        <w:t>：用于统计优惠活动相关数据。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：按活动、时间、渠道或玩家筛选，查看领取、消耗和转化数据。</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：报表数据用于活动复盘和成本控制，口径以页面筛选条件为准。</w:t>
      </w:r>
    </w:p>
    <w:p w14:paraId="7F72DC0E">
      <w:pPr>
        <w:pStyle w:val="5"/>
        <w:keepNext/>
        <w:spacing w:before="180" w:after="100" w:line="259" w:lineRule="auto"/>
      </w:pPr>
      <w:r>
        <w:rPr>
          <w:rFonts w:ascii="微软雅黑" w:hAnsi="微软雅黑" w:eastAsia="微软雅黑"/>
          <w:b/>
          <w:color w:val="2F5597"/>
          <w:sz w:val="25"/>
        </w:rPr>
        <w:t>充值留存报表</w:t>
      </w:r>
    </w:p>
    <w:p>
      <w:pPr>
        <w:pStyle w:val="16"/>
        <w:spacing w:after="60" w:line="276" w:lineRule="auto"/>
      </w:pPr>
      <w:r>
        <w:rPr>
          <w:rFonts w:ascii="微软雅黑" w:hAnsi="微软雅黑" w:eastAsia="微软雅黑"/>
          <w:b/>
          <w:color w:val="2F5597"/>
          <w:sz w:val="20"/>
        </w:rPr>
        <w:t>充值留存报表</w:t>
      </w:r>
      <w:r>
        <w:rPr>
          <w:rFonts w:ascii="微软雅黑" w:hAnsi="微软雅黑" w:eastAsia="微软雅黑"/>
          <w:b w:val="0"/>
          <w:sz w:val="20"/>
        </w:rPr>
        <w:t>：用于查看充值用户后续留存情况。</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：按首充日期、渠道或站点筛选，查看次日、多日留存。</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：用于评估充值用户质量和运营活动效果。</w:t>
      </w:r>
    </w:p>
    <w:p w14:paraId="6B51C8CF">
      <w:pPr>
        <w:pStyle w:val="5"/>
        <w:keepNext/>
        <w:spacing w:before="180" w:after="100" w:line="259" w:lineRule="auto"/>
      </w:pPr>
      <w:r>
        <w:rPr>
          <w:rFonts w:ascii="微软雅黑" w:hAnsi="微软雅黑" w:eastAsia="微软雅黑"/>
          <w:b/>
          <w:color w:val="2F5597"/>
          <w:sz w:val="25"/>
        </w:rPr>
        <w:t>代理结算明细</w:t>
      </w:r>
    </w:p>
    <w:p>
      <w:pPr>
        <w:pStyle w:val="16"/>
        <w:spacing w:after="60" w:line="276" w:lineRule="auto"/>
      </w:pPr>
      <w:r>
        <w:rPr>
          <w:rFonts w:ascii="微软雅黑" w:hAnsi="微软雅黑" w:eastAsia="微软雅黑"/>
          <w:b/>
          <w:color w:val="2F5597"/>
          <w:sz w:val="20"/>
        </w:rPr>
        <w:t>代理结算明细</w:t>
      </w:r>
      <w:r>
        <w:rPr>
          <w:rFonts w:ascii="微软雅黑" w:hAnsi="微软雅黑" w:eastAsia="微软雅黑"/>
          <w:b w:val="0"/>
          <w:sz w:val="20"/>
        </w:rPr>
        <w:t>：用于查看代理结算明细和结算结果。</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：按代理、结算周期或状态筛选，查看佣金、返水和调整项。</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：结算前需核对代理配置、会员数据和异常调整。</w:t>
      </w:r>
    </w:p>
    <w:p w14:paraId="028AA85F">
      <w:pPr>
        <w:pStyle w:val="5"/>
        <w:keepNext/>
        <w:spacing w:before="180" w:after="100" w:line="259" w:lineRule="auto"/>
      </w:pPr>
      <w:r>
        <w:rPr>
          <w:rFonts w:ascii="微软雅黑" w:hAnsi="微软雅黑" w:eastAsia="微软雅黑"/>
          <w:b/>
          <w:color w:val="2F5597"/>
          <w:sz w:val="25"/>
        </w:rPr>
        <w:t>VIP数据统计</w:t>
      </w:r>
    </w:p>
    <w:p>
      <w:pPr>
        <w:pStyle w:val="16"/>
        <w:spacing w:after="60" w:line="276" w:lineRule="auto"/>
      </w:pPr>
      <w:r>
        <w:rPr>
          <w:rFonts w:ascii="微软雅黑" w:hAnsi="微软雅黑" w:eastAsia="微软雅黑"/>
          <w:b/>
          <w:color w:val="2F5597"/>
          <w:sz w:val="20"/>
        </w:rPr>
        <w:t>VIP数据统计</w:t>
      </w:r>
      <w:r>
        <w:rPr>
          <w:rFonts w:ascii="微软雅黑" w:hAnsi="微软雅黑" w:eastAsia="微软雅黑"/>
          <w:b w:val="0"/>
          <w:sz w:val="20"/>
        </w:rPr>
        <w:t>：用于统计各 VIP 等级会员数据。</w:t>
      </w:r>
    </w:p>
    <w:p>
      <w:pPr>
        <w:pStyle w:val="16"/>
        <w:spacing w:after="60" w:line="276" w:lineRule="auto"/>
      </w:pPr>
      <w:r>
        <w:rPr>
          <w:rFonts w:ascii="微软雅黑" w:hAnsi="微软雅黑" w:eastAsia="微软雅黑"/>
          <w:b/>
          <w:color w:val="2F5597"/>
          <w:sz w:val="20"/>
        </w:rPr>
        <w:t>查看内容</w:t>
      </w:r>
      <w:r>
        <w:rPr>
          <w:rFonts w:ascii="微软雅黑" w:hAnsi="微软雅黑" w:eastAsia="微软雅黑"/>
          <w:b w:val="0"/>
          <w:sz w:val="20"/>
        </w:rPr>
        <w:t>：按时间或等级查看会员数量、充值、投注和升降级情况。</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 VIP 结构和高价值会员运营效果。</w:t>
      </w:r>
    </w:p>
    <w:p w14:paraId="0928B106">
      <w:pPr>
        <w:pStyle w:val="5"/>
        <w:keepNext/>
        <w:spacing w:before="180" w:after="100" w:line="259" w:lineRule="auto"/>
      </w:pPr>
      <w:r>
        <w:rPr>
          <w:rFonts w:ascii="微软雅黑" w:hAnsi="微软雅黑" w:eastAsia="微软雅黑"/>
          <w:b/>
          <w:color w:val="2F5597"/>
          <w:sz w:val="25"/>
        </w:rPr>
        <w:t>数据排行</w:t>
      </w:r>
    </w:p>
    <w:p>
      <w:pPr>
        <w:pStyle w:val="16"/>
        <w:spacing w:after="60" w:line="276" w:lineRule="auto"/>
      </w:pPr>
      <w:r>
        <w:rPr>
          <w:rFonts w:ascii="微软雅黑" w:hAnsi="微软雅黑" w:eastAsia="微软雅黑"/>
          <w:b/>
          <w:color w:val="2F5597"/>
          <w:sz w:val="20"/>
        </w:rPr>
        <w:t>数据排行</w:t>
      </w:r>
      <w:r>
        <w:rPr>
          <w:rFonts w:ascii="微软雅黑" w:hAnsi="微软雅黑" w:eastAsia="微软雅黑"/>
          <w:b w:val="0"/>
          <w:sz w:val="20"/>
        </w:rPr>
        <w:t>：用于查看会员、游戏或渠道相关排行。</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：按指标和时间筛选，查看充值、投注、输赢等排名。</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：排行用于发现重点会员和异常数据，需结合明细记录核对。</w:t>
      </w:r>
    </w:p>
    <w:p w14:paraId="55BCB24D">
      <w:pPr>
        <w:pStyle w:val="5"/>
        <w:keepNext/>
        <w:spacing w:before="180" w:after="100" w:line="259" w:lineRule="auto"/>
      </w:pPr>
      <w:r>
        <w:rPr>
          <w:rFonts w:ascii="微软雅黑" w:hAnsi="微软雅黑" w:eastAsia="微软雅黑"/>
          <w:b/>
          <w:color w:val="2F5597"/>
          <w:sz w:val="25"/>
        </w:rPr>
        <w:t>游戏记录</w:t>
      </w:r>
    </w:p>
    <w:p>
      <w:pPr>
        <w:pStyle w:val="16"/>
        <w:spacing w:after="60" w:line="276" w:lineRule="auto"/>
      </w:pPr>
      <w:r>
        <w:rPr>
          <w:rFonts w:ascii="微软雅黑" w:hAnsi="微软雅黑" w:eastAsia="微软雅黑"/>
          <w:b/>
          <w:color w:val="2F5597"/>
          <w:sz w:val="20"/>
        </w:rPr>
        <w:t>游戏记录</w:t>
      </w:r>
      <w:r>
        <w:rPr>
          <w:rFonts w:ascii="微软雅黑" w:hAnsi="微软雅黑" w:eastAsia="微软雅黑"/>
          <w:b w:val="0"/>
          <w:sz w:val="20"/>
        </w:rPr>
        <w:t>：用于查询玩家游戏投注记录。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：按玩家、游戏、订单号、状态或时间筛选，查看投注明细。</w:t>
      </w:r>
    </w:p>
    <w:p>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：排查输赢争议时应结合游戏记录、账变和订单状态。</w:t>
      </w:r>
    </w:p>
    <w:p w14:paraId="4782256E">
      <w:pPr>
        <w:pStyle w:val="5"/>
        <w:keepNext/>
        <w:spacing w:before="180" w:after="100" w:line="259" w:lineRule="auto"/>
      </w:pPr>
      <w:r>
        <w:rPr>
          <w:rFonts w:ascii="微软雅黑" w:hAnsi="微软雅黑" w:eastAsia="微软雅黑"/>
          <w:b/>
          <w:color w:val="2F5597"/>
          <w:sz w:val="25"/>
        </w:rPr>
        <w:t>用户留存</w:t>
      </w:r>
    </w:p>
    <w:p>
      <w:pPr>
        <w:pStyle w:val="16"/>
        <w:spacing w:after="60" w:line="276" w:lineRule="auto"/>
      </w:pPr>
      <w:r>
        <w:rPr>
          <w:rFonts w:ascii="微软雅黑" w:hAnsi="微软雅黑" w:eastAsia="微软雅黑"/>
          <w:b/>
          <w:color w:val="2F5597"/>
          <w:sz w:val="20"/>
        </w:rPr>
        <w:t>用户留存</w:t>
      </w:r>
      <w:r>
        <w:rPr>
          <w:rFonts w:ascii="微软雅黑" w:hAnsi="微软雅黑" w:eastAsia="微软雅黑"/>
          <w:b w:val="0"/>
          <w:sz w:val="20"/>
        </w:rPr>
        <w:t>：用于查看注册或活跃用户的留存情况。</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：按日期、渠道或用户分组筛选，查看留存比例。</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：留存分析用于评估渠道质量和运营活动效果。</w:t>
      </w:r>
    </w:p>
    <w:p w14:paraId="7F4FB0CF">
      <w:pPr>
        <w:pStyle w:val="5"/>
        <w:keepNext/>
        <w:spacing w:before="180" w:after="100" w:line="259" w:lineRule="auto"/>
      </w:pPr>
      <w:r>
        <w:rPr>
          <w:rFonts w:ascii="微软雅黑" w:hAnsi="微软雅黑" w:eastAsia="微软雅黑"/>
          <w:b/>
          <w:color w:val="2F5597"/>
          <w:sz w:val="25"/>
        </w:rPr>
        <w:t>用户分析</w:t>
      </w:r>
    </w:p>
    <w:p>
      <w:pPr>
        <w:pStyle w:val="16"/>
        <w:spacing w:after="60" w:line="276" w:lineRule="auto"/>
      </w:pPr>
      <w:r>
        <w:rPr>
          <w:rFonts w:ascii="微软雅黑" w:hAnsi="微软雅黑" w:eastAsia="微软雅黑"/>
          <w:b/>
          <w:color w:val="2F5597"/>
          <w:sz w:val="20"/>
        </w:rPr>
        <w:t>用户分析</w:t>
      </w:r>
      <w:r>
        <w:rPr>
          <w:rFonts w:ascii="微软雅黑" w:hAnsi="微软雅黑" w:eastAsia="微软雅黑"/>
          <w:b w:val="0"/>
          <w:sz w:val="20"/>
        </w:rPr>
        <w:t>：用于分析用户结构、活跃和行为数据。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：按时间、渠道或用户类型筛选，查看新增、活跃、充值等指标。</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：用于用户运营决策，需结合留存、充值和活动数据判断。</w:t>
      </w:r>
    </w:p>
    <w:p w14:paraId="6E8DFB1B">
      <w:pPr>
        <w:pStyle w:val="5"/>
        <w:keepNext/>
        <w:spacing w:before="180" w:after="100" w:line="259" w:lineRule="auto"/>
      </w:pPr>
      <w:r>
        <w:rPr>
          <w:rFonts w:ascii="微软雅黑" w:hAnsi="微软雅黑" w:eastAsia="微软雅黑"/>
          <w:b/>
          <w:color w:val="2F5597"/>
          <w:sz w:val="25"/>
        </w:rPr>
        <w:t>LTV</w:t>
      </w:r>
    </w:p>
    <w:p>
      <w:pPr>
        <w:pStyle w:val="16"/>
        <w:spacing w:after="60" w:line="276" w:lineRule="auto"/>
      </w:pPr>
      <w:r>
        <w:rPr>
          <w:rFonts w:ascii="微软雅黑" w:hAnsi="微软雅黑" w:eastAsia="微软雅黑"/>
          <w:b/>
          <w:color w:val="2F5597"/>
          <w:sz w:val="20"/>
        </w:rPr>
        <w:t>LTV</w:t>
      </w:r>
      <w:r>
        <w:rPr>
          <w:rFonts w:ascii="微软雅黑" w:hAnsi="微软雅黑" w:eastAsia="微软雅黑"/>
          <w:b w:val="0"/>
          <w:sz w:val="20"/>
        </w:rPr>
        <w:t>：用于查看用户生命周期价值数据。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：按注册日期、渠道或用户分组筛选，查看不同周期价值表现。</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：用于评估投放回收和用户质量，需与渠道成本结合分析。</w:t>
      </w:r>
    </w:p>
    <w:p w14:paraId="72DD9253">
      <w:pPr>
        <w:pStyle w:val="5"/>
        <w:keepNext/>
        <w:spacing w:before="180" w:after="100" w:line="259" w:lineRule="auto"/>
      </w:pPr>
      <w:r>
        <w:rPr>
          <w:rFonts w:ascii="微软雅黑" w:hAnsi="微软雅黑" w:eastAsia="微软雅黑"/>
          <w:b/>
          <w:color w:val="2F5597"/>
          <w:sz w:val="25"/>
        </w:rPr>
        <w:t>活动统计报表</w:t>
      </w:r>
    </w:p>
    <w:p>
      <w:pPr>
        <w:pStyle w:val="16"/>
        <w:spacing w:after="60" w:line="276" w:lineRule="auto"/>
      </w:pPr>
      <w:r>
        <w:rPr>
          <w:rFonts w:ascii="微软雅黑" w:hAnsi="微软雅黑" w:eastAsia="微软雅黑"/>
          <w:b/>
          <w:color w:val="2F5597"/>
          <w:sz w:val="20"/>
        </w:rPr>
        <w:t>活动统计报表</w:t>
      </w:r>
      <w:r>
        <w:rPr>
          <w:rFonts w:ascii="微软雅黑" w:hAnsi="微软雅黑" w:eastAsia="微软雅黑"/>
          <w:b w:val="0"/>
          <w:sz w:val="20"/>
        </w:rPr>
        <w:t>：用于统计活动参与和奖励数据。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：按活动和时间筛选，查看参与人数、奖励金额和转化情况。</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：用于活动效果复盘，需结合优惠数据和账变记录核对。</w:t>
      </w:r>
    </w:p>
    <w:p w14:paraId="73D9923F">
      <w:pPr>
        <w:pStyle w:val="5"/>
        <w:keepNext/>
        <w:spacing w:before="180" w:after="100" w:line="259" w:lineRule="auto"/>
      </w:pPr>
      <w:r>
        <w:rPr>
          <w:rFonts w:ascii="微软雅黑" w:hAnsi="微软雅黑" w:eastAsia="微软雅黑"/>
          <w:b/>
          <w:color w:val="2F5597"/>
          <w:sz w:val="25"/>
        </w:rPr>
        <w:t>充值分布表</w:t>
      </w:r>
    </w:p>
    <w:p>
      <w:pPr>
        <w:pStyle w:val="16"/>
        <w:spacing w:after="60" w:line="276" w:lineRule="auto"/>
      </w:pPr>
      <w:r>
        <w:rPr>
          <w:rFonts w:ascii="微软雅黑" w:hAnsi="微软雅黑" w:eastAsia="微软雅黑"/>
          <w:b/>
          <w:color w:val="2F5597"/>
          <w:sz w:val="20"/>
        </w:rPr>
        <w:t>充值分布表</w:t>
      </w:r>
      <w:r>
        <w:rPr>
          <w:rFonts w:ascii="微软雅黑" w:hAnsi="微软雅黑" w:eastAsia="微软雅黑"/>
          <w:b w:val="0"/>
          <w:sz w:val="20"/>
        </w:rPr>
        <w:t>：用于查看充值金额、次数和用户分布。</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：按时间、金额区间或渠道筛选，查看充值结构。</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：用于分析充值习惯和优化充值配置。</w:t>
      </w:r>
    </w:p>
    <w:p w14:paraId="428F47D2">
      <w:pPr>
        <w:pStyle w:val="5"/>
        <w:keepNext/>
        <w:spacing w:before="180" w:after="100" w:line="259" w:lineRule="auto"/>
      </w:pPr>
      <w:r>
        <w:rPr>
          <w:rFonts w:ascii="微软雅黑" w:hAnsi="微软雅黑" w:eastAsia="微软雅黑"/>
          <w:b/>
          <w:color w:val="2F5597"/>
          <w:sz w:val="25"/>
        </w:rPr>
        <w:t>任务统计报表</w:t>
      </w:r>
    </w:p>
    <w:p>
      <w:pPr>
        <w:pStyle w:val="16"/>
        <w:spacing w:after="60" w:line="276" w:lineRule="auto"/>
      </w:pPr>
      <w:r>
        <w:rPr>
          <w:rFonts w:ascii="微软雅黑" w:hAnsi="微软雅黑" w:eastAsia="微软雅黑"/>
          <w:b/>
          <w:color w:val="2F5597"/>
          <w:sz w:val="20"/>
        </w:rPr>
        <w:t>任务统计报表</w:t>
      </w:r>
      <w:r>
        <w:rPr>
          <w:rFonts w:ascii="微软雅黑" w:hAnsi="微软雅黑" w:eastAsia="微软雅黑"/>
          <w:b w:val="0"/>
          <w:sz w:val="20"/>
        </w:rPr>
        <w:t>：用于查看任务参与和完成数据。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：按任务和时间筛选，查看参与人数、完成数和奖励发放。</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：用于评估任务效果，需结合任务配置和奖励记录。</w:t>
      </w:r>
    </w:p>
    <w:p w14:paraId="59DE9601">
      <w:pPr>
        <w:pStyle w:val="5"/>
        <w:keepNext/>
        <w:spacing w:before="180" w:after="100" w:line="259" w:lineRule="auto"/>
      </w:pPr>
      <w:r>
        <w:rPr>
          <w:rFonts w:ascii="微软雅黑" w:hAnsi="微软雅黑" w:eastAsia="微软雅黑"/>
          <w:b/>
          <w:color w:val="2F5597"/>
          <w:sz w:val="25"/>
        </w:rPr>
        <w:t>用户分群查询</w:t>
      </w:r>
    </w:p>
    <w:p>
      <w:pPr>
        <w:pStyle w:val="16"/>
        <w:spacing w:after="60" w:line="276" w:lineRule="auto"/>
      </w:pPr>
      <w:r>
        <w:rPr>
          <w:rFonts w:ascii="微软雅黑" w:hAnsi="微软雅黑" w:eastAsia="微软雅黑"/>
          <w:b/>
          <w:color w:val="2F5597"/>
          <w:sz w:val="20"/>
        </w:rPr>
        <w:t>用户分群查询</w:t>
      </w:r>
      <w:r>
        <w:rPr>
          <w:rFonts w:ascii="微软雅黑" w:hAnsi="微软雅黑" w:eastAsia="微软雅黑"/>
          <w:b w:val="0"/>
          <w:sz w:val="20"/>
        </w:rPr>
        <w:t>：用于查询用户分群结果和分群成员。</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：按分群条件、标签或会员信息筛选，查看命中用户。</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：分群结果可用于活动、消息推送和精细化运营。</w:t>
      </w:r>
    </w:p>
    <w:p w14:paraId="28FBAEC0">
      <w:pPr>
        <w:pStyle w:val="3"/>
        <w:keepNext/>
        <w:spacing w:before="360" w:after="240" w:line="276" w:lineRule="auto"/>
      </w:pPr>
      <w:r>
        <w:rPr>
          <w:rFonts w:ascii="微软雅黑" w:hAnsi="微软雅黑" w:eastAsia="微软雅黑"/>
          <w:b/>
          <w:color w:val="17365D"/>
          <w:sz w:val="40"/>
        </w:rPr>
        <w:t>九、游戏中心</w:t>
      </w:r>
    </w:p>
    <w:p w14:paraId="7FE60D52">
      <w:pPr>
        <w:pStyle w:val="4"/>
        <w:keepNext/>
        <w:spacing w:before="240" w:after="140" w:line="269" w:lineRule="auto"/>
      </w:pPr>
      <w:r>
        <w:rPr>
          <w:rFonts w:ascii="微软雅黑" w:hAnsi="微软雅黑" w:eastAsia="微软雅黑"/>
          <w:b/>
          <w:color w:val="1F4E79"/>
          <w:sz w:val="30"/>
        </w:rPr>
        <w:t>模块定位</w:t>
      </w:r>
    </w:p>
    <w:p w14:paraId="1A5B98BB">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7740A8C">
      <w:pPr>
        <w:pStyle w:val="4"/>
        <w:keepNext/>
        <w:spacing w:before="240" w:after="140" w:line="269" w:lineRule="auto"/>
      </w:pPr>
      <w:r>
        <w:rPr>
          <w:rFonts w:ascii="微软雅黑" w:hAnsi="微软雅黑" w:eastAsia="微软雅黑"/>
          <w:b/>
          <w:color w:val="1F4E79"/>
          <w:sz w:val="30"/>
        </w:rPr>
        <w:t>页面说明</w:t>
      </w:r>
    </w:p>
    <w:p w14:paraId="5D44EC52">
      <w:pPr>
        <w:pStyle w:val="5"/>
        <w:keepNext/>
        <w:spacing w:before="180" w:after="100" w:line="259" w:lineRule="auto"/>
      </w:pPr>
      <w:r>
        <w:rPr>
          <w:rFonts w:ascii="微软雅黑" w:hAnsi="微软雅黑" w:eastAsia="微软雅黑"/>
          <w:b/>
          <w:color w:val="2F5597"/>
          <w:sz w:val="25"/>
        </w:rPr>
        <w:t>推荐频道管理</w:t>
      </w:r>
    </w:p>
    <w:p>
      <w:pPr>
        <w:pStyle w:val="16"/>
        <w:spacing w:after="60" w:line="276" w:lineRule="auto"/>
      </w:pPr>
      <w:r>
        <w:rPr>
          <w:rFonts w:ascii="微软雅黑" w:hAnsi="微软雅黑" w:eastAsia="微软雅黑"/>
          <w:b/>
          <w:color w:val="2F5597"/>
          <w:sz w:val="20"/>
        </w:rPr>
        <w:t>推荐频道管理</w:t>
      </w:r>
      <w:r>
        <w:rPr>
          <w:rFonts w:ascii="微软雅黑" w:hAnsi="微软雅黑" w:eastAsia="微软雅黑"/>
          <w:b w:val="0"/>
          <w:sz w:val="20"/>
        </w:rPr>
        <w:t>：用于维护前台推荐频道和展示内容。</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：新增、编辑、排序、启用或停用推荐频道。</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：调整前确认频道内容、排序和前台展示效果。</w:t>
      </w:r>
    </w:p>
    <w:p w14:paraId="65EA5E4B">
      <w:pPr>
        <w:pStyle w:val="5"/>
        <w:keepNext/>
        <w:spacing w:before="180" w:after="100" w:line="259" w:lineRule="auto"/>
      </w:pPr>
      <w:r>
        <w:rPr>
          <w:rFonts w:ascii="微软雅黑" w:hAnsi="微软雅黑" w:eastAsia="微软雅黑"/>
          <w:b/>
          <w:color w:val="2F5597"/>
          <w:sz w:val="25"/>
        </w:rPr>
        <w:t>游戏类型设置</w:t>
      </w:r>
    </w:p>
    <w:p>
      <w:pPr>
        <w:pStyle w:val="16"/>
        <w:spacing w:after="60" w:line="276" w:lineRule="auto"/>
      </w:pPr>
      <w:r>
        <w:rPr>
          <w:rFonts w:ascii="微软雅黑" w:hAnsi="微软雅黑" w:eastAsia="微软雅黑"/>
          <w:b/>
          <w:color w:val="2F5597"/>
          <w:sz w:val="20"/>
        </w:rPr>
        <w:t>游戏类型设置</w:t>
      </w:r>
      <w:r>
        <w:rPr>
          <w:rFonts w:ascii="微软雅黑" w:hAnsi="微软雅黑" w:eastAsia="微软雅黑"/>
          <w:b w:val="0"/>
          <w:sz w:val="20"/>
        </w:rPr>
        <w:t>：用于维护游戏类型分类。</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：新增、编辑、排序、启用或停用游戏类型。</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：类型配置会影响前台游戏筛选和后台统计归类。</w:t>
      </w:r>
    </w:p>
    <w:p w14:paraId="4B2C4F27">
      <w:pPr>
        <w:pStyle w:val="5"/>
        <w:keepNext/>
        <w:spacing w:before="180" w:after="100" w:line="259" w:lineRule="auto"/>
      </w:pPr>
      <w:r>
        <w:rPr>
          <w:rFonts w:ascii="微软雅黑" w:hAnsi="微软雅黑" w:eastAsia="微软雅黑"/>
          <w:b/>
          <w:color w:val="2F5597"/>
          <w:sz w:val="25"/>
        </w:rPr>
        <w:t>游戏频道管理</w:t>
      </w:r>
    </w:p>
    <w:p>
      <w:pPr>
        <w:pStyle w:val="16"/>
        <w:spacing w:after="60" w:line="276" w:lineRule="auto"/>
      </w:pPr>
      <w:r>
        <w:rPr>
          <w:rFonts w:ascii="微软雅黑" w:hAnsi="微软雅黑" w:eastAsia="微软雅黑"/>
          <w:b/>
          <w:color w:val="2F5597"/>
          <w:sz w:val="20"/>
        </w:rPr>
        <w:t>游戏频道管理</w:t>
      </w:r>
      <w:r>
        <w:rPr>
          <w:rFonts w:ascii="微软雅黑" w:hAnsi="微软雅黑" w:eastAsia="微软雅黑"/>
          <w:b w:val="0"/>
          <w:sz w:val="20"/>
        </w:rPr>
        <w:t>：用于维护游戏频道和频道内游戏展示。</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：配置频道名称、排序、展示游戏和启停状态。</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：保存后需检查前台频道展示和游戏入口是否正确。</w:t>
      </w:r>
    </w:p>
    <w:p w14:paraId="6618AAB0">
      <w:pPr>
        <w:pStyle w:val="5"/>
        <w:keepNext/>
        <w:spacing w:before="180" w:after="100" w:line="259" w:lineRule="auto"/>
      </w:pPr>
      <w:r>
        <w:rPr>
          <w:rFonts w:ascii="微软雅黑" w:hAnsi="微软雅黑" w:eastAsia="微软雅黑"/>
          <w:b/>
          <w:color w:val="2F5597"/>
          <w:sz w:val="25"/>
        </w:rPr>
        <w:t>子游戏列表</w:t>
      </w:r>
    </w:p>
    <w:p>
      <w:pPr>
        <w:pStyle w:val="16"/>
        <w:spacing w:after="60" w:line="276" w:lineRule="auto"/>
      </w:pPr>
      <w:r>
        <w:rPr>
          <w:rFonts w:ascii="微软雅黑" w:hAnsi="微软雅黑" w:eastAsia="微软雅黑"/>
          <w:b/>
          <w:color w:val="2F5597"/>
          <w:sz w:val="20"/>
        </w:rPr>
        <w:t>子游戏列表</w:t>
      </w:r>
      <w:r>
        <w:rPr>
          <w:rFonts w:ascii="微软雅黑" w:hAnsi="微软雅黑" w:eastAsia="微软雅黑"/>
          <w:b w:val="0"/>
          <w:sz w:val="20"/>
        </w:rPr>
        <w:t>：用于查看和管理子游戏信息。</w:t>
      </w:r>
    </w:p>
    <w:p>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：按厂商、类型或状态筛选，启用、停用或调整游戏展示。</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：调整游戏状态会影响玩家进入游戏，操作前需确认影响范围。</w:t>
      </w:r>
    </w:p>
    <w:p w14:paraId="6D89B257">
      <w:pPr>
        <w:pStyle w:val="5"/>
        <w:keepNext/>
        <w:spacing w:before="180" w:after="100" w:line="259" w:lineRule="auto"/>
      </w:pPr>
      <w:r>
        <w:rPr>
          <w:rFonts w:ascii="微软雅黑" w:hAnsi="微软雅黑" w:eastAsia="微软雅黑"/>
          <w:b/>
          <w:color w:val="2F5597"/>
          <w:sz w:val="25"/>
        </w:rPr>
        <w:t>游戏统计</w:t>
      </w:r>
    </w:p>
    <w:p>
      <w:pPr>
        <w:pStyle w:val="16"/>
        <w:spacing w:after="60" w:line="276" w:lineRule="auto"/>
      </w:pPr>
      <w:r>
        <w:rPr>
          <w:rFonts w:ascii="微软雅黑" w:hAnsi="微软雅黑" w:eastAsia="微软雅黑"/>
          <w:b/>
          <w:color w:val="2F5597"/>
          <w:sz w:val="20"/>
        </w:rPr>
        <w:t>游戏统计</w:t>
      </w:r>
      <w:r>
        <w:rPr>
          <w:rFonts w:ascii="微软雅黑" w:hAnsi="微软雅黑" w:eastAsia="微软雅黑"/>
          <w:b w:val="0"/>
          <w:sz w:val="20"/>
        </w:rPr>
        <w:t>：用于查看游戏投注和输赢统计。</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：按游戏、厂商或时间筛选，查看投注人数、投注额和输赢。</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：用于分析游戏表现，异常时结合游戏记录核对。</w:t>
      </w:r>
    </w:p>
    <w:p w14:paraId="11EEA7F1">
      <w:pPr>
        <w:pStyle w:val="5"/>
        <w:keepNext/>
        <w:spacing w:before="180" w:after="100" w:line="259" w:lineRule="auto"/>
      </w:pPr>
      <w:r>
        <w:rPr>
          <w:rFonts w:ascii="微软雅黑" w:hAnsi="微软雅黑" w:eastAsia="微软雅黑"/>
          <w:b/>
          <w:color w:val="2F5597"/>
          <w:sz w:val="25"/>
        </w:rPr>
        <w:t>游戏厂商统计</w:t>
      </w:r>
    </w:p>
    <w:p>
      <w:pPr>
        <w:pStyle w:val="16"/>
        <w:spacing w:after="60" w:line="276" w:lineRule="auto"/>
      </w:pPr>
      <w:r>
        <w:rPr>
          <w:rFonts w:ascii="微软雅黑" w:hAnsi="微软雅黑" w:eastAsia="微软雅黑"/>
          <w:b/>
          <w:color w:val="2F5597"/>
          <w:sz w:val="20"/>
        </w:rPr>
        <w:t>游戏厂商统计</w:t>
      </w:r>
      <w:r>
        <w:rPr>
          <w:rFonts w:ascii="微软雅黑" w:hAnsi="微软雅黑" w:eastAsia="微软雅黑"/>
          <w:b w:val="0"/>
          <w:sz w:val="20"/>
        </w:rPr>
        <w:t>：用于查看各游戏厂商数据表现。</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：按厂商和时间筛选，查看投注、输赢和活跃数据。</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：用于评估厂商质量和游戏引入效果。</w:t>
      </w:r>
    </w:p>
    <w:p w14:paraId="44C4832E">
      <w:pPr>
        <w:pStyle w:val="3"/>
        <w:keepNext/>
        <w:spacing w:before="360" w:after="240" w:line="276" w:lineRule="auto"/>
      </w:pPr>
      <w:r>
        <w:rPr>
          <w:rFonts w:ascii="微软雅黑" w:hAnsi="微软雅黑" w:eastAsia="微软雅黑"/>
          <w:b/>
          <w:color w:val="17365D"/>
          <w:sz w:val="40"/>
        </w:rPr>
        <w:t>十、用户管理</w:t>
      </w:r>
    </w:p>
    <w:p w14:paraId="33F41098">
      <w:pPr>
        <w:pStyle w:val="4"/>
        <w:keepNext/>
        <w:spacing w:before="240" w:after="140" w:line="269" w:lineRule="auto"/>
      </w:pPr>
      <w:r>
        <w:rPr>
          <w:rFonts w:ascii="微软雅黑" w:hAnsi="微软雅黑" w:eastAsia="微软雅黑"/>
          <w:b/>
          <w:color w:val="1F4E79"/>
          <w:sz w:val="30"/>
        </w:rPr>
        <w:t>模块定位</w:t>
      </w:r>
    </w:p>
    <w:p w14:paraId="2A2B0F0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3F1E533F">
      <w:pPr>
        <w:pStyle w:val="4"/>
        <w:keepNext/>
        <w:spacing w:before="240" w:after="140" w:line="269" w:lineRule="auto"/>
      </w:pPr>
      <w:r>
        <w:rPr>
          <w:rFonts w:ascii="微软雅黑" w:hAnsi="微软雅黑" w:eastAsia="微软雅黑"/>
          <w:b/>
          <w:color w:val="1F4E79"/>
          <w:sz w:val="30"/>
        </w:rPr>
        <w:t>页面说明</w:t>
      </w:r>
    </w:p>
    <w:p w14:paraId="0859F249">
      <w:pPr>
        <w:pStyle w:val="5"/>
        <w:keepNext/>
        <w:spacing w:before="180" w:after="100" w:line="259" w:lineRule="auto"/>
      </w:pPr>
      <w:r>
        <w:rPr>
          <w:rFonts w:ascii="微软雅黑" w:hAnsi="微软雅黑" w:eastAsia="微软雅黑"/>
          <w:b/>
          <w:color w:val="2F5597"/>
          <w:sz w:val="25"/>
        </w:rPr>
        <w:t>在线玩家列表</w:t>
      </w:r>
    </w:p>
    <w:p>
      <w:pPr>
        <w:pStyle w:val="16"/>
        <w:spacing w:after="60" w:line="276" w:lineRule="auto"/>
      </w:pPr>
      <w:r>
        <w:rPr>
          <w:rFonts w:ascii="微软雅黑" w:hAnsi="微软雅黑" w:eastAsia="微软雅黑"/>
          <w:b/>
          <w:color w:val="2F5597"/>
          <w:sz w:val="20"/>
        </w:rPr>
        <w:t>在线玩家列表</w:t>
      </w:r>
      <w:r>
        <w:rPr>
          <w:rFonts w:ascii="微软雅黑" w:hAnsi="微软雅黑" w:eastAsia="微软雅黑"/>
          <w:b w:val="0"/>
          <w:sz w:val="20"/>
        </w:rPr>
        <w:t>：用于查看当前在线玩家。</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：按会员、渠道或状态筛选，查看在线时间、终端和会员信息。</w:t>
      </w:r>
    </w:p>
    <w:p>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：用于实时运营观察和异常在线排查。</w:t>
      </w:r>
    </w:p>
    <w:p w14:paraId="7114301A">
      <w:pPr>
        <w:pStyle w:val="5"/>
        <w:keepNext/>
        <w:spacing w:before="180" w:after="100" w:line="259" w:lineRule="auto"/>
      </w:pPr>
      <w:r>
        <w:rPr>
          <w:rFonts w:ascii="微软雅黑" w:hAnsi="微软雅黑" w:eastAsia="微软雅黑"/>
          <w:b/>
          <w:color w:val="2F5597"/>
          <w:sz w:val="25"/>
        </w:rPr>
        <w:t>所有会员</w:t>
      </w:r>
    </w:p>
    <w:p>
      <w:pPr>
        <w:pStyle w:val="16"/>
        <w:spacing w:after="60" w:line="276" w:lineRule="auto"/>
      </w:pPr>
      <w:r>
        <w:rPr>
          <w:rFonts w:ascii="微软雅黑" w:hAnsi="微软雅黑" w:eastAsia="微软雅黑"/>
          <w:b/>
          <w:color w:val="2F5597"/>
          <w:sz w:val="20"/>
        </w:rPr>
        <w:t>所有会员</w:t>
      </w:r>
      <w:r>
        <w:rPr>
          <w:rFonts w:ascii="微软雅黑" w:hAnsi="微软雅黑" w:eastAsia="微软雅黑"/>
          <w:b w:val="0"/>
          <w:sz w:val="20"/>
        </w:rPr>
        <w:t>：用于查询和管理会员基础信息。</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：按会员账号、ID、状态或注册时间筛选，查看资料、余额和行为信息。</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：处理会员问题时先确认账号身份，再进入资金、订单或活动明细核对。</w:t>
      </w:r>
    </w:p>
    <w:p w14:paraId="053421E3">
      <w:pPr>
        <w:pStyle w:val="5"/>
        <w:keepNext/>
        <w:spacing w:before="180" w:after="100" w:line="259" w:lineRule="auto"/>
      </w:pPr>
      <w:r>
        <w:rPr>
          <w:rFonts w:ascii="微软雅黑" w:hAnsi="微软雅黑" w:eastAsia="微软雅黑"/>
          <w:b/>
          <w:color w:val="2F5597"/>
          <w:sz w:val="25"/>
        </w:rPr>
        <w:t>VIP设置</w:t>
      </w:r>
    </w:p>
    <w:p>
      <w:pPr>
        <w:pStyle w:val="16"/>
        <w:spacing w:after="60" w:line="276" w:lineRule="auto"/>
      </w:pPr>
      <w:r>
        <w:rPr>
          <w:rFonts w:ascii="微软雅黑" w:hAnsi="微软雅黑" w:eastAsia="微软雅黑"/>
          <w:b/>
          <w:color w:val="2F5597"/>
          <w:sz w:val="20"/>
        </w:rPr>
        <w:t>VIP设置</w:t>
      </w:r>
      <w:r>
        <w:rPr>
          <w:rFonts w:ascii="微软雅黑" w:hAnsi="微软雅黑" w:eastAsia="微软雅黑"/>
          <w:b w:val="0"/>
          <w:sz w:val="20"/>
        </w:rPr>
        <w:t>：用于配置 VIP 等级、权益和升级条件。</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：设置等级名称、升级条件、保级条件、奖励和启停状态。</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：调整后会影响会员等级和权益展示，需提前确认规则。</w:t>
      </w:r>
    </w:p>
    <w:p w14:paraId="7DC6CA3D">
      <w:pPr>
        <w:pStyle w:val="5"/>
        <w:keepNext/>
        <w:spacing w:before="180" w:after="100" w:line="259" w:lineRule="auto"/>
      </w:pPr>
      <w:r>
        <w:rPr>
          <w:rFonts w:ascii="微软雅黑" w:hAnsi="微软雅黑" w:eastAsia="微软雅黑"/>
          <w:b/>
          <w:color w:val="2F5597"/>
          <w:sz w:val="25"/>
        </w:rPr>
        <w:t>有奖反馈</w:t>
      </w:r>
    </w:p>
    <w:p>
      <w:pPr>
        <w:pStyle w:val="16"/>
        <w:spacing w:after="60" w:line="276" w:lineRule="auto"/>
      </w:pPr>
      <w:r>
        <w:rPr>
          <w:rFonts w:ascii="微软雅黑" w:hAnsi="微软雅黑" w:eastAsia="微软雅黑"/>
          <w:b/>
          <w:color w:val="2F5597"/>
          <w:sz w:val="20"/>
        </w:rPr>
        <w:t>有奖反馈</w:t>
      </w:r>
      <w:r>
        <w:rPr>
          <w:rFonts w:ascii="微软雅黑" w:hAnsi="微软雅黑" w:eastAsia="微软雅黑"/>
          <w:b w:val="0"/>
          <w:sz w:val="20"/>
        </w:rPr>
        <w:t>：用于查看和处理会员反馈奖励。</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：筛选反馈记录，查看内容、处理状态并发放或拒绝奖励。</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：处理前核对反馈内容、奖励规则和会员信息。</w:t>
      </w:r>
    </w:p>
    <w:p w14:paraId="6557F0E8">
      <w:pPr>
        <w:pStyle w:val="3"/>
        <w:keepNext/>
        <w:spacing w:before="360" w:after="240" w:line="276" w:lineRule="auto"/>
      </w:pPr>
      <w:r>
        <w:rPr>
          <w:rFonts w:ascii="微软雅黑" w:hAnsi="微软雅黑" w:eastAsia="微软雅黑"/>
          <w:b/>
          <w:color w:val="17365D"/>
          <w:sz w:val="40"/>
        </w:rPr>
        <w:t>十一、代理中心</w:t>
      </w:r>
    </w:p>
    <w:p w14:paraId="6AE93606">
      <w:pPr>
        <w:pStyle w:val="4"/>
        <w:keepNext/>
        <w:spacing w:before="240" w:after="140" w:line="269" w:lineRule="auto"/>
      </w:pPr>
      <w:r>
        <w:rPr>
          <w:rFonts w:ascii="微软雅黑" w:hAnsi="微软雅黑" w:eastAsia="微软雅黑"/>
          <w:b/>
          <w:color w:val="1F4E79"/>
          <w:sz w:val="30"/>
        </w:rPr>
        <w:t>模块定位</w:t>
      </w:r>
    </w:p>
    <w:p w14:paraId="74E2E54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377E732">
      <w:pPr>
        <w:pStyle w:val="4"/>
        <w:keepNext/>
        <w:spacing w:before="240" w:after="140" w:line="269" w:lineRule="auto"/>
      </w:pPr>
      <w:r>
        <w:rPr>
          <w:rFonts w:ascii="微软雅黑" w:hAnsi="微软雅黑" w:eastAsia="微软雅黑"/>
          <w:b/>
          <w:color w:val="1F4E79"/>
          <w:sz w:val="30"/>
        </w:rPr>
        <w:t>页面说明</w:t>
      </w:r>
    </w:p>
    <w:p w14:paraId="0314494A">
      <w:pPr>
        <w:pStyle w:val="5"/>
        <w:keepNext/>
        <w:spacing w:before="180" w:after="100" w:line="259" w:lineRule="auto"/>
      </w:pPr>
      <w:r>
        <w:rPr>
          <w:rFonts w:ascii="微软雅黑" w:hAnsi="微软雅黑" w:eastAsia="微软雅黑"/>
          <w:b/>
          <w:color w:val="2F5597"/>
          <w:sz w:val="25"/>
        </w:rPr>
        <w:t>代理列表</w:t>
      </w:r>
    </w:p>
    <w:p>
      <w:pPr>
        <w:pStyle w:val="16"/>
        <w:spacing w:after="60" w:line="276" w:lineRule="auto"/>
      </w:pPr>
      <w:r>
        <w:rPr>
          <w:rFonts w:ascii="微软雅黑" w:hAnsi="微软雅黑" w:eastAsia="微软雅黑"/>
          <w:b/>
          <w:color w:val="2F5597"/>
          <w:sz w:val="20"/>
        </w:rPr>
        <w:t>代理列表</w:t>
      </w:r>
      <w:r>
        <w:rPr>
          <w:rFonts w:ascii="微软雅黑" w:hAnsi="微软雅黑" w:eastAsia="微软雅黑"/>
          <w:b w:val="0"/>
          <w:sz w:val="20"/>
        </w:rPr>
        <w:t>：用于查询和管理代理账号。</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：按代理账号、状态或时间筛选，查看代理信息和下级数据。</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：调整代理状态前需确认结算、会员归属和业务影响。</w:t>
      </w:r>
    </w:p>
    <w:p w14:paraId="7B2F927C">
      <w:pPr>
        <w:pStyle w:val="5"/>
        <w:keepNext/>
        <w:spacing w:before="180" w:after="100" w:line="259" w:lineRule="auto"/>
      </w:pPr>
      <w:r>
        <w:rPr>
          <w:rFonts w:ascii="微软雅黑" w:hAnsi="微软雅黑" w:eastAsia="微软雅黑"/>
          <w:b/>
          <w:color w:val="2F5597"/>
          <w:sz w:val="25"/>
        </w:rPr>
        <w:t>代理配置</w:t>
      </w:r>
    </w:p>
    <w:p>
      <w:pPr>
        <w:pStyle w:val="16"/>
        <w:spacing w:after="60" w:line="276" w:lineRule="auto"/>
      </w:pPr>
      <w:r>
        <w:rPr>
          <w:rFonts w:ascii="微软雅黑" w:hAnsi="微软雅黑" w:eastAsia="微软雅黑"/>
          <w:b/>
          <w:color w:val="2F5597"/>
          <w:sz w:val="20"/>
        </w:rPr>
        <w:t>代理配置</w:t>
      </w:r>
      <w:r>
        <w:rPr>
          <w:rFonts w:ascii="微软雅黑" w:hAnsi="微软雅黑" w:eastAsia="微软雅黑"/>
          <w:b w:val="0"/>
          <w:sz w:val="20"/>
        </w:rPr>
        <w:t>：用于维护代理返佣、返水和结算规则。</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：设置代理等级、比例、结算周期和启停状态。</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：配置变更会影响代理收益，保存前需复核规则。</w:t>
      </w:r>
    </w:p>
    <w:p w14:paraId="7A8BCCC2">
      <w:pPr>
        <w:pStyle w:val="5"/>
        <w:keepNext/>
        <w:spacing w:before="180" w:after="100" w:line="259" w:lineRule="auto"/>
      </w:pPr>
      <w:r>
        <w:rPr>
          <w:rFonts w:ascii="微软雅黑" w:hAnsi="微软雅黑" w:eastAsia="微软雅黑"/>
          <w:b/>
          <w:color w:val="2F5597"/>
          <w:sz w:val="25"/>
        </w:rPr>
        <w:t>代理领取记录</w:t>
      </w:r>
    </w:p>
    <w:p>
      <w:pPr>
        <w:pStyle w:val="16"/>
        <w:spacing w:after="60" w:line="276" w:lineRule="auto"/>
      </w:pPr>
      <w:r>
        <w:rPr>
          <w:rFonts w:ascii="微软雅黑" w:hAnsi="微软雅黑" w:eastAsia="微软雅黑"/>
          <w:b/>
          <w:color w:val="2F5597"/>
          <w:sz w:val="20"/>
        </w:rPr>
        <w:t>代理领取记录</w:t>
      </w:r>
      <w:r>
        <w:rPr>
          <w:rFonts w:ascii="微软雅黑" w:hAnsi="微软雅黑" w:eastAsia="微软雅黑"/>
          <w:b w:val="0"/>
          <w:sz w:val="20"/>
        </w:rPr>
        <w:t>：用于查看代理奖励或佣金领取记录。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：按代理、状态或时间筛选，查看领取金额和处理结果。</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：排查收益问题时结合结算明细和账变记录核对。</w:t>
      </w:r>
    </w:p>
    <w:p w14:paraId="03B26D96">
      <w:pPr>
        <w:pStyle w:val="5"/>
        <w:keepNext/>
        <w:spacing w:before="180" w:after="100" w:line="259" w:lineRule="auto"/>
      </w:pPr>
      <w:r>
        <w:rPr>
          <w:rFonts w:ascii="微软雅黑" w:hAnsi="微软雅黑" w:eastAsia="微软雅黑"/>
          <w:b/>
          <w:color w:val="2F5597"/>
          <w:sz w:val="25"/>
        </w:rPr>
        <w:t>代理数据查询</w:t>
      </w:r>
    </w:p>
    <w:p>
      <w:pPr>
        <w:pStyle w:val="16"/>
        <w:spacing w:after="60" w:line="276" w:lineRule="auto"/>
      </w:pPr>
      <w:r>
        <w:rPr>
          <w:rFonts w:ascii="微软雅黑" w:hAnsi="微软雅黑" w:eastAsia="微软雅黑"/>
          <w:b/>
          <w:color w:val="2F5597"/>
          <w:sz w:val="20"/>
        </w:rPr>
        <w:t>代理数据查询</w:t>
      </w:r>
      <w:r>
        <w:rPr>
          <w:rFonts w:ascii="微软雅黑" w:hAnsi="微软雅黑" w:eastAsia="微软雅黑"/>
          <w:b w:val="0"/>
          <w:sz w:val="20"/>
        </w:rPr>
        <w:t>：用于查询代理维度的运营数据。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：按代理和时间筛选，查看下级会员、充值、投注和佣金数据。</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：用于代理运营分析和结算核对。</w:t>
      </w:r>
    </w:p>
    <w:p w14:paraId="474D3D42">
      <w:pPr>
        <w:pStyle w:val="3"/>
        <w:keepNext/>
        <w:spacing w:before="360" w:after="240" w:line="276" w:lineRule="auto"/>
      </w:pPr>
      <w:r>
        <w:rPr>
          <w:rFonts w:ascii="微软雅黑" w:hAnsi="微软雅黑" w:eastAsia="微软雅黑"/>
          <w:b/>
          <w:color w:val="17365D"/>
          <w:sz w:val="40"/>
        </w:rPr>
        <w:t>十二、风险中心</w:t>
      </w:r>
    </w:p>
    <w:p w14:paraId="7208F2D2">
      <w:pPr>
        <w:pStyle w:val="4"/>
        <w:keepNext/>
        <w:spacing w:before="240" w:after="140" w:line="269" w:lineRule="auto"/>
      </w:pPr>
      <w:r>
        <w:rPr>
          <w:rFonts w:ascii="微软雅黑" w:hAnsi="微软雅黑" w:eastAsia="微软雅黑"/>
          <w:b/>
          <w:color w:val="1F4E79"/>
          <w:sz w:val="30"/>
        </w:rPr>
        <w:t>模块定位</w:t>
      </w:r>
    </w:p>
    <w:p w14:paraId="34F9B4F2">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27AAD9D0">
      <w:pPr>
        <w:pStyle w:val="4"/>
        <w:keepNext/>
        <w:spacing w:before="240" w:after="140" w:line="269" w:lineRule="auto"/>
      </w:pPr>
      <w:r>
        <w:rPr>
          <w:rFonts w:ascii="微软雅黑" w:hAnsi="微软雅黑" w:eastAsia="微软雅黑"/>
          <w:b/>
          <w:color w:val="1F4E79"/>
          <w:sz w:val="30"/>
        </w:rPr>
        <w:t>页面说明</w:t>
      </w:r>
    </w:p>
    <w:p w14:paraId="6AC7DCE7">
      <w:pPr>
        <w:pStyle w:val="5"/>
        <w:keepNext/>
        <w:spacing w:before="180" w:after="100" w:line="259" w:lineRule="auto"/>
      </w:pPr>
      <w:r>
        <w:rPr>
          <w:rFonts w:ascii="微软雅黑" w:hAnsi="微软雅黑" w:eastAsia="微软雅黑"/>
          <w:b/>
          <w:color w:val="2F5597"/>
          <w:sz w:val="25"/>
        </w:rPr>
        <w:t>黑名单</w:t>
      </w:r>
    </w:p>
    <w:p>
      <w:pPr>
        <w:pStyle w:val="16"/>
        <w:spacing w:after="60" w:line="276" w:lineRule="auto"/>
      </w:pPr>
      <w:r>
        <w:rPr>
          <w:rFonts w:ascii="微软雅黑" w:hAnsi="微软雅黑" w:eastAsia="微软雅黑"/>
          <w:b/>
          <w:color w:val="2F5597"/>
          <w:sz w:val="20"/>
        </w:rPr>
        <w:t>黑名单</w:t>
      </w:r>
      <w:r>
        <w:rPr>
          <w:rFonts w:ascii="微软雅黑" w:hAnsi="微软雅黑" w:eastAsia="微软雅黑"/>
          <w:b w:val="0"/>
          <w:sz w:val="20"/>
        </w:rPr>
        <w:t>：用于管理受限制的玩家或风险对象。</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：新增、查询、解除黑名单，查看限制原因和操作记录。</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：加入或解除黑名单前需确认风险原因和处理依据。</w:t>
      </w:r>
    </w:p>
    <w:p w14:paraId="4F6DF181">
      <w:pPr>
        <w:pStyle w:val="5"/>
        <w:keepNext/>
        <w:spacing w:before="180" w:after="100" w:line="259" w:lineRule="auto"/>
      </w:pPr>
      <w:r>
        <w:rPr>
          <w:rFonts w:ascii="微软雅黑" w:hAnsi="微软雅黑" w:eastAsia="微软雅黑"/>
          <w:b/>
          <w:color w:val="2F5597"/>
          <w:sz w:val="25"/>
        </w:rPr>
        <w:t>刷子监控</w:t>
      </w:r>
    </w:p>
    <w:p>
      <w:pPr>
        <w:pStyle w:val="16"/>
        <w:spacing w:after="60" w:line="276" w:lineRule="auto"/>
      </w:pPr>
      <w:r>
        <w:rPr>
          <w:rFonts w:ascii="微软雅黑" w:hAnsi="微软雅黑" w:eastAsia="微软雅黑"/>
          <w:b/>
          <w:color w:val="2F5597"/>
          <w:sz w:val="20"/>
        </w:rPr>
        <w:t>刷子监控</w:t>
      </w:r>
      <w:r>
        <w:rPr>
          <w:rFonts w:ascii="微软雅黑" w:hAnsi="微软雅黑" w:eastAsia="微软雅黑"/>
          <w:b w:val="0"/>
          <w:sz w:val="20"/>
        </w:rPr>
        <w:t>：用于监控疑似异常套利或刷量玩家。</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：按玩家、风险类型或时间筛选，查看异常指标和处理记录。</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：处理前结合投注、活动、充值和设备信息综合判断。</w:t>
      </w:r>
    </w:p>
    <w:p w14:paraId="29A82894">
      <w:pPr>
        <w:pStyle w:val="5"/>
        <w:keepNext/>
        <w:spacing w:before="180" w:after="100" w:line="259" w:lineRule="auto"/>
      </w:pPr>
      <w:r>
        <w:rPr>
          <w:rFonts w:ascii="微软雅黑" w:hAnsi="微软雅黑" w:eastAsia="微软雅黑"/>
          <w:b/>
          <w:color w:val="2F5597"/>
          <w:sz w:val="25"/>
        </w:rPr>
        <w:t>游戏获利监控</w:t>
      </w:r>
    </w:p>
    <w:p>
      <w:pPr>
        <w:pStyle w:val="16"/>
        <w:spacing w:after="60" w:line="276" w:lineRule="auto"/>
      </w:pPr>
      <w:r>
        <w:rPr>
          <w:rFonts w:ascii="微软雅黑" w:hAnsi="微软雅黑" w:eastAsia="微软雅黑"/>
          <w:b/>
          <w:color w:val="2F5597"/>
          <w:sz w:val="20"/>
        </w:rPr>
        <w:t>游戏获利监控</w:t>
      </w:r>
      <w:r>
        <w:rPr>
          <w:rFonts w:ascii="微软雅黑" w:hAnsi="微软雅黑" w:eastAsia="微软雅黑"/>
          <w:b w:val="0"/>
          <w:sz w:val="20"/>
        </w:rPr>
        <w:t>：用于监控玩家游戏获利异常情况。</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：按玩家、游戏或时间筛选，查看获利、投注和风险状态。</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：发现异常后结合游戏记录和风控规则进一步核查。</w:t>
      </w:r>
    </w:p>
    <w:p w14:paraId="39A02A3E">
      <w:pPr>
        <w:pStyle w:val="3"/>
        <w:keepNext/>
        <w:spacing w:before="360" w:after="240" w:line="276" w:lineRule="auto"/>
      </w:pPr>
      <w:r>
        <w:rPr>
          <w:rFonts w:ascii="微软雅黑" w:hAnsi="微软雅黑" w:eastAsia="微软雅黑"/>
          <w:b/>
          <w:color w:val="17365D"/>
          <w:sz w:val="40"/>
        </w:rPr>
        <w:t>十三、商户中心</w:t>
      </w:r>
    </w:p>
    <w:p w14:paraId="3C317668">
      <w:pPr>
        <w:pStyle w:val="4"/>
        <w:keepNext/>
        <w:spacing w:before="240" w:after="140" w:line="269" w:lineRule="auto"/>
      </w:pPr>
      <w:r>
        <w:rPr>
          <w:rFonts w:ascii="微软雅黑" w:hAnsi="微软雅黑" w:eastAsia="微软雅黑"/>
          <w:b/>
          <w:color w:val="1F4E79"/>
          <w:sz w:val="30"/>
        </w:rPr>
        <w:t>模块定位</w:t>
      </w:r>
    </w:p>
    <w:p w14:paraId="274A9CA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5DB9F037">
      <w:pPr>
        <w:pStyle w:val="4"/>
        <w:keepNext/>
        <w:spacing w:before="240" w:after="140" w:line="269" w:lineRule="auto"/>
      </w:pPr>
      <w:r>
        <w:rPr>
          <w:rFonts w:ascii="微软雅黑" w:hAnsi="微软雅黑" w:eastAsia="微软雅黑"/>
          <w:b/>
          <w:color w:val="1F4E79"/>
          <w:sz w:val="30"/>
        </w:rPr>
        <w:t>页面说明</w:t>
      </w:r>
    </w:p>
    <w:p w14:paraId="0BD38823">
      <w:pPr>
        <w:pStyle w:val="5"/>
        <w:keepNext/>
        <w:spacing w:before="180" w:after="100" w:line="259" w:lineRule="auto"/>
      </w:pPr>
      <w:r>
        <w:rPr>
          <w:rFonts w:ascii="微软雅黑" w:hAnsi="微软雅黑" w:eastAsia="微软雅黑"/>
          <w:b/>
          <w:color w:val="2F5597"/>
          <w:sz w:val="25"/>
        </w:rPr>
        <w:t>商户信息</w:t>
      </w:r>
    </w:p>
    <w:p>
      <w:pPr>
        <w:pStyle w:val="16"/>
        <w:spacing w:after="60" w:line="276" w:lineRule="auto"/>
      </w:pPr>
      <w:r>
        <w:rPr>
          <w:rFonts w:ascii="微软雅黑" w:hAnsi="微软雅黑" w:eastAsia="微软雅黑"/>
          <w:b/>
          <w:color w:val="2F5597"/>
          <w:sz w:val="20"/>
        </w:rPr>
        <w:t>商户信息</w:t>
      </w:r>
      <w:r>
        <w:rPr>
          <w:rFonts w:ascii="微软雅黑" w:hAnsi="微软雅黑" w:eastAsia="微软雅黑"/>
          <w:b w:val="0"/>
          <w:sz w:val="20"/>
        </w:rPr>
        <w:t>：用于查看商户基础资料和账户状态。</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：查看商户名称、账号信息、联系方式和状态配置。</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：资料变更需与平台或管理员确认，避免影响后台使用。</w:t>
      </w:r>
    </w:p>
    <w:p w14:paraId="6C613849">
      <w:pPr>
        <w:pStyle w:val="5"/>
        <w:keepNext/>
        <w:spacing w:before="180" w:after="100" w:line="259" w:lineRule="auto"/>
      </w:pPr>
      <w:r>
        <w:rPr>
          <w:rFonts w:ascii="微软雅黑" w:hAnsi="微软雅黑" w:eastAsia="微软雅黑"/>
          <w:b/>
          <w:color w:val="2F5597"/>
          <w:sz w:val="25"/>
        </w:rPr>
        <w:t>商户充值</w:t>
      </w:r>
    </w:p>
    <w:p>
      <w:pPr>
        <w:pStyle w:val="16"/>
        <w:spacing w:after="60" w:line="276" w:lineRule="auto"/>
      </w:pPr>
      <w:r>
        <w:rPr>
          <w:rFonts w:ascii="微软雅黑" w:hAnsi="微软雅黑" w:eastAsia="微软雅黑"/>
          <w:b/>
          <w:color w:val="2F5597"/>
          <w:sz w:val="20"/>
        </w:rPr>
        <w:t>商户充值</w:t>
      </w:r>
      <w:r>
        <w:rPr>
          <w:rFonts w:ascii="微软雅黑" w:hAnsi="微软雅黑" w:eastAsia="微软雅黑"/>
          <w:b w:val="0"/>
          <w:sz w:val="20"/>
        </w:rPr>
        <w:t>：用于商户账户充值。</w:t>
      </w:r>
    </w:p>
    <w:p>
      <w:pPr>
        <w:pStyle w:val="16"/>
        <w:spacing w:after="60" w:line="276" w:lineRule="auto"/>
      </w:pPr>
      <w:r>
        <w:rPr>
          <w:rFonts w:ascii="微软雅黑" w:hAnsi="微软雅黑" w:eastAsia="微软雅黑"/>
          <w:b/>
          <w:color w:val="2F5597"/>
          <w:sz w:val="20"/>
        </w:rPr>
        <w:t>操作说明</w:t>
      </w:r>
      <w:r>
        <w:rPr>
          <w:rFonts w:ascii="微软雅黑" w:hAnsi="微软雅黑" w:eastAsia="微软雅黑"/>
          <w:b w:val="0"/>
          <w:sz w:val="20"/>
        </w:rPr>
        <w:t>：选择充值方式，填写金额并提交充值申请。</w:t>
      </w:r>
    </w:p>
    <w:p>
      <w:pPr>
        <w:pStyle w:val="16"/>
        <w:spacing w:after="60" w:line="276" w:lineRule="auto"/>
      </w:pPr>
      <w:r>
        <w:rPr>
          <w:rFonts w:ascii="微软雅黑" w:hAnsi="微软雅黑" w:eastAsia="微软雅黑"/>
          <w:b/>
          <w:color w:val="2F5597"/>
          <w:sz w:val="20"/>
        </w:rPr>
        <w:t>提交前检查</w:t>
      </w:r>
      <w:r>
        <w:rPr>
          <w:rFonts w:ascii="微软雅黑" w:hAnsi="微软雅黑" w:eastAsia="微软雅黑"/>
          <w:b w:val="0"/>
          <w:sz w:val="20"/>
        </w:rPr>
        <w:t>：提交前确认金额、收款信息和到账规则。</w:t>
      </w:r>
    </w:p>
    <w:p w14:paraId="20EFC806">
      <w:pPr>
        <w:pStyle w:val="5"/>
        <w:keepNext/>
        <w:spacing w:before="180" w:after="100" w:line="259" w:lineRule="auto"/>
      </w:pPr>
      <w:r>
        <w:rPr>
          <w:rFonts w:ascii="微软雅黑" w:hAnsi="微软雅黑" w:eastAsia="微软雅黑"/>
          <w:b/>
          <w:color w:val="2F5597"/>
          <w:sz w:val="25"/>
        </w:rPr>
        <w:t>充值记录</w:t>
      </w:r>
    </w:p>
    <w:p>
      <w:pPr>
        <w:pStyle w:val="16"/>
        <w:spacing w:after="60" w:line="276" w:lineRule="auto"/>
      </w:pPr>
      <w:r>
        <w:rPr>
          <w:rFonts w:ascii="微软雅黑" w:hAnsi="微软雅黑" w:eastAsia="微软雅黑"/>
          <w:b/>
          <w:color w:val="2F5597"/>
          <w:sz w:val="20"/>
        </w:rPr>
        <w:t>充值记录</w:t>
      </w:r>
      <w:r>
        <w:rPr>
          <w:rFonts w:ascii="微软雅黑" w:hAnsi="微软雅黑" w:eastAsia="微软雅黑"/>
          <w:b w:val="0"/>
          <w:sz w:val="20"/>
        </w:rPr>
        <w:t>：用于查询商户充值记录。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：按订单号、状态或时间筛选，查看充值金额和到账状态。</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：到账异常时结合支付凭证和平台处理结果核对。</w:t>
      </w:r>
    </w:p>
    <w:p w14:paraId="7DD52377">
      <w:pPr>
        <w:pStyle w:val="5"/>
        <w:keepNext/>
        <w:spacing w:before="180" w:after="100" w:line="259" w:lineRule="auto"/>
      </w:pPr>
      <w:r>
        <w:rPr>
          <w:rFonts w:ascii="微软雅黑" w:hAnsi="微软雅黑" w:eastAsia="微软雅黑"/>
          <w:b/>
          <w:color w:val="2F5597"/>
          <w:sz w:val="25"/>
        </w:rPr>
        <w:t>商户账变记录</w:t>
      </w:r>
    </w:p>
    <w:p>
      <w:pPr>
        <w:pStyle w:val="16"/>
        <w:spacing w:after="60" w:line="276" w:lineRule="auto"/>
      </w:pPr>
      <w:r>
        <w:rPr>
          <w:rFonts w:ascii="微软雅黑" w:hAnsi="微软雅黑" w:eastAsia="微软雅黑"/>
          <w:b/>
          <w:color w:val="2F5597"/>
          <w:sz w:val="20"/>
        </w:rPr>
        <w:t>商户账变记录</w:t>
      </w:r>
      <w:r>
        <w:rPr>
          <w:rFonts w:ascii="微软雅黑" w:hAnsi="微软雅黑" w:eastAsia="微软雅黑"/>
          <w:b w:val="0"/>
          <w:sz w:val="20"/>
        </w:rPr>
        <w:t>：用于查看商户账户资金变动。</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：按账变类型、时间或订单号筛选，查看金额变化和余额。</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：排查商户资金问题时结合充值、账单和扣费记录核对。</w:t>
      </w:r>
    </w:p>
    <w:p w14:paraId="1F816A64">
      <w:pPr>
        <w:pStyle w:val="5"/>
        <w:keepNext/>
        <w:spacing w:before="180" w:after="100" w:line="259" w:lineRule="auto"/>
      </w:pPr>
      <w:r>
        <w:rPr>
          <w:rFonts w:ascii="微软雅黑" w:hAnsi="微软雅黑" w:eastAsia="微软雅黑"/>
          <w:b/>
          <w:color w:val="2F5597"/>
          <w:sz w:val="25"/>
        </w:rPr>
        <w:t>商户账单</w:t>
      </w:r>
    </w:p>
    <w:p>
      <w:pPr>
        <w:pStyle w:val="16"/>
        <w:spacing w:after="60" w:line="276" w:lineRule="auto"/>
      </w:pPr>
      <w:r>
        <w:rPr>
          <w:rFonts w:ascii="微软雅黑" w:hAnsi="微软雅黑" w:eastAsia="微软雅黑"/>
          <w:b/>
          <w:color w:val="2F5597"/>
          <w:sz w:val="20"/>
        </w:rPr>
        <w:t>商户账单</w:t>
      </w:r>
      <w:r>
        <w:rPr>
          <w:rFonts w:ascii="微软雅黑" w:hAnsi="微软雅黑" w:eastAsia="微软雅黑"/>
          <w:b w:val="0"/>
          <w:sz w:val="20"/>
        </w:rPr>
        <w:t>：用于查看商户账单和费用结算情况。</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：按账期或状态筛选，查看账单金额、费用项目和结算状态。</w:t>
      </w:r>
    </w:p>
    <w:p>
      <w:pPr>
        <w:pStyle w:val="16"/>
        <w:spacing w:after="60" w:line="276" w:lineRule="auto"/>
      </w:pPr>
      <w:r>
        <w:rPr>
          <w:rFonts w:ascii="微软雅黑" w:hAnsi="微软雅黑" w:eastAsia="微软雅黑"/>
          <w:b/>
          <w:color w:val="2F5597"/>
          <w:sz w:val="20"/>
        </w:rPr>
        <w:t>对账要点</w:t>
      </w:r>
      <w:r>
        <w:rPr>
          <w:rFonts w:ascii="微软雅黑" w:hAnsi="微软雅黑" w:eastAsia="微软雅黑"/>
          <w:b w:val="0"/>
          <w:sz w:val="20"/>
        </w:rPr>
        <w:t>：对账时需结合账变记录、充值记录和平台结算规则。</w:t>
      </w:r>
    </w:p>
    <w:p w14:paraId="621057E2">
      <w:pPr>
        <w:pStyle w:val="3"/>
        <w:keepNext/>
        <w:spacing w:before="360" w:after="240" w:line="276" w:lineRule="auto"/>
      </w:pPr>
      <w:r>
        <w:rPr>
          <w:rFonts w:ascii="微软雅黑" w:hAnsi="微软雅黑" w:eastAsia="微软雅黑"/>
          <w:b/>
          <w:color w:val="17365D"/>
          <w:sz w:val="40"/>
        </w:rPr>
        <w:t>十四、埋点配置</w:t>
      </w:r>
    </w:p>
    <w:p w14:paraId="1A4841E7">
      <w:pPr>
        <w:pStyle w:val="4"/>
        <w:keepNext/>
        <w:spacing w:before="240" w:after="140" w:line="269" w:lineRule="auto"/>
      </w:pPr>
      <w:r>
        <w:rPr>
          <w:rFonts w:ascii="微软雅黑" w:hAnsi="微软雅黑" w:eastAsia="微软雅黑"/>
          <w:b/>
          <w:color w:val="1F4E79"/>
          <w:sz w:val="30"/>
        </w:rPr>
        <w:t>模块定位</w:t>
      </w:r>
    </w:p>
    <w:p w14:paraId="13D46073">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36EE977">
      <w:pPr>
        <w:pStyle w:val="4"/>
        <w:keepNext/>
        <w:spacing w:before="240" w:after="140" w:line="269" w:lineRule="auto"/>
      </w:pPr>
      <w:r>
        <w:rPr>
          <w:rFonts w:ascii="微软雅黑" w:hAnsi="微软雅黑" w:eastAsia="微软雅黑"/>
          <w:b/>
          <w:color w:val="1F4E79"/>
          <w:sz w:val="30"/>
        </w:rPr>
        <w:t>页面说明</w:t>
      </w:r>
    </w:p>
    <w:p w14:paraId="0E8B6AA6">
      <w:pPr>
        <w:pStyle w:val="5"/>
        <w:keepNext/>
        <w:spacing w:before="180" w:after="100" w:line="259" w:lineRule="auto"/>
      </w:pPr>
      <w:r>
        <w:rPr>
          <w:rFonts w:ascii="微软雅黑" w:hAnsi="微软雅黑" w:eastAsia="微软雅黑"/>
          <w:b/>
          <w:color w:val="2F5597"/>
          <w:sz w:val="25"/>
        </w:rPr>
        <w:t>埋点统计</w:t>
      </w:r>
    </w:p>
    <w:p>
      <w:pPr>
        <w:pStyle w:val="16"/>
        <w:spacing w:after="60" w:line="276" w:lineRule="auto"/>
      </w:pPr>
      <w:r>
        <w:rPr>
          <w:rFonts w:ascii="微软雅黑" w:hAnsi="微软雅黑" w:eastAsia="微软雅黑"/>
          <w:b/>
          <w:color w:val="2F5597"/>
          <w:sz w:val="20"/>
        </w:rPr>
        <w:t>埋点统计</w:t>
      </w:r>
      <w:r>
        <w:rPr>
          <w:rFonts w:ascii="微软雅黑" w:hAnsi="微软雅黑" w:eastAsia="微软雅黑"/>
          <w:b w:val="0"/>
          <w:sz w:val="20"/>
        </w:rPr>
        <w:t>：用于查看站点埋点事件统计。</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：按事件、页面、渠道或时间筛选，查看触发次数和转化数据。</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：用于分析页面行为和推广效果，需确认埋点配置已生效。</w:t>
      </w:r>
    </w:p>
    <w:p w14:paraId="62A7254E">
      <w:pPr>
        <w:pStyle w:val="5"/>
        <w:keepNext/>
        <w:spacing w:before="180" w:after="100" w:line="259" w:lineRule="auto"/>
      </w:pPr>
      <w:r>
        <w:rPr>
          <w:rFonts w:ascii="微软雅黑" w:hAnsi="微软雅黑" w:eastAsia="微软雅黑"/>
          <w:b/>
          <w:color w:val="2F5597"/>
          <w:sz w:val="25"/>
        </w:rPr>
        <w:t>会话列表</w:t>
      </w:r>
    </w:p>
    <w:p>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：用于查看用户访问或行为会话。</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：按用户、会话 ID、渠道或时间筛选，查看会话轨迹。</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：排查转化或行为问题时，可结合事件流水一起分析。</w:t>
      </w:r>
    </w:p>
    <w:p w14:paraId="0691814E">
      <w:pPr>
        <w:pStyle w:val="5"/>
        <w:keepNext/>
        <w:spacing w:before="180" w:after="100" w:line="259" w:lineRule="auto"/>
      </w:pPr>
      <w:r>
        <w:rPr>
          <w:rFonts w:ascii="微软雅黑" w:hAnsi="微软雅黑" w:eastAsia="微软雅黑"/>
          <w:b/>
          <w:color w:val="2F5597"/>
          <w:sz w:val="25"/>
        </w:rPr>
        <w:t>事件流水</w:t>
      </w:r>
    </w:p>
    <w:p>
      <w:pPr>
        <w:pStyle w:val="16"/>
        <w:spacing w:after="60" w:line="276" w:lineRule="auto"/>
      </w:pPr>
      <w:r>
        <w:rPr>
          <w:rFonts w:ascii="微软雅黑" w:hAnsi="微软雅黑" w:eastAsia="微软雅黑"/>
          <w:b/>
          <w:color w:val="2F5597"/>
          <w:sz w:val="20"/>
        </w:rPr>
        <w:t>事件流水</w:t>
      </w:r>
      <w:r>
        <w:rPr>
          <w:rFonts w:ascii="微软雅黑" w:hAnsi="微软雅黑" w:eastAsia="微软雅黑"/>
          <w:b w:val="0"/>
          <w:sz w:val="20"/>
        </w:rPr>
        <w:t>：用于查看埋点事件明细流水。</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：按事件、用户、页面或时间筛选，查看单次事件详情。</w:t>
      </w:r>
    </w:p>
    <w:p>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：用于排查埋点触发、参数上报和用户行为路径。</w:t>
      </w:r>
    </w:p>
    <w:p w14:paraId="14EAE7AC">
      <w:pPr>
        <w:pStyle w:val="3"/>
        <w:keepNext/>
        <w:spacing w:before="360" w:after="240" w:line="276" w:lineRule="auto"/>
      </w:pPr>
      <w:r>
        <w:rPr>
          <w:rFonts w:ascii="微软雅黑" w:hAnsi="微软雅黑" w:eastAsia="微软雅黑"/>
          <w:b/>
          <w:color w:val="17365D"/>
          <w:sz w:val="40"/>
        </w:rPr>
        <w:t>十五、人事中心</w:t>
      </w:r>
    </w:p>
    <w:p w14:paraId="7AC80F8A">
      <w:pPr>
        <w:pStyle w:val="4"/>
        <w:keepNext/>
        <w:spacing w:before="240" w:after="140" w:line="269" w:lineRule="auto"/>
      </w:pPr>
      <w:r>
        <w:rPr>
          <w:rFonts w:ascii="微软雅黑" w:hAnsi="微软雅黑" w:eastAsia="微软雅黑"/>
          <w:b/>
          <w:color w:val="1F4E79"/>
          <w:sz w:val="30"/>
        </w:rPr>
        <w:t>模块定位</w:t>
      </w:r>
    </w:p>
    <w:p w14:paraId="12BC2C1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746668F0">
      <w:pPr>
        <w:pStyle w:val="4"/>
        <w:keepNext/>
        <w:spacing w:before="240" w:after="140" w:line="269" w:lineRule="auto"/>
      </w:pPr>
      <w:r>
        <w:rPr>
          <w:rFonts w:ascii="微软雅黑" w:hAnsi="微软雅黑" w:eastAsia="微软雅黑"/>
          <w:b/>
          <w:color w:val="1F4E79"/>
          <w:sz w:val="30"/>
        </w:rPr>
        <w:t>页面说明</w:t>
      </w:r>
    </w:p>
    <w:p w14:paraId="60DB4134">
      <w:pPr>
        <w:pStyle w:val="5"/>
        <w:keepNext/>
        <w:spacing w:before="180" w:after="100" w:line="259" w:lineRule="auto"/>
      </w:pPr>
      <w:r>
        <w:rPr>
          <w:rFonts w:ascii="微软雅黑" w:hAnsi="微软雅黑" w:eastAsia="微软雅黑"/>
          <w:b/>
          <w:color w:val="2F5597"/>
          <w:sz w:val="25"/>
        </w:rPr>
        <w:t>账号管理</w:t>
      </w:r>
    </w:p>
    <w:p>
      <w:pPr>
        <w:pStyle w:val="16"/>
        <w:spacing w:after="60" w:line="276" w:lineRule="auto"/>
      </w:pPr>
      <w:r>
        <w:rPr>
          <w:rFonts w:ascii="微软雅黑" w:hAnsi="微软雅黑" w:eastAsia="微软雅黑"/>
          <w:b/>
          <w:color w:val="2F5597"/>
          <w:sz w:val="20"/>
        </w:rPr>
        <w:t>账号管理</w:t>
      </w:r>
      <w:r>
        <w:rPr>
          <w:rFonts w:ascii="微软雅黑" w:hAnsi="微软雅黑" w:eastAsia="微软雅黑"/>
          <w:b w:val="0"/>
          <w:sz w:val="20"/>
        </w:rPr>
        <w:t>：用于管理后台账号和角色归属。</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：新增、编辑、启用、停用账号，分配系统预设角色。</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：账号权限影响后台可见菜单和操作范围，调整前需确认职责。</w:t>
      </w:r>
    </w:p>
    <w:p w14:paraId="3F94B793">
      <w:pPr>
        <w:pStyle w:val="5"/>
        <w:keepNext/>
        <w:spacing w:before="180" w:after="100" w:line="259" w:lineRule="auto"/>
      </w:pPr>
      <w:r>
        <w:rPr>
          <w:rFonts w:ascii="微软雅黑" w:hAnsi="微软雅黑" w:eastAsia="微软雅黑"/>
          <w:b/>
          <w:color w:val="2F5597"/>
          <w:sz w:val="25"/>
        </w:rPr>
        <w:t>日志管理</w:t>
      </w:r>
    </w:p>
    <w:p w14:paraId="60076406">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日志管理用于查看后台账号登录、操作和系统异常相关记录。</w:t>
      </w:r>
    </w:p>
    <w:p w14:paraId="0E6C1E1E">
      <w:pPr>
        <w:pStyle w:val="5"/>
        <w:keepNext/>
        <w:spacing w:before="180" w:after="100" w:line="259" w:lineRule="auto"/>
      </w:pPr>
      <w:r>
        <w:rPr>
          <w:rFonts w:ascii="微软雅黑" w:hAnsi="微软雅黑" w:eastAsia="微软雅黑"/>
          <w:b/>
          <w:color w:val="2F5597"/>
          <w:sz w:val="25"/>
        </w:rPr>
        <w:t>管理员登录日志</w:t>
      </w:r>
    </w:p>
    <w:p>
      <w:pPr>
        <w:pStyle w:val="16"/>
        <w:spacing w:after="60" w:line="276" w:lineRule="auto"/>
      </w:pPr>
      <w:r>
        <w:rPr>
          <w:rFonts w:ascii="微软雅黑" w:hAnsi="微软雅黑" w:eastAsia="微软雅黑"/>
          <w:b/>
          <w:color w:val="2F5597"/>
          <w:sz w:val="20"/>
        </w:rPr>
        <w:t>管理员登录日志</w:t>
      </w:r>
      <w:r>
        <w:rPr>
          <w:rFonts w:ascii="微软雅黑" w:hAnsi="微软雅黑" w:eastAsia="微软雅黑"/>
          <w:b w:val="0"/>
          <w:sz w:val="20"/>
        </w:rPr>
        <w:t>：用于查看后台管理员登录记录。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：按账号、IP、时间或状态筛选，查看登录结果。</w:t>
      </w:r>
    </w:p>
    <w:p>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：排查账号安全或异常登录时优先查看本页面。</w:t>
      </w:r>
    </w:p>
    <w:p w14:paraId="2608BA6D">
      <w:pPr>
        <w:pStyle w:val="5"/>
        <w:keepNext/>
        <w:spacing w:before="180" w:after="100" w:line="259" w:lineRule="auto"/>
      </w:pPr>
      <w:r>
        <w:rPr>
          <w:rFonts w:ascii="微软雅黑" w:hAnsi="微软雅黑" w:eastAsia="微软雅黑"/>
          <w:b/>
          <w:color w:val="2F5597"/>
          <w:sz w:val="25"/>
        </w:rPr>
        <w:t>管理员操作日志</w:t>
      </w:r>
    </w:p>
    <w:p>
      <w:pPr>
        <w:pStyle w:val="16"/>
        <w:spacing w:after="60" w:line="276" w:lineRule="auto"/>
      </w:pPr>
      <w:r>
        <w:rPr>
          <w:rFonts w:ascii="微软雅黑" w:hAnsi="微软雅黑" w:eastAsia="微软雅黑"/>
          <w:b/>
          <w:color w:val="2F5597"/>
          <w:sz w:val="20"/>
        </w:rPr>
        <w:t>管理员操作日志</w:t>
      </w:r>
      <w:r>
        <w:rPr>
          <w:rFonts w:ascii="微软雅黑" w:hAnsi="微软雅黑" w:eastAsia="微软雅黑"/>
          <w:b w:val="0"/>
          <w:sz w:val="20"/>
        </w:rPr>
        <w:t>：用于查看后台关键操作记录。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：按账号、模块、操作类型或时间筛选，查看操作详情。</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：追溯误操作时结合操作时间、操作人和业务页面记录核对。</w:t>
      </w:r>
    </w:p>
    <w:p w14:paraId="2F0E95FE">
      <w:pPr>
        <w:pStyle w:val="5"/>
        <w:keepNext/>
        <w:spacing w:before="180" w:after="100" w:line="259" w:lineRule="auto"/>
      </w:pPr>
      <w:r>
        <w:rPr>
          <w:rFonts w:ascii="微软雅黑" w:hAnsi="微软雅黑" w:eastAsia="微软雅黑"/>
          <w:b/>
          <w:color w:val="2F5597"/>
          <w:sz w:val="25"/>
        </w:rPr>
        <w:t>系统异常日志</w:t>
      </w:r>
    </w:p>
    <w:p>
      <w:pPr>
        <w:pStyle w:val="16"/>
        <w:spacing w:after="60" w:line="276" w:lineRule="auto"/>
      </w:pPr>
      <w:r>
        <w:rPr>
          <w:rFonts w:ascii="微软雅黑" w:hAnsi="微软雅黑" w:eastAsia="微软雅黑"/>
          <w:b/>
          <w:color w:val="2F5597"/>
          <w:sz w:val="20"/>
        </w:rPr>
        <w:t>系统异常日志</w:t>
      </w:r>
      <w:r>
        <w:rPr>
          <w:rFonts w:ascii="微软雅黑" w:hAnsi="微软雅黑" w:eastAsia="微软雅黑"/>
          <w:b w:val="0"/>
          <w:sz w:val="20"/>
        </w:rPr>
        <w:t>：用于查看后台系统异常和接口错误记录。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：按时间、模块或异常类型筛选，查看错误信息和处理状态。</w:t>
      </w:r>
    </w:p>
    <w:p>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：用于定位系统问题，必要时将异常信息提供给技术人员排查。</w:t>
      </w:r>
    </w:p>
    <w:p w14:paraId="176988B1">
      <w:pPr>
        <w:pStyle w:val="3"/>
        <w:keepNext/>
        <w:spacing w:before="360" w:after="240" w:line="276" w:lineRule="auto"/>
      </w:pPr>
      <w:r>
        <w:rPr>
          <w:rFonts w:ascii="微软雅黑" w:hAnsi="微软雅黑" w:eastAsia="微软雅黑"/>
          <w:b/>
          <w:color w:val="17365D"/>
          <w:sz w:val="40"/>
        </w:rPr>
        <w:t>十六、典型业务流程</w:t>
      </w:r>
    </w:p>
    <w:p w14:paraId="70BB498F">
      <w:pPr>
        <w:pStyle w:val="4"/>
        <w:keepNext/>
        <w:spacing w:before="240" w:after="140" w:line="269" w:lineRule="auto"/>
      </w:pPr>
      <w:r>
        <w:rPr>
          <w:rFonts w:ascii="微软雅黑" w:hAnsi="微软雅黑" w:eastAsia="微软雅黑"/>
          <w:b/>
          <w:color w:val="1F4E79"/>
          <w:sz w:val="30"/>
        </w:rPr>
        <w:t>新站点上线流程</w:t>
      </w:r>
    </w:p>
    <w:p w14:paraId="1BAF8B9F">
      <w:pPr>
        <w:pStyle w:val="14"/>
        <w:spacing w:after="40" w:line="276" w:lineRule="auto"/>
      </w:pPr>
      <w:r>
        <w:rPr>
          <w:rFonts w:ascii="微软雅黑" w:hAnsi="微软雅黑" w:eastAsia="微软雅黑"/>
          <w:b w:val="0"/>
          <w:sz w:val="20"/>
        </w:rPr>
        <w:t>进入站点配置，完成模板管理、站点配置、品牌、域名、客服、分享、登录和支付相关配置。</w:t>
      </w:r>
    </w:p>
    <w:p w14:paraId="7CA0CE1D">
      <w:pPr>
        <w:pStyle w:val="14"/>
        <w:spacing w:after="40" w:line="276" w:lineRule="auto"/>
      </w:pPr>
      <w:r>
        <w:rPr>
          <w:rFonts w:ascii="微软雅黑" w:hAnsi="微软雅黑" w:eastAsia="微软雅黑"/>
          <w:b w:val="0"/>
          <w:sz w:val="20"/>
        </w:rPr>
        <w:t>检查首页、登录、充值、客服、活动入口和分享入口。</w:t>
      </w:r>
    </w:p>
    <w:p w14:paraId="168AB731">
      <w:pPr>
        <w:pStyle w:val="14"/>
        <w:spacing w:after="40" w:line="276" w:lineRule="auto"/>
      </w:pPr>
      <w:r>
        <w:rPr>
          <w:rFonts w:ascii="微软雅黑" w:hAnsi="微软雅黑" w:eastAsia="微软雅黑"/>
          <w:b w:val="0"/>
          <w:sz w:val="20"/>
        </w:rPr>
        <w:t>上线后通过首页看板、数据报表和异常日志观察运行状态。</w:t>
      </w:r>
    </w:p>
    <w:p w14:paraId="18789D9E">
      <w:pPr>
        <w:pStyle w:val="4"/>
        <w:keepNext/>
        <w:spacing w:before="240" w:after="140" w:line="269" w:lineRule="auto"/>
      </w:pPr>
      <w:r>
        <w:rPr>
          <w:rFonts w:ascii="微软雅黑" w:hAnsi="微软雅黑" w:eastAsia="微软雅黑"/>
          <w:b/>
          <w:color w:val="1F4E79"/>
          <w:sz w:val="30"/>
        </w:rPr>
        <w:t>发布活动流程</w:t>
      </w:r>
    </w:p>
    <w:p w14:paraId="4774C0F3">
      <w:pPr>
        <w:pStyle w:val="14"/>
        <w:spacing w:after="40" w:line="276" w:lineRule="auto"/>
      </w:pPr>
      <w:r>
        <w:rPr>
          <w:rFonts w:ascii="微软雅黑" w:hAnsi="微软雅黑" w:eastAsia="微软雅黑"/>
          <w:b w:val="0"/>
          <w:sz w:val="20"/>
        </w:rPr>
        <w:t>进入优惠活动，创建或编辑活动规则。</w:t>
      </w:r>
    </w:p>
    <w:p w14:paraId="6A3597AD">
      <w:pPr>
        <w:pStyle w:val="14"/>
        <w:spacing w:after="40" w:line="276" w:lineRule="auto"/>
      </w:pPr>
      <w:r>
        <w:rPr>
          <w:rFonts w:ascii="微软雅黑" w:hAnsi="微软雅黑" w:eastAsia="微软雅黑"/>
          <w:b w:val="0"/>
          <w:sz w:val="20"/>
        </w:rPr>
        <w:t>检查活动展示入口、票券或任务关联、预算、领取限制和目标人群。</w:t>
      </w:r>
    </w:p>
    <w:p w14:paraId="5CFFB797">
      <w:pPr>
        <w:pStyle w:val="14"/>
        <w:spacing w:after="40" w:line="276" w:lineRule="auto"/>
      </w:pPr>
      <w:r>
        <w:rPr>
          <w:rFonts w:ascii="微软雅黑" w:hAnsi="微软雅黑" w:eastAsia="微软雅黑"/>
          <w:b w:val="0"/>
          <w:sz w:val="20"/>
        </w:rPr>
        <w:t>上线后通过活动报表、优惠数据报表和用户分析跟踪效果。</w:t>
      </w:r>
    </w:p>
    <w:p w14:paraId="396524D9">
      <w:pPr>
        <w:pStyle w:val="4"/>
        <w:keepNext/>
        <w:spacing w:before="240" w:after="140" w:line="269" w:lineRule="auto"/>
      </w:pPr>
      <w:r>
        <w:rPr>
          <w:rFonts w:ascii="微软雅黑" w:hAnsi="微软雅黑" w:eastAsia="微软雅黑"/>
          <w:b/>
          <w:color w:val="1F4E79"/>
          <w:sz w:val="30"/>
        </w:rPr>
        <w:t>处理提现流程</w:t>
      </w:r>
    </w:p>
    <w:p w14:paraId="5C660526">
      <w:pPr>
        <w:pStyle w:val="14"/>
        <w:spacing w:after="40" w:line="276" w:lineRule="auto"/>
      </w:pPr>
      <w:r>
        <w:rPr>
          <w:rFonts w:ascii="微软雅黑" w:hAnsi="微软雅黑" w:eastAsia="微软雅黑"/>
          <w:b w:val="0"/>
          <w:sz w:val="20"/>
        </w:rPr>
        <w:t>进入财务中心的提现订单列表，筛选待审核或处理中订单。</w:t>
      </w:r>
    </w:p>
    <w:p w14:paraId="3679A577">
      <w:pPr>
        <w:pStyle w:val="14"/>
        <w:spacing w:after="40" w:line="276" w:lineRule="auto"/>
      </w:pPr>
      <w:r>
        <w:rPr>
          <w:rFonts w:ascii="微软雅黑" w:hAnsi="微软雅黑" w:eastAsia="微软雅黑"/>
          <w:b w:val="0"/>
          <w:sz w:val="20"/>
        </w:rPr>
        <w:t>核对会员、金额、账户、打码、风控提示和历史资金记录。</w:t>
      </w:r>
    </w:p>
    <w:p w14:paraId="0A17D8AB">
      <w:pPr>
        <w:pStyle w:val="14"/>
        <w:spacing w:after="40" w:line="276" w:lineRule="auto"/>
      </w:pPr>
      <w:r>
        <w:rPr>
          <w:rFonts w:ascii="微软雅黑" w:hAnsi="微软雅黑" w:eastAsia="微软雅黑"/>
          <w:b w:val="0"/>
          <w:sz w:val="20"/>
        </w:rPr>
        <w:t>无异常时通过；存在风险时转入提现风控审核或驳回，并填写处理原因。</w:t>
      </w:r>
    </w:p>
    <w:p w14:paraId="0D781796">
      <w:pPr>
        <w:pStyle w:val="4"/>
        <w:keepNext/>
        <w:spacing w:before="240" w:after="140" w:line="269" w:lineRule="auto"/>
      </w:pPr>
      <w:r>
        <w:rPr>
          <w:rFonts w:ascii="微软雅黑" w:hAnsi="微软雅黑" w:eastAsia="微软雅黑"/>
          <w:b/>
          <w:color w:val="1F4E79"/>
          <w:sz w:val="30"/>
        </w:rPr>
        <w:t>排查用户资金问题</w:t>
      </w:r>
    </w:p>
    <w:p w14:paraId="702E2197">
      <w:pPr>
        <w:pStyle w:val="14"/>
        <w:spacing w:after="40" w:line="276" w:lineRule="auto"/>
      </w:pPr>
      <w:r>
        <w:rPr>
          <w:rFonts w:ascii="微软雅黑" w:hAnsi="微软雅黑" w:eastAsia="微软雅黑"/>
          <w:b w:val="0"/>
          <w:sz w:val="20"/>
        </w:rPr>
        <w:t>进入用户管理定位会员，或进入财务中心账变记录筛选会员账号。</w:t>
      </w:r>
    </w:p>
    <w:p w14:paraId="2B823D5C">
      <w:pPr>
        <w:pStyle w:val="14"/>
        <w:spacing w:after="40" w:line="276" w:lineRule="auto"/>
      </w:pPr>
      <w:r>
        <w:rPr>
          <w:rFonts w:ascii="微软雅黑" w:hAnsi="微软雅黑" w:eastAsia="微软雅黑"/>
          <w:b w:val="0"/>
          <w:sz w:val="20"/>
        </w:rPr>
        <w:t>结合充值订单、提现订单、人工加扣款和账变记录核对完整资金链路。</w:t>
      </w:r>
    </w:p>
    <w:p w14:paraId="76A689A3">
      <w:pPr>
        <w:pStyle w:val="14"/>
        <w:spacing w:after="40" w:line="276" w:lineRule="auto"/>
      </w:pPr>
      <w:r>
        <w:rPr>
          <w:rFonts w:ascii="微软雅黑" w:hAnsi="微软雅黑" w:eastAsia="微软雅黑"/>
          <w:b w:val="0"/>
          <w:sz w:val="20"/>
        </w:rPr>
        <w:t>需要追责时进入人事中心的管理员操作日志查询相关操作。</w:t>
      </w:r>
    </w:p>
    <w:p w14:paraId="36476B46">
      <w:pPr>
        <w:pStyle w:val="4"/>
        <w:keepNext/>
        <w:spacing w:before="240" w:after="140" w:line="269" w:lineRule="auto"/>
      </w:pPr>
      <w:r>
        <w:rPr>
          <w:rFonts w:ascii="微软雅黑" w:hAnsi="微软雅黑" w:eastAsia="微软雅黑"/>
          <w:b/>
          <w:color w:val="1F4E79"/>
          <w:sz w:val="30"/>
        </w:rPr>
        <w:t>查看活动效果</w:t>
      </w:r>
    </w:p>
    <w:p w14:paraId="5E594233">
      <w:pPr>
        <w:pStyle w:val="14"/>
        <w:spacing w:after="40" w:line="276" w:lineRule="auto"/>
      </w:pPr>
      <w:r>
        <w:rPr>
          <w:rFonts w:ascii="微软雅黑" w:hAnsi="微软雅黑" w:eastAsia="微软雅黑"/>
          <w:b w:val="0"/>
          <w:sz w:val="20"/>
        </w:rPr>
        <w:t>固定活动名称、统计时间和渠道范围。</w:t>
      </w:r>
    </w:p>
    <w:p w14:paraId="26F69E7F">
      <w:pPr>
        <w:pStyle w:val="14"/>
        <w:spacing w:after="40" w:line="276" w:lineRule="auto"/>
      </w:pPr>
      <w:r>
        <w:rPr>
          <w:rFonts w:ascii="微软雅黑" w:hAnsi="微软雅黑" w:eastAsia="微软雅黑"/>
          <w:b w:val="0"/>
          <w:sz w:val="20"/>
        </w:rPr>
        <w:t>查看优惠活动、数据报表中的活动相关报表。</w:t>
      </w:r>
    </w:p>
    <w:p w14:paraId="65D27FAC">
      <w:pPr>
        <w:pStyle w:val="14"/>
        <w:spacing w:after="40" w:line="276" w:lineRule="auto"/>
      </w:pPr>
      <w:r>
        <w:rPr>
          <w:rFonts w:ascii="微软雅黑" w:hAnsi="微软雅黑" w:eastAsia="微软雅黑"/>
          <w:b w:val="0"/>
          <w:sz w:val="20"/>
        </w:rPr>
        <w:t>结合用户分析、充值分布、留存和 LTV 判断活动质量。</w:t>
      </w:r>
    </w:p>
    <w:p w14:paraId="22E769AC">
      <w:pPr>
        <w:pStyle w:val="3"/>
        <w:keepNext/>
        <w:spacing w:before="360" w:after="240" w:line="276" w:lineRule="auto"/>
      </w:pPr>
      <w:r>
        <w:rPr>
          <w:rFonts w:ascii="微软雅黑" w:hAnsi="微软雅黑" w:eastAsia="微软雅黑"/>
          <w:b/>
          <w:color w:val="17365D"/>
          <w:sz w:val="40"/>
        </w:rPr>
        <w:t>十七、常见问题与排查</w:t>
      </w:r>
    </w:p>
    <w:p w14:paraId="43636AFA">
      <w:pPr>
        <w:pStyle w:val="4"/>
        <w:keepNext/>
        <w:spacing w:before="240" w:after="140" w:line="269" w:lineRule="auto"/>
      </w:pPr>
      <w:r>
        <w:rPr>
          <w:rFonts w:ascii="微软雅黑" w:hAnsi="微软雅黑" w:eastAsia="微软雅黑"/>
          <w:b/>
          <w:color w:val="1F4E79"/>
          <w:sz w:val="30"/>
        </w:rPr>
        <w:t>登录后看不到菜单</w:t>
      </w:r>
    </w:p>
    <w:p w14:paraId="08514170">
      <w:pPr>
        <w:spacing w:after="60" w:line="276" w:lineRule="auto"/>
      </w:pPr>
      <w:r>
        <w:rPr>
          <w:rFonts w:ascii="微软雅黑" w:hAnsi="微软雅黑" w:eastAsia="微软雅黑"/>
          <w:b w:val="0"/>
          <w:sz w:val="20"/>
        </w:rPr>
        <w:t>确认账号状态、所选角色、站点范围和该角色是否包含对应菜单。</w:t>
      </w:r>
    </w:p>
    <w:p w14:paraId="785B3AED">
      <w:pPr>
        <w:pStyle w:val="4"/>
        <w:keepNext/>
        <w:spacing w:before="240" w:after="140" w:line="269" w:lineRule="auto"/>
      </w:pPr>
      <w:r>
        <w:rPr>
          <w:rFonts w:ascii="微软雅黑" w:hAnsi="微软雅黑" w:eastAsia="微软雅黑"/>
          <w:b/>
          <w:color w:val="1F4E79"/>
          <w:sz w:val="30"/>
        </w:rPr>
        <w:t>列表查不到数据</w:t>
      </w:r>
    </w:p>
    <w:p w14:paraId="026AC968">
      <w:pPr>
        <w:spacing w:after="60" w:line="276" w:lineRule="auto"/>
      </w:pPr>
      <w:r>
        <w:rPr>
          <w:rFonts w:ascii="微软雅黑" w:hAnsi="微软雅黑" w:eastAsia="微软雅黑"/>
          <w:b w:val="0"/>
          <w:sz w:val="20"/>
        </w:rPr>
        <w:t>检查时间范围、状态、账号、渠道等筛选条件，必要时重置后重新查询。</w:t>
      </w:r>
    </w:p>
    <w:p w14:paraId="2852C4B6">
      <w:pPr>
        <w:pStyle w:val="4"/>
        <w:keepNext/>
        <w:spacing w:before="240" w:after="140" w:line="269" w:lineRule="auto"/>
      </w:pPr>
      <w:r>
        <w:rPr>
          <w:rFonts w:ascii="微软雅黑" w:hAnsi="微软雅黑" w:eastAsia="微软雅黑"/>
          <w:b/>
          <w:color w:val="1F4E79"/>
          <w:sz w:val="30"/>
        </w:rPr>
        <w:t>配置保存后未生效</w:t>
      </w:r>
    </w:p>
    <w:p w14:paraId="34517ADD">
      <w:pPr>
        <w:spacing w:after="60" w:line="276" w:lineRule="auto"/>
      </w:pPr>
      <w:r>
        <w:rPr>
          <w:rFonts w:ascii="微软雅黑" w:hAnsi="微软雅黑" w:eastAsia="微软雅黑"/>
          <w:b w:val="0"/>
          <w:sz w:val="20"/>
        </w:rPr>
        <w:t>确认配置状态、生效时间、适用范围、缓存和当前操作站点。</w:t>
      </w:r>
    </w:p>
    <w:p w14:paraId="76452937">
      <w:pPr>
        <w:pStyle w:val="4"/>
        <w:keepNext/>
        <w:spacing w:before="240" w:after="140" w:line="269" w:lineRule="auto"/>
      </w:pPr>
      <w:r>
        <w:rPr>
          <w:rFonts w:ascii="微软雅黑" w:hAnsi="微软雅黑" w:eastAsia="微软雅黑"/>
          <w:b/>
          <w:color w:val="1F4E79"/>
          <w:sz w:val="30"/>
        </w:rPr>
        <w:t>订单状态异常</w:t>
      </w:r>
    </w:p>
    <w:p w14:paraId="621D8BFF">
      <w:pPr>
        <w:spacing w:after="60" w:line="276" w:lineRule="auto"/>
      </w:pPr>
      <w:r>
        <w:rPr>
          <w:rFonts w:ascii="微软雅黑" w:hAnsi="微软雅黑" w:eastAsia="微软雅黑"/>
          <w:b w:val="0"/>
          <w:sz w:val="20"/>
        </w:rPr>
        <w:t>查看订单详情，结合支付通道数据、账变记录、操作日志和异常日志核对。</w:t>
      </w:r>
    </w:p>
    <w:p w14:paraId="22AA89DB">
      <w:pPr>
        <w:pStyle w:val="4"/>
        <w:keepNext/>
        <w:spacing w:before="240" w:after="140" w:line="269" w:lineRule="auto"/>
      </w:pPr>
      <w:r>
        <w:rPr>
          <w:rFonts w:ascii="微软雅黑" w:hAnsi="微软雅黑" w:eastAsia="微软雅黑"/>
          <w:b/>
          <w:color w:val="1F4E79"/>
          <w:sz w:val="30"/>
        </w:rPr>
        <w:t>报表数据不一致</w:t>
      </w:r>
    </w:p>
    <w:p w14:paraId="41479B8F">
      <w:pPr>
        <w:spacing w:after="60" w:line="276" w:lineRule="auto"/>
      </w:pPr>
      <w:r>
        <w:rPr>
          <w:rFonts w:ascii="微软雅黑" w:hAnsi="微软雅黑" w:eastAsia="微软雅黑"/>
          <w:b w:val="0"/>
          <w:sz w:val="20"/>
        </w:rPr>
        <w:t>确认统计时间、时区、口径、筛选条件和数据延迟。</w:t>
      </w:r>
    </w:p>
    <w:p w14:paraId="5CBC8C04">
      <w:pPr>
        <w:pStyle w:val="4"/>
        <w:keepNext/>
        <w:spacing w:before="240" w:after="140" w:line="269" w:lineRule="auto"/>
      </w:pPr>
      <w:r>
        <w:rPr>
          <w:rFonts w:ascii="微软雅黑" w:hAnsi="微软雅黑" w:eastAsia="微软雅黑"/>
          <w:b/>
          <w:color w:val="1F4E79"/>
          <w:sz w:val="30"/>
        </w:rPr>
        <w:t>需要追踪误操作</w:t>
      </w:r>
    </w:p>
    <w:p w14:paraId="527CD017">
      <w:pPr>
        <w:spacing w:after="60" w:line="276" w:lineRule="auto"/>
      </w:pPr>
      <w:r>
        <w:rPr>
          <w:rFonts w:ascii="微软雅黑" w:hAnsi="微软雅黑" w:eastAsia="微软雅黑"/>
          <w:b w:val="0"/>
          <w:sz w:val="20"/>
        </w:rPr>
        <w:t>进入人事中心的管理员操作日志，按账号、时间、模块、对象和操作类型筛选。</w:t>
      </w:r>
    </w:p>
    <w:p w14:paraId="7B390F17"/>
    <w:p w14:paraId="393E9EBB">
      <w:pPr>
        <w:spacing w:after="100" w:line="276" w:lineRule="auto"/>
      </w:pPr>
    </w:p>
    <w:p w14:paraId="66682869"/>
    <w:p w14:paraId="6C6D7087"/>
    <w:p w14:paraId="688758C8">
      <w:pPr>
        <w:spacing w:after="120"/>
      </w:pPr>
    </w:p>
    <w:p w14:paraId="1F15235A">
      <w:pPr>
        <w:spacing w:after="60" w:line="269" w:lineRule="auto"/>
      </w:pPr>
    </w:p>
    <w:p w14:paraId="195A08DA">
      <w:pPr>
        <w:spacing w:after="60" w:line="269" w:lineRule="auto"/>
      </w:pPr>
    </w:p>
    <w:p w14:paraId="63F9AA70">
      <w:pPr>
        <w:spacing w:after="60" w:line="269" w:lineRule="auto"/>
      </w:pPr>
    </w:p>
    <w:p w14:paraId="67B79A75">
      <w:pPr>
        <w:spacing w:after="60" w:line="269" w:lineRule="auto"/>
      </w:pPr>
    </w:p>
    <w:p w14:paraId="2F8803BA"/>
    <w:p w14:paraId="2F99EF47"/>
    <w:p w14:paraId="5D28C9C9">
      <w:pPr>
        <w:spacing w:after="120"/>
      </w:pPr>
    </w:p>
    <w:p w14:paraId="07C27F22"/>
    <w:p w14:paraId="2CF4C6E7">
      <w:pPr>
        <w:spacing w:after="120"/>
      </w:pPr>
    </w:p>
    <w:p w14:paraId="4A03717D">
      <w:pPr>
        <w:spacing w:after="60" w:line="269" w:lineRule="auto"/>
      </w:pPr>
    </w:p>
    <w:p w14:paraId="4BA85CEB">
      <w:pPr>
        <w:spacing w:after="60" w:line="269" w:lineRule="auto"/>
      </w:pPr>
    </w:p>
    <w:p w14:paraId="3D2D3864">
      <w:pPr>
        <w:spacing w:after="60" w:line="269" w:lineRule="auto"/>
      </w:pPr>
    </w:p>
    <w:p w14:paraId="197A029B">
      <w:pPr>
        <w:spacing w:after="60" w:line="269" w:lineRule="auto"/>
      </w:pPr>
    </w:p>
    <w:p w14:paraId="252F9DAA"/>
    <w:p w14:paraId="544BBD31"/>
    <w:p w14:paraId="11F5B84E">
      <w:pPr>
        <w:spacing w:after="120"/>
      </w:pPr>
    </w:p>
    <w:p w14:paraId="3C7FC679">
      <w:pPr>
        <w:spacing w:after="60" w:line="269" w:lineRule="auto"/>
      </w:pPr>
    </w:p>
    <w:p w14:paraId="49223AEC">
      <w:pPr>
        <w:spacing w:after="60" w:line="269" w:lineRule="auto"/>
      </w:pPr>
    </w:p>
    <w:p w14:paraId="7F1AE6FA">
      <w:pPr>
        <w:spacing w:after="60" w:line="269" w:lineRule="auto"/>
      </w:pPr>
    </w:p>
    <w:p w14:paraId="5F88A574"/>
    <w:p w14:paraId="42B7D96E"/>
    <w:p w14:paraId="6BBD660E">
      <w:pPr>
        <w:spacing w:after="120"/>
      </w:pPr>
    </w:p>
    <w:p w14:paraId="5E7B1FD9">
      <w:pPr>
        <w:spacing w:after="60" w:line="269" w:lineRule="auto"/>
      </w:pPr>
    </w:p>
    <w:p w14:paraId="11615F03">
      <w:pPr>
        <w:spacing w:after="60" w:line="269" w:lineRule="auto"/>
      </w:pPr>
    </w:p>
    <w:p w14:paraId="10128A2D">
      <w:pPr>
        <w:spacing w:after="60" w:line="269" w:lineRule="auto"/>
      </w:pPr>
    </w:p>
    <w:p w14:paraId="3A3C4D99">
      <w:pPr>
        <w:spacing w:after="60" w:line="269" w:lineRule="auto"/>
      </w:pPr>
    </w:p>
    <w:p w14:paraId="3C8BE310">
      <w:pPr>
        <w:spacing w:after="60" w:line="269" w:lineRule="auto"/>
      </w:pPr>
    </w:p>
    <w:p w14:paraId="0FAD7D55"/>
    <w:p w14:paraId="6FB94385">
      <w:pPr>
        <w:spacing w:after="60" w:line="269" w:lineRule="auto"/>
      </w:pPr>
    </w:p>
    <w:p w14:paraId="1A374389">
      <w:pPr>
        <w:spacing w:after="60" w:line="269" w:lineRule="auto"/>
      </w:pPr>
    </w:p>
    <w:p w14:paraId="0807081C">
      <w:pPr>
        <w:spacing w:after="60" w:line="269" w:lineRule="auto"/>
      </w:pPr>
    </w:p>
    <w:p w14:paraId="35D19F87">
      <w:pPr>
        <w:spacing w:after="60" w:line="276" w:lineRule="auto"/>
      </w:pPr>
    </w:p>
    <w:p w14:paraId="7D4C4EB7">
      <w:pPr>
        <w:spacing w:after="100"/>
      </w:pPr>
    </w:p>
    <w:p w14:paraId="7739DEB5">
      <w:pPr>
        <w:spacing w:after="40"/>
      </w:pPr>
    </w:p>
    <w:p w14:paraId="0C481A95">
      <w:pPr>
        <w:spacing w:after="120"/>
      </w:pPr>
    </w:p>
    <w:p w14:paraId="4634F96F">
      <w:pPr>
        <w:spacing w:after="60" w:line="276" w:lineRule="auto"/>
      </w:pPr>
    </w:p>
    <w:p w14:paraId="3FA6B5A7">
      <w:pPr>
        <w:spacing w:after="60" w:line="276" w:lineRule="auto"/>
      </w:pPr>
    </w:p>
    <w:p w14:paraId="26B0048B">
      <w:pPr>
        <w:spacing w:after="60" w:line="276" w:lineRule="auto"/>
      </w:pPr>
    </w:p>
    <w:p w14:paraId="42262274">
      <w:pPr>
        <w:spacing w:after="100"/>
      </w:pPr>
    </w:p>
    <w:p w14:paraId="471F50B7">
      <w:pPr>
        <w:spacing w:after="60" w:line="276" w:lineRule="auto"/>
      </w:pPr>
    </w:p>
    <w:p w14:paraId="12AB517C">
      <w:pPr>
        <w:spacing w:after="60" w:line="276" w:lineRule="auto"/>
      </w:pPr>
    </w:p>
    <w:p w14:paraId="6AF4170D">
      <w:pPr>
        <w:spacing w:after="60" w:line="276" w:lineRule="auto"/>
      </w:pPr>
    </w:p>
    <w:p w14:paraId="06669B3F">
      <w:pPr>
        <w:spacing w:after="60" w:line="276" w:lineRule="auto"/>
      </w:pPr>
    </w:p>
    <w:p w14:paraId="5604E738">
      <w:pPr>
        <w:spacing w:after="60" w:line="276" w:lineRule="auto"/>
      </w:pPr>
    </w:p>
    <w:p w14:paraId="227DEAAD">
      <w:pPr>
        <w:spacing w:after="100"/>
      </w:pPr>
    </w:p>
    <w:p w14:paraId="21057CBB">
      <w:pPr>
        <w:spacing w:after="40"/>
      </w:pPr>
    </w:p>
    <w:p w14:paraId="79292A2A">
      <w:pPr>
        <w:spacing w:after="120"/>
      </w:pPr>
    </w:p>
    <w:p w14:paraId="072D6B6F">
      <w:pPr>
        <w:spacing w:after="60" w:line="269" w:lineRule="auto"/>
      </w:pPr>
    </w:p>
    <w:p w14:paraId="0B8A5A98">
      <w:pPr>
        <w:spacing w:after="60" w:line="269" w:lineRule="auto"/>
      </w:pPr>
    </w:p>
    <w:p w14:paraId="06403F2C">
      <w:pPr>
        <w:spacing w:after="60" w:line="269" w:lineRule="auto"/>
      </w:pPr>
    </w:p>
    <w:p w14:paraId="205CB57D">
      <w:pPr>
        <w:spacing w:after="60" w:line="269" w:lineRule="auto"/>
      </w:pPr>
    </w:p>
    <w:p w14:paraId="6CF15502">
      <w:pPr>
        <w:spacing w:after="60" w:line="269" w:lineRule="auto"/>
      </w:pPr>
    </w:p>
    <w:p w14:paraId="696BB553">
      <w:pPr>
        <w:spacing w:after="100"/>
      </w:pPr>
    </w:p>
    <w:p w14:paraId="126506A2">
      <w:pPr>
        <w:spacing w:after="40"/>
      </w:pPr>
    </w:p>
    <w:p w14:paraId="7DC09688">
      <w:pPr>
        <w:spacing w:after="120"/>
      </w:pPr>
    </w:p>
    <w:p w14:paraId="2E3FD6D3">
      <w:pPr>
        <w:spacing w:after="60" w:line="269" w:lineRule="auto"/>
      </w:pPr>
    </w:p>
    <w:p w14:paraId="4647978B">
      <w:pPr>
        <w:spacing w:after="60" w:line="269" w:lineRule="auto"/>
      </w:pPr>
    </w:p>
    <w:p w14:paraId="54E152BC">
      <w:pPr>
        <w:spacing w:after="60" w:line="269" w:lineRule="auto"/>
      </w:pPr>
    </w:p>
    <w:p w14:paraId="23317F21">
      <w:pPr>
        <w:spacing w:after="60" w:line="269" w:lineRule="auto"/>
      </w:pPr>
    </w:p>
    <w:p w14:paraId="2EE7C924">
      <w:pPr>
        <w:spacing w:after="100"/>
      </w:pPr>
    </w:p>
    <w:p w14:paraId="1DC44322">
      <w:pPr>
        <w:spacing w:after="40"/>
      </w:pPr>
    </w:p>
    <w:p w14:paraId="7B062477">
      <w:pPr>
        <w:spacing w:after="120"/>
      </w:pPr>
    </w:p>
    <w:p w14:paraId="4CCA95E9">
      <w:pPr>
        <w:spacing w:after="60" w:line="269" w:lineRule="auto"/>
      </w:pPr>
    </w:p>
    <w:p w14:paraId="4A0D200E">
      <w:pPr>
        <w:spacing w:after="60" w:line="269" w:lineRule="auto"/>
      </w:pPr>
    </w:p>
    <w:p w14:paraId="451DAF78">
      <w:pPr>
        <w:spacing w:after="60" w:line="269" w:lineRule="auto"/>
      </w:pPr>
    </w:p>
    <w:p w14:paraId="7A542EB3">
      <w:pPr>
        <w:spacing w:after="60" w:line="269" w:lineRule="auto"/>
      </w:pPr>
    </w:p>
    <w:p w14:paraId="03D43E26">
      <w:pPr>
        <w:spacing w:after="100"/>
      </w:pPr>
    </w:p>
    <w:p w14:paraId="7E59604B">
      <w:pPr>
        <w:spacing w:after="40"/>
      </w:pPr>
    </w:p>
    <w:p w14:paraId="17FCF476">
      <w:pPr>
        <w:spacing w:after="120"/>
      </w:pPr>
    </w:p>
    <w:p w14:paraId="54F2CC82">
      <w:pPr>
        <w:spacing w:after="60" w:line="269" w:lineRule="auto"/>
      </w:pPr>
    </w:p>
    <w:p w14:paraId="143085A7">
      <w:pPr>
        <w:spacing w:after="60" w:line="269" w:lineRule="auto"/>
      </w:pPr>
    </w:p>
    <w:p w14:paraId="56795024">
      <w:pPr>
        <w:spacing w:after="60" w:line="269" w:lineRule="auto"/>
      </w:pPr>
    </w:p>
    <w:p w14:paraId="3FCC45A5">
      <w:pPr>
        <w:spacing w:after="60" w:line="269" w:lineRule="auto"/>
      </w:pPr>
    </w:p>
    <w:p w14:paraId="70494047">
      <w:pPr>
        <w:spacing w:after="100"/>
      </w:pPr>
    </w:p>
    <w:p w14:paraId="0BC82775">
      <w:pPr>
        <w:spacing w:after="60" w:line="269" w:lineRule="auto"/>
      </w:pPr>
    </w:p>
    <w:p w14:paraId="0BB6FE11">
      <w:pPr>
        <w:spacing w:after="60" w:line="269" w:lineRule="auto"/>
      </w:pPr>
    </w:p>
    <w:p w14:paraId="3A6073B9">
      <w:pPr>
        <w:spacing w:after="60" w:line="269" w:lineRule="auto"/>
      </w:pPr>
    </w:p>
    <w:p w14:paraId="2B845291">
      <w:pPr>
        <w:spacing w:after="60" w:line="276" w:lineRule="auto"/>
      </w:pPr>
    </w:p>
    <w:p w14:paraId="0DA87E22">
      <w:pPr>
        <w:spacing w:after="100"/>
      </w:pPr>
    </w:p>
    <w:p w14:paraId="1B6845EA">
      <w:pPr>
        <w:spacing w:after="40"/>
      </w:pPr>
    </w:p>
    <w:p w14:paraId="4F30D84F">
      <w:pPr>
        <w:spacing w:after="120"/>
      </w:pPr>
    </w:p>
    <w:p w14:paraId="1AA6803F">
      <w:pPr>
        <w:spacing w:after="60" w:line="276" w:lineRule="auto"/>
      </w:pPr>
    </w:p>
    <w:p w14:paraId="6919528C">
      <w:pPr>
        <w:spacing w:after="60" w:line="276" w:lineRule="auto"/>
      </w:pPr>
    </w:p>
    <w:p w14:paraId="7A345603">
      <w:pPr>
        <w:spacing w:after="60" w:line="276" w:lineRule="auto"/>
      </w:pPr>
    </w:p>
    <w:p w14:paraId="516C5F08">
      <w:pPr>
        <w:spacing w:after="60" w:line="276" w:lineRule="auto"/>
      </w:pPr>
    </w:p>
    <w:p w14:paraId="203D61E8">
      <w:pPr>
        <w:spacing w:after="60" w:line="276" w:lineRule="auto"/>
      </w:pPr>
    </w:p>
    <w:p w14:paraId="44621EA3">
      <w:pPr>
        <w:spacing w:after="100"/>
      </w:pPr>
    </w:p>
    <w:p w14:paraId="42B32885">
      <w:pPr>
        <w:spacing w:after="40"/>
      </w:pPr>
    </w:p>
    <w:p w14:paraId="4D292919">
      <w:pPr>
        <w:spacing w:after="120"/>
      </w:pPr>
    </w:p>
    <w:p w14:paraId="0EAABD9B">
      <w:pPr>
        <w:spacing w:after="60" w:line="276" w:lineRule="auto"/>
      </w:pPr>
    </w:p>
    <w:p w14:paraId="2624F91A">
      <w:pPr>
        <w:spacing w:after="60" w:line="276" w:lineRule="auto"/>
      </w:pPr>
    </w:p>
    <w:p w14:paraId="714DC12F">
      <w:pPr>
        <w:spacing w:after="60" w:line="276" w:lineRule="auto"/>
      </w:pPr>
    </w:p>
    <w:p w14:paraId="5E06379D">
      <w:pPr>
        <w:spacing w:after="60" w:line="276" w:lineRule="auto"/>
      </w:pPr>
    </w:p>
    <w:p w14:paraId="221AC30B">
      <w:pPr>
        <w:spacing w:after="60" w:line="276" w:lineRule="auto"/>
      </w:pPr>
    </w:p>
    <w:p w14:paraId="50241917">
      <w:pPr>
        <w:spacing w:after="60" w:line="276" w:lineRule="auto"/>
      </w:pPr>
    </w:p>
    <w:p w14:paraId="7CD4C0E0">
      <w:pPr>
        <w:spacing w:after="60" w:line="276" w:lineRule="auto"/>
      </w:pPr>
    </w:p>
    <w:p w14:paraId="1725E512">
      <w:pPr>
        <w:spacing w:after="100"/>
      </w:pPr>
    </w:p>
    <w:p w14:paraId="51BF3E65">
      <w:pPr>
        <w:spacing w:after="40"/>
      </w:pPr>
    </w:p>
    <w:p w14:paraId="00DEBB6E">
      <w:pPr>
        <w:spacing w:after="120"/>
      </w:pPr>
    </w:p>
    <w:p w14:paraId="7D260CE8">
      <w:pPr>
        <w:spacing w:after="60" w:line="276" w:lineRule="auto"/>
      </w:pPr>
    </w:p>
    <w:p w14:paraId="70255ADD">
      <w:pPr>
        <w:spacing w:after="60" w:line="276" w:lineRule="auto"/>
      </w:pPr>
    </w:p>
    <w:p w14:paraId="63A39470">
      <w:pPr>
        <w:spacing w:after="60" w:line="276" w:lineRule="auto"/>
      </w:pPr>
    </w:p>
    <w:p w14:paraId="1E1E3689">
      <w:pPr>
        <w:spacing w:after="60" w:line="276" w:lineRule="auto"/>
      </w:pPr>
    </w:p>
    <w:p w14:paraId="3E89D99A">
      <w:pPr>
        <w:spacing w:after="60" w:line="276" w:lineRule="auto"/>
      </w:pPr>
    </w:p>
    <w:p w14:paraId="52B06D44">
      <w:pPr>
        <w:spacing w:after="60" w:line="276" w:lineRule="auto"/>
      </w:pPr>
    </w:p>
    <w:p w14:paraId="56F49F14">
      <w:pPr>
        <w:spacing w:after="60" w:line="276" w:lineRule="auto"/>
      </w:pPr>
    </w:p>
    <w:p w14:paraId="037B1FC4">
      <w:pPr>
        <w:spacing w:after="100"/>
      </w:pPr>
    </w:p>
    <w:p w14:paraId="530B1821">
      <w:pPr>
        <w:spacing w:after="40"/>
      </w:pPr>
    </w:p>
    <w:p w14:paraId="0F032AB3">
      <w:pPr>
        <w:spacing w:after="120"/>
      </w:pPr>
    </w:p>
    <w:p w14:paraId="63A37534">
      <w:pPr>
        <w:spacing w:after="60" w:line="276" w:lineRule="auto"/>
      </w:pPr>
    </w:p>
    <w:p w14:paraId="292923BE">
      <w:pPr>
        <w:spacing w:after="60" w:line="276" w:lineRule="auto"/>
      </w:pPr>
    </w:p>
    <w:p w14:paraId="730F6BC3">
      <w:pPr>
        <w:spacing w:after="60" w:line="276" w:lineRule="auto"/>
      </w:pPr>
    </w:p>
    <w:p w14:paraId="74FB0D07">
      <w:pPr>
        <w:spacing w:after="60" w:line="276" w:lineRule="auto"/>
      </w:pPr>
    </w:p>
    <w:p w14:paraId="48C0204E">
      <w:pPr>
        <w:spacing w:after="60" w:line="276" w:lineRule="auto"/>
      </w:pPr>
    </w:p>
    <w:p w14:paraId="4D2AD5E5">
      <w:pPr>
        <w:spacing w:after="100"/>
      </w:pPr>
    </w:p>
    <w:p w14:paraId="1376ABFA">
      <w:pPr>
        <w:spacing w:after="40"/>
      </w:pPr>
    </w:p>
    <w:p w14:paraId="580A02B7">
      <w:pPr>
        <w:spacing w:after="120"/>
      </w:pPr>
    </w:p>
    <w:p w14:paraId="1DE04242">
      <w:pPr>
        <w:spacing w:after="60" w:line="276" w:lineRule="auto"/>
      </w:pPr>
    </w:p>
    <w:p w14:paraId="43E4DBAD">
      <w:pPr>
        <w:spacing w:after="60" w:line="276" w:lineRule="auto"/>
      </w:pPr>
    </w:p>
    <w:p w14:paraId="1F57CC87">
      <w:pPr>
        <w:spacing w:after="60" w:line="276" w:lineRule="auto"/>
      </w:pPr>
    </w:p>
    <w:p w14:paraId="7C17C7BA">
      <w:pPr>
        <w:spacing w:after="60" w:line="276" w:lineRule="auto"/>
      </w:pPr>
    </w:p>
    <w:p w14:paraId="3DDF4786">
      <w:pPr>
        <w:spacing w:after="60" w:line="276" w:lineRule="auto"/>
      </w:pPr>
    </w:p>
    <w:p w14:paraId="7C5959F1">
      <w:pPr>
        <w:spacing w:after="60" w:line="276" w:lineRule="auto"/>
      </w:pPr>
    </w:p>
    <w:p w14:paraId="64DFF840">
      <w:pPr>
        <w:spacing w:after="60" w:line="276" w:lineRule="auto"/>
      </w:pPr>
    </w:p>
    <w:p w14:paraId="2D3E1A08">
      <w:pPr>
        <w:spacing w:after="100"/>
      </w:pPr>
    </w:p>
    <w:p w14:paraId="41EA98B1">
      <w:pPr>
        <w:spacing w:after="40"/>
      </w:pPr>
    </w:p>
    <w:p w14:paraId="390F1DD9">
      <w:pPr>
        <w:spacing w:after="120"/>
      </w:pPr>
    </w:p>
    <w:p w14:paraId="693F4F8E">
      <w:pPr>
        <w:spacing w:after="60" w:line="276" w:lineRule="auto"/>
      </w:pPr>
    </w:p>
    <w:p w14:paraId="359E669D">
      <w:pPr>
        <w:spacing w:after="60" w:line="276" w:lineRule="auto"/>
      </w:pPr>
    </w:p>
    <w:p w14:paraId="3B82F5EC">
      <w:pPr>
        <w:spacing w:after="60" w:line="276" w:lineRule="auto"/>
      </w:pPr>
    </w:p>
    <w:p w14:paraId="25C4B4AD">
      <w:pPr>
        <w:spacing w:after="60" w:line="276" w:lineRule="auto"/>
      </w:pPr>
    </w:p>
    <w:p w14:paraId="4E5C8C48">
      <w:pPr>
        <w:spacing w:after="60" w:line="276" w:lineRule="auto"/>
      </w:pPr>
    </w:p>
    <w:p w14:paraId="343DA0B3">
      <w:pPr>
        <w:spacing w:after="60" w:line="276" w:lineRule="auto"/>
      </w:pPr>
    </w:p>
    <w:p w14:paraId="61D9E1BE">
      <w:pPr>
        <w:spacing w:after="60" w:line="276" w:lineRule="auto"/>
      </w:pPr>
    </w:p>
    <w:p w14:paraId="43FE8B49">
      <w:pPr>
        <w:spacing w:after="40"/>
      </w:pPr>
    </w:p>
    <w:p w14:paraId="1085B1FC">
      <w:pPr>
        <w:spacing w:after="120"/>
      </w:pPr>
    </w:p>
    <w:p w14:paraId="634C0A20">
      <w:pPr>
        <w:spacing w:after="60" w:line="276" w:lineRule="auto"/>
      </w:pPr>
    </w:p>
    <w:p w14:paraId="2C88AE4D">
      <w:pPr>
        <w:spacing w:after="60" w:line="276" w:lineRule="auto"/>
      </w:pPr>
    </w:p>
    <w:p w14:paraId="39E57939">
      <w:pPr>
        <w:spacing w:after="60" w:line="276" w:lineRule="auto"/>
      </w:pPr>
    </w:p>
    <w:p w14:paraId="7CD4A582">
      <w:pPr>
        <w:spacing w:after="60" w:line="276" w:lineRule="auto"/>
      </w:pPr>
    </w:p>
    <w:p w14:paraId="42B1612D">
      <w:pPr>
        <w:spacing w:after="60" w:line="276" w:lineRule="auto"/>
      </w:pPr>
    </w:p>
    <w:p w14:paraId="7A54BA76">
      <w:pPr>
        <w:spacing w:after="60" w:line="276" w:lineRule="auto"/>
      </w:pPr>
    </w:p>
    <w:p w14:paraId="1440F427">
      <w:pPr>
        <w:spacing w:after="60" w:line="276" w:lineRule="auto"/>
      </w:pPr>
    </w:p>
    <w:p w14:paraId="35296EEE">
      <w:pPr>
        <w:spacing w:after="60" w:line="276" w:lineRule="auto"/>
      </w:pPr>
    </w:p>
    <w:p w14:paraId="471B6967">
      <w:pPr>
        <w:spacing w:after="60" w:line="276" w:lineRule="auto"/>
      </w:pPr>
    </w:p>
    <w:p w14:paraId="5008252C">
      <w:pPr>
        <w:spacing w:after="60" w:line="276" w:lineRule="auto"/>
      </w:pPr>
    </w:p>
    <w:p w14:paraId="608C883E">
      <w:pPr>
        <w:spacing w:after="60" w:line="276" w:lineRule="auto"/>
      </w:pPr>
    </w:p>
    <w:p w14:paraId="412DF6B3">
      <w:pPr>
        <w:spacing w:after="60" w:line="276" w:lineRule="auto"/>
      </w:pPr>
    </w:p>
    <w:p w14:paraId="1CB999D2">
      <w:pPr>
        <w:spacing w:after="100"/>
      </w:pPr>
    </w:p>
    <w:p w14:paraId="3B3403BE">
      <w:pPr>
        <w:spacing w:after="40"/>
      </w:pPr>
    </w:p>
    <w:p w14:paraId="0C6B7BF7">
      <w:pPr>
        <w:spacing w:after="120"/>
      </w:pPr>
    </w:p>
    <w:p w14:paraId="0C0E1EFD">
      <w:pPr>
        <w:spacing w:after="60" w:line="276" w:lineRule="auto"/>
      </w:pPr>
    </w:p>
    <w:p w14:paraId="6972E727">
      <w:pPr>
        <w:spacing w:after="60" w:line="276" w:lineRule="auto"/>
      </w:pPr>
    </w:p>
    <w:p w14:paraId="04354D13">
      <w:pPr>
        <w:spacing w:after="60" w:line="276" w:lineRule="auto"/>
      </w:pPr>
    </w:p>
    <w:p w14:paraId="2FE9BE7E">
      <w:pPr>
        <w:spacing w:after="100"/>
      </w:pPr>
    </w:p>
    <w:p w14:paraId="63FB075B">
      <w:pPr>
        <w:spacing w:after="60" w:line="276" w:lineRule="auto"/>
      </w:pPr>
    </w:p>
    <w:p w14:paraId="42C6F9E1">
      <w:pPr>
        <w:spacing w:after="60" w:line="276" w:lineRule="auto"/>
      </w:pPr>
    </w:p>
    <w:p w14:paraId="3AAFF28F">
      <w:pPr>
        <w:spacing w:after="60" w:line="276" w:lineRule="auto"/>
      </w:pPr>
    </w:p>
    <w:p w14:paraId="788C0BF1">
      <w:pPr>
        <w:spacing w:after="60" w:line="276" w:lineRule="auto"/>
      </w:pPr>
    </w:p>
    <w:p w14:paraId="2752BCF6">
      <w:pPr>
        <w:spacing w:after="60" w:line="276" w:lineRule="auto"/>
      </w:pPr>
    </w:p>
    <w:p w14:paraId="0C105BAB">
      <w:pPr>
        <w:spacing w:after="60" w:line="276" w:lineRule="auto"/>
      </w:pPr>
    </w:p>
    <w:p w14:paraId="0296BE0A">
      <w:pPr>
        <w:spacing w:after="60" w:line="276" w:lineRule="auto"/>
      </w:pPr>
    </w:p>
    <w:p w14:paraId="65253C86">
      <w:pPr>
        <w:spacing w:after="100"/>
      </w:pPr>
    </w:p>
    <w:p w14:paraId="789C563A">
      <w:pPr>
        <w:spacing w:after="60" w:line="276" w:lineRule="auto"/>
      </w:pPr>
    </w:p>
    <w:p w14:paraId="7855F67F">
      <w:pPr>
        <w:spacing w:after="60" w:line="276" w:lineRule="auto"/>
      </w:pPr>
    </w:p>
    <w:p w14:paraId="3A376422">
      <w:pPr>
        <w:spacing w:after="60" w:line="276" w:lineRule="auto"/>
      </w:pPr>
    </w:p>
    <w:p w14:paraId="6F6B8B4A">
      <w:pPr>
        <w:spacing w:after="60" w:line="276" w:lineRule="auto"/>
      </w:pPr>
    </w:p>
    <w:p w14:paraId="6A3B9471">
      <w:pPr>
        <w:spacing w:after="60" w:line="276" w:lineRule="auto"/>
      </w:pPr>
    </w:p>
    <w:p w14:paraId="7D3B8EE2">
      <w:pPr>
        <w:spacing w:after="60" w:line="276" w:lineRule="auto"/>
      </w:pPr>
    </w:p>
    <w:p w14:paraId="6092B6C4">
      <w:pPr>
        <w:spacing w:after="100"/>
      </w:pPr>
    </w:p>
    <w:p w14:paraId="14076FF9">
      <w:pPr>
        <w:spacing w:after="60" w:line="276" w:lineRule="auto"/>
      </w:pPr>
    </w:p>
    <w:p w14:paraId="38DDFB9B">
      <w:pPr>
        <w:spacing w:after="60" w:line="276" w:lineRule="auto"/>
      </w:pPr>
    </w:p>
    <w:p w14:paraId="3373A006">
      <w:pPr>
        <w:spacing w:after="60" w:line="276" w:lineRule="auto"/>
      </w:pPr>
    </w:p>
    <w:p w14:paraId="30250968">
      <w:pPr>
        <w:spacing w:after="60" w:line="276" w:lineRule="auto"/>
      </w:pPr>
    </w:p>
    <w:p w14:paraId="695D2193">
      <w:pPr>
        <w:spacing w:after="60" w:line="276" w:lineRule="auto"/>
      </w:pPr>
    </w:p>
    <w:p w14:paraId="7BB56922">
      <w:pPr>
        <w:spacing w:after="100"/>
      </w:pPr>
    </w:p>
    <w:p w14:paraId="3989BCF1">
      <w:pPr>
        <w:spacing w:after="60" w:line="276" w:lineRule="auto"/>
      </w:pPr>
    </w:p>
    <w:p w14:paraId="05B37D18">
      <w:pPr>
        <w:spacing w:after="60" w:line="276" w:lineRule="auto"/>
      </w:pPr>
    </w:p>
    <w:p w14:paraId="35F0BA4A">
      <w:pPr>
        <w:spacing w:after="60" w:line="276" w:lineRule="auto"/>
      </w:pPr>
    </w:p>
    <w:p w14:paraId="635B5CAE">
      <w:pPr>
        <w:spacing w:after="60" w:line="276" w:lineRule="auto"/>
      </w:pPr>
    </w:p>
    <w:p w14:paraId="3D0B68B8">
      <w:pPr>
        <w:spacing w:after="60" w:line="276" w:lineRule="auto"/>
      </w:pPr>
    </w:p>
    <w:p w14:paraId="72B265AA">
      <w:pPr>
        <w:spacing w:after="100"/>
      </w:pPr>
    </w:p>
    <w:p w14:paraId="57E48406">
      <w:pPr>
        <w:spacing w:after="60" w:line="276" w:lineRule="auto"/>
      </w:pPr>
    </w:p>
    <w:p w14:paraId="7DF8D061">
      <w:pPr>
        <w:spacing w:after="60" w:line="276" w:lineRule="auto"/>
      </w:pPr>
    </w:p>
    <w:p w14:paraId="5CB46794">
      <w:pPr>
        <w:spacing w:after="60" w:line="276" w:lineRule="auto"/>
      </w:pPr>
    </w:p>
    <w:p w14:paraId="0E3EA809">
      <w:pPr>
        <w:spacing w:after="100"/>
      </w:pPr>
    </w:p>
    <w:p w14:paraId="6975417D">
      <w:pPr>
        <w:spacing w:after="60" w:line="276" w:lineRule="auto"/>
      </w:pPr>
    </w:p>
    <w:p w14:paraId="091C181D">
      <w:pPr>
        <w:spacing w:after="60" w:line="276" w:lineRule="auto"/>
      </w:pPr>
    </w:p>
    <w:p w14:paraId="4F46DA6D">
      <w:pPr>
        <w:spacing w:after="60" w:line="276" w:lineRule="auto"/>
      </w:pPr>
    </w:p>
    <w:p w14:paraId="2C9E4D2D">
      <w:pPr>
        <w:spacing w:after="60" w:line="276" w:lineRule="auto"/>
      </w:pPr>
    </w:p>
    <w:p w14:paraId="33558E92">
      <w:pPr>
        <w:spacing w:after="60" w:line="276" w:lineRule="auto"/>
      </w:pPr>
    </w:p>
    <w:p w14:paraId="5A0D2069">
      <w:pPr>
        <w:spacing w:after="60" w:line="276" w:lineRule="auto"/>
      </w:pPr>
    </w:p>
    <w:p w14:paraId="7702E6E3">
      <w:pPr>
        <w:spacing w:after="60" w:line="276" w:lineRule="auto"/>
      </w:pPr>
    </w:p>
    <w:p w14:paraId="4BF0A291">
      <w:pPr>
        <w:spacing w:after="100"/>
      </w:pPr>
    </w:p>
    <w:p w14:paraId="4CF0E1BA">
      <w:pPr>
        <w:spacing w:after="60" w:line="276" w:lineRule="auto"/>
      </w:pPr>
    </w:p>
    <w:p w14:paraId="38422A8E">
      <w:pPr>
        <w:spacing w:after="60" w:line="276" w:lineRule="auto"/>
      </w:pPr>
    </w:p>
    <w:p w14:paraId="55184F6B">
      <w:pPr>
        <w:spacing w:after="60" w:line="276" w:lineRule="auto"/>
      </w:pPr>
    </w:p>
    <w:p w14:paraId="640FE656">
      <w:pPr>
        <w:spacing w:after="60" w:line="276" w:lineRule="auto"/>
      </w:pPr>
    </w:p>
    <w:p w14:paraId="0BDCC0CF">
      <w:pPr>
        <w:spacing w:after="60" w:line="276" w:lineRule="auto"/>
      </w:pPr>
    </w:p>
    <w:p w14:paraId="035A8338">
      <w:pPr>
        <w:spacing w:after="60" w:line="276" w:lineRule="auto"/>
      </w:pPr>
    </w:p>
    <w:p w14:paraId="7F304163">
      <w:pPr>
        <w:spacing w:after="100"/>
      </w:pPr>
    </w:p>
    <w:p w14:paraId="55CEFFB9">
      <w:pPr>
        <w:spacing w:after="60" w:line="276" w:lineRule="auto"/>
      </w:pPr>
    </w:p>
    <w:p w14:paraId="118E43B8">
      <w:pPr>
        <w:spacing w:after="60" w:line="276" w:lineRule="auto"/>
      </w:pPr>
    </w:p>
    <w:p w14:paraId="12718D3D">
      <w:pPr>
        <w:spacing w:after="60" w:line="276" w:lineRule="auto"/>
      </w:pPr>
    </w:p>
    <w:p w14:paraId="14C5DB95">
      <w:pPr>
        <w:spacing w:after="60" w:line="276" w:lineRule="auto"/>
      </w:pPr>
    </w:p>
    <w:p w14:paraId="681E9348">
      <w:pPr>
        <w:spacing w:after="60" w:line="276" w:lineRule="auto"/>
      </w:pPr>
    </w:p>
    <w:p w14:paraId="233D488C">
      <w:pPr>
        <w:spacing w:after="100"/>
      </w:pPr>
    </w:p>
    <w:p w14:paraId="0178E2E8">
      <w:pPr>
        <w:spacing w:after="60" w:line="276" w:lineRule="auto"/>
      </w:pPr>
    </w:p>
    <w:p w14:paraId="11CC7350">
      <w:pPr>
        <w:spacing w:after="60" w:line="276" w:lineRule="auto"/>
      </w:pPr>
    </w:p>
    <w:p w14:paraId="107363D2">
      <w:pPr>
        <w:spacing w:after="60" w:line="276" w:lineRule="auto"/>
      </w:pPr>
    </w:p>
    <w:p w14:paraId="2064D341">
      <w:pPr>
        <w:spacing w:after="60" w:line="276" w:lineRule="auto"/>
      </w:pPr>
    </w:p>
    <w:p w14:paraId="2C7CAC51">
      <w:pPr>
        <w:spacing w:after="60" w:line="276" w:lineRule="auto"/>
      </w:pPr>
    </w:p>
    <w:p w14:paraId="74401B23">
      <w:pPr>
        <w:spacing w:after="100"/>
      </w:pPr>
    </w:p>
    <w:p w14:paraId="189FF565">
      <w:pPr>
        <w:spacing w:after="40"/>
      </w:pPr>
    </w:p>
    <w:p w14:paraId="1A9B1709">
      <w:pPr>
        <w:spacing w:after="120"/>
      </w:pPr>
    </w:p>
    <w:p w14:paraId="78ABB238">
      <w:pPr>
        <w:spacing w:after="60" w:line="276" w:lineRule="auto"/>
      </w:pPr>
    </w:p>
    <w:p w14:paraId="168340E3">
      <w:pPr>
        <w:spacing w:after="60" w:line="276" w:lineRule="auto"/>
      </w:pPr>
    </w:p>
    <w:p w14:paraId="78D7AB2C">
      <w:pPr>
        <w:spacing w:after="60" w:line="276" w:lineRule="auto"/>
      </w:pPr>
    </w:p>
    <w:p w14:paraId="7E857B9D">
      <w:pPr>
        <w:spacing w:after="100"/>
      </w:pPr>
    </w:p>
    <w:p w14:paraId="41FA7A97">
      <w:pPr>
        <w:spacing w:after="60" w:line="276" w:lineRule="auto"/>
      </w:pPr>
    </w:p>
    <w:p w14:paraId="1AE58848">
      <w:pPr>
        <w:spacing w:after="60" w:line="276" w:lineRule="auto"/>
      </w:pPr>
    </w:p>
    <w:p w14:paraId="6E1A4E91">
      <w:pPr>
        <w:spacing w:after="60" w:line="276" w:lineRule="auto"/>
      </w:pPr>
    </w:p>
    <w:p w14:paraId="464F91C9">
      <w:pPr>
        <w:spacing w:after="60" w:line="276" w:lineRule="auto"/>
      </w:pPr>
    </w:p>
    <w:p w14:paraId="21BAEC79">
      <w:pPr>
        <w:spacing w:after="60" w:line="276" w:lineRule="auto"/>
      </w:pPr>
    </w:p>
    <w:p w14:paraId="5003F4E3">
      <w:pPr>
        <w:spacing w:after="60" w:line="276" w:lineRule="auto"/>
      </w:pPr>
    </w:p>
    <w:p w14:paraId="0065D905">
      <w:pPr>
        <w:spacing w:after="60" w:line="276" w:lineRule="auto"/>
      </w:pPr>
    </w:p>
    <w:p w14:paraId="52F9BB3C">
      <w:pPr>
        <w:spacing w:after="100"/>
      </w:pPr>
    </w:p>
    <w:p w14:paraId="18D0A4F3">
      <w:pPr>
        <w:spacing w:after="60" w:line="276" w:lineRule="auto"/>
      </w:pPr>
    </w:p>
    <w:p w14:paraId="3CFBC853">
      <w:pPr>
        <w:spacing w:after="60" w:line="276" w:lineRule="auto"/>
      </w:pPr>
    </w:p>
    <w:p w14:paraId="4B095B96">
      <w:pPr>
        <w:spacing w:after="60" w:line="276" w:lineRule="auto"/>
      </w:pPr>
    </w:p>
    <w:p w14:paraId="09058C86">
      <w:pPr>
        <w:spacing w:after="60" w:line="276" w:lineRule="auto"/>
      </w:pPr>
    </w:p>
    <w:p w14:paraId="21276025">
      <w:pPr>
        <w:spacing w:after="60" w:line="276" w:lineRule="auto"/>
      </w:pPr>
    </w:p>
    <w:p w14:paraId="7FDCFF76">
      <w:pPr>
        <w:spacing w:after="60" w:line="276" w:lineRule="auto"/>
      </w:pPr>
    </w:p>
    <w:p w14:paraId="52B74685">
      <w:pPr>
        <w:spacing w:after="100"/>
      </w:pPr>
    </w:p>
    <w:p w14:paraId="7D0B0052">
      <w:pPr>
        <w:spacing w:after="60" w:line="276" w:lineRule="auto"/>
      </w:pPr>
    </w:p>
    <w:p w14:paraId="1C05FE73">
      <w:pPr>
        <w:spacing w:after="60" w:line="276" w:lineRule="auto"/>
      </w:pPr>
    </w:p>
    <w:p w14:paraId="209490E7">
      <w:pPr>
        <w:spacing w:after="60" w:line="276" w:lineRule="auto"/>
      </w:pPr>
    </w:p>
    <w:p w14:paraId="39D6813C">
      <w:pPr>
        <w:spacing w:after="60" w:line="276" w:lineRule="auto"/>
      </w:pPr>
    </w:p>
    <w:p w14:paraId="0C924DC6">
      <w:pPr>
        <w:spacing w:after="60" w:line="276" w:lineRule="auto"/>
      </w:pPr>
    </w:p>
    <w:p w14:paraId="6A41D0E7">
      <w:pPr>
        <w:spacing w:after="100"/>
      </w:pPr>
    </w:p>
    <w:p w14:paraId="4592BE06">
      <w:pPr>
        <w:spacing w:after="60" w:line="276" w:lineRule="auto"/>
      </w:pPr>
    </w:p>
    <w:p w14:paraId="10C3631E">
      <w:pPr>
        <w:spacing w:after="60" w:line="276" w:lineRule="auto"/>
      </w:pPr>
    </w:p>
    <w:p w14:paraId="32C39781">
      <w:pPr>
        <w:spacing w:after="60" w:line="276" w:lineRule="auto"/>
      </w:pPr>
    </w:p>
    <w:p w14:paraId="36A10588">
      <w:pPr>
        <w:spacing w:after="60" w:line="276" w:lineRule="auto"/>
      </w:pPr>
    </w:p>
    <w:p w14:paraId="57FC593E">
      <w:pPr>
        <w:spacing w:after="60" w:line="276" w:lineRule="auto"/>
      </w:pPr>
    </w:p>
    <w:p w14:paraId="433EF33E">
      <w:pPr>
        <w:spacing w:after="100"/>
      </w:pPr>
    </w:p>
    <w:p w14:paraId="1584DDC3">
      <w:pPr>
        <w:spacing w:after="40"/>
      </w:pPr>
    </w:p>
    <w:p w14:paraId="2D9ABFA4">
      <w:pPr>
        <w:spacing w:after="120"/>
      </w:pPr>
    </w:p>
    <w:p w14:paraId="7F0F1586">
      <w:pPr>
        <w:spacing w:after="60" w:line="276" w:lineRule="auto"/>
      </w:pPr>
    </w:p>
    <w:p w14:paraId="6E9E547C">
      <w:pPr>
        <w:spacing w:after="60" w:line="276" w:lineRule="auto"/>
      </w:pPr>
    </w:p>
    <w:p w14:paraId="07049432">
      <w:pPr>
        <w:spacing w:after="60" w:line="276" w:lineRule="auto"/>
      </w:pPr>
    </w:p>
    <w:p w14:paraId="348CBFC0">
      <w:pPr>
        <w:spacing w:after="100"/>
      </w:pPr>
    </w:p>
    <w:p w14:paraId="4405D091">
      <w:pPr>
        <w:spacing w:after="60" w:line="276" w:lineRule="auto"/>
      </w:pPr>
    </w:p>
    <w:p w14:paraId="45A85262">
      <w:pPr>
        <w:spacing w:after="60" w:line="276" w:lineRule="auto"/>
      </w:pPr>
    </w:p>
    <w:p w14:paraId="39484B04">
      <w:pPr>
        <w:spacing w:after="60" w:line="276" w:lineRule="auto"/>
      </w:pPr>
    </w:p>
    <w:p w14:paraId="3C0D308B">
      <w:pPr>
        <w:spacing w:after="60" w:line="276" w:lineRule="auto"/>
      </w:pPr>
    </w:p>
    <w:p w14:paraId="7EE8EBE4">
      <w:pPr>
        <w:spacing w:after="60" w:line="276" w:lineRule="auto"/>
      </w:pPr>
    </w:p>
    <w:p w14:paraId="29A3CB62">
      <w:pPr>
        <w:spacing w:after="60" w:line="276" w:lineRule="auto"/>
      </w:pPr>
    </w:p>
    <w:p w14:paraId="418054C1">
      <w:pPr>
        <w:spacing w:after="60" w:line="276" w:lineRule="auto"/>
      </w:pPr>
    </w:p>
    <w:p w14:paraId="5EABC0BE">
      <w:pPr>
        <w:spacing w:after="60" w:line="276" w:lineRule="auto"/>
      </w:pPr>
    </w:p>
    <w:p w14:paraId="540EA902">
      <w:pPr>
        <w:spacing w:after="100"/>
      </w:pPr>
    </w:p>
    <w:p w14:paraId="75805B0A">
      <w:pPr>
        <w:spacing w:after="60" w:line="276" w:lineRule="auto"/>
      </w:pPr>
    </w:p>
    <w:p w14:paraId="4C735CEC">
      <w:pPr>
        <w:spacing w:after="60" w:line="276" w:lineRule="auto"/>
      </w:pPr>
    </w:p>
    <w:p w14:paraId="242548E2">
      <w:pPr>
        <w:spacing w:after="60" w:line="276" w:lineRule="auto"/>
      </w:pPr>
    </w:p>
    <w:p w14:paraId="54F558DB">
      <w:pPr>
        <w:spacing w:after="60" w:line="276" w:lineRule="auto"/>
      </w:pPr>
    </w:p>
    <w:p w14:paraId="003E8722">
      <w:pPr>
        <w:spacing w:after="60" w:line="276" w:lineRule="auto"/>
      </w:pPr>
    </w:p>
    <w:p w14:paraId="7E9F36E6">
      <w:pPr>
        <w:spacing w:after="60" w:line="276" w:lineRule="auto"/>
      </w:pPr>
    </w:p>
    <w:p w14:paraId="7C4444C3">
      <w:pPr>
        <w:spacing w:after="60" w:line="276" w:lineRule="auto"/>
      </w:pPr>
    </w:p>
    <w:p w14:paraId="5AAFFF5C">
      <w:pPr>
        <w:spacing w:after="100"/>
      </w:pPr>
    </w:p>
    <w:p w14:paraId="6A8026ED">
      <w:pPr>
        <w:spacing w:after="60" w:line="276" w:lineRule="auto"/>
      </w:pPr>
    </w:p>
    <w:p w14:paraId="155D379C">
      <w:pPr>
        <w:spacing w:after="60" w:line="276" w:lineRule="auto"/>
      </w:pPr>
    </w:p>
    <w:p w14:paraId="3693B9CB">
      <w:pPr>
        <w:spacing w:after="60" w:line="276" w:lineRule="auto"/>
      </w:pPr>
    </w:p>
    <w:p w14:paraId="3B134BA9">
      <w:pPr>
        <w:spacing w:after="60" w:line="276" w:lineRule="auto"/>
      </w:pPr>
    </w:p>
    <w:p w14:paraId="640F21D8">
      <w:pPr>
        <w:spacing w:after="60" w:line="276" w:lineRule="auto"/>
      </w:pPr>
    </w:p>
    <w:p w14:paraId="588FBE45">
      <w:pPr>
        <w:spacing w:after="60" w:line="276" w:lineRule="auto"/>
      </w:pPr>
    </w:p>
    <w:p w14:paraId="2478A3EE">
      <w:pPr>
        <w:spacing w:after="100"/>
      </w:pPr>
    </w:p>
    <w:p w14:paraId="099AEF2F">
      <w:pPr>
        <w:spacing w:after="60" w:line="276" w:lineRule="auto"/>
      </w:pPr>
    </w:p>
    <w:p w14:paraId="52C512D3">
      <w:pPr>
        <w:spacing w:after="60" w:line="276" w:lineRule="auto"/>
      </w:pPr>
    </w:p>
    <w:p w14:paraId="6FA6079A">
      <w:pPr>
        <w:spacing w:after="60" w:line="276" w:lineRule="auto"/>
      </w:pPr>
    </w:p>
    <w:p w14:paraId="4C150552">
      <w:pPr>
        <w:spacing w:after="60" w:line="276" w:lineRule="auto"/>
      </w:pPr>
    </w:p>
    <w:p w14:paraId="53A381F6">
      <w:pPr>
        <w:spacing w:after="60" w:line="276" w:lineRule="auto"/>
      </w:pPr>
    </w:p>
    <w:p>
      <w:pPr>
        <w:spacing w:after="60" w:line="276" w:lineRule="auto"/>
      </w:pPr>
    </w:p>
    <w:p>
      <w:pPr>
        <w:spacing w:after="100"/>
      </w:pPr>
    </w:p>
    <w:p>
      <w:pPr>
        <w:spacing w:after="40"/>
      </w:pPr>
    </w:p>
    <w:p>
      <w:pPr>
        <w:spacing w:after="120"/>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40"/>
      </w:pPr>
    </w:p>
    <w:p>
      <w:pPr>
        <w:spacing w:after="12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40"/>
      </w:pPr>
    </w:p>
    <w:p>
      <w:pPr>
        <w:spacing w:after="12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multilevel"/>
    <w:tmpl w:val="FFFFFF89"/>
    <w:lvl w:ilvl="0" w:tentative="0">
      <w:start w:val="1"/>
      <w:numFmt w:val="bullet"/>
      <w:pStyle w:val="16"/>
      <w:lvlText w:val=""/>
      <w:lvlJc w:val="left"/>
      <w:pPr>
        <w:tabs>
          <w:tab w:val="left" w:pos="360"/>
        </w:tabs>
        <w:ind w:left="360" w:hanging="360"/>
      </w:pPr>
      <w:rPr>
        <w:rFonts w:hint="default" w:ascii="Symbol" w:hAnsi="Symbol"/>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956E55"/>
    <w:rsid w:val="068766C3"/>
    <w:rsid w:val="0FFB4C2D"/>
    <w:rsid w:val="15F63412"/>
    <w:rsid w:val="18FA3DCE"/>
    <w:rsid w:val="1E20265C"/>
    <w:rsid w:val="259865AB"/>
    <w:rsid w:val="308E051A"/>
    <w:rsid w:val="38A20FFB"/>
    <w:rsid w:val="3AEF22C6"/>
    <w:rsid w:val="4E892E94"/>
    <w:rsid w:val="4F407994"/>
    <w:rsid w:val="578C750D"/>
    <w:rsid w:val="61DB474F"/>
    <w:rsid w:val="6E5F3FAE"/>
    <w:rsid w:val="79F022DC"/>
    <w:rsid w:val="7FF5592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0"/>
      <w:szCs w:val="22"/>
      <w:lang w:val="en-US" w:eastAsia="en-US" w:bidi="ar-SA"/>
    </w:rPr>
  </w:style>
  <w:style w:type="paragraph" w:styleId="3">
    <w:name w:val="heading 1"/>
    <w:basedOn w:val="1"/>
    <w:next w:val="1"/>
    <w:link w:val="138"/>
    <w:qFormat/>
    <w:uiPriority w:val="9"/>
    <w:pPr>
      <w:keepNext/>
      <w:keepLines/>
      <w:spacing w:before="360" w:after="240" w:line="276" w:lineRule="auto"/>
      <w:outlineLvl w:val="0"/>
    </w:pPr>
    <w:rPr>
      <w:rFonts w:asciiTheme="majorHAnsi" w:hAnsiTheme="majorHAnsi" w:eastAsiaTheme="majorEastAsia" w:cstheme="majorBidi"/>
      <w:b/>
      <w:bCs/>
      <w:color w:val="17365D"/>
      <w:sz w:val="40"/>
      <w:szCs w:val="28"/>
    </w:rPr>
  </w:style>
  <w:style w:type="paragraph" w:styleId="4">
    <w:name w:val="heading 2"/>
    <w:basedOn w:val="1"/>
    <w:next w:val="1"/>
    <w:link w:val="139"/>
    <w:unhideWhenUsed/>
    <w:qFormat/>
    <w:uiPriority w:val="9"/>
    <w:pPr>
      <w:keepNext/>
      <w:keepLines/>
      <w:spacing w:before="240" w:after="140" w:line="269" w:lineRule="auto"/>
      <w:outlineLvl w:val="1"/>
    </w:pPr>
    <w:rPr>
      <w:rFonts w:asciiTheme="majorHAnsi" w:hAnsiTheme="majorHAnsi" w:eastAsiaTheme="majorEastAsia" w:cstheme="majorBidi"/>
      <w:b/>
      <w:bCs/>
      <w:color w:val="1F4E79"/>
      <w:sz w:val="30"/>
      <w:szCs w:val="26"/>
    </w:rPr>
  </w:style>
  <w:style w:type="paragraph" w:styleId="5">
    <w:name w:val="heading 3"/>
    <w:basedOn w:val="1"/>
    <w:next w:val="1"/>
    <w:link w:val="140"/>
    <w:unhideWhenUsed/>
    <w:qFormat/>
    <w:uiPriority w:val="9"/>
    <w:pPr>
      <w:keepNext/>
      <w:keepLines/>
      <w:spacing w:before="180" w:after="100" w:line="259" w:lineRule="auto"/>
      <w:outlineLvl w:val="2"/>
    </w:pPr>
    <w:rPr>
      <w:rFonts w:asciiTheme="majorHAnsi" w:hAnsiTheme="majorHAnsi" w:eastAsiaTheme="majorEastAsia" w:cstheme="majorBidi"/>
      <w:b/>
      <w:bCs/>
      <w:color w:val="2F5597"/>
      <w:sz w:val="25"/>
    </w:rPr>
  </w:style>
  <w:style w:type="paragraph" w:styleId="6">
    <w:name w:val="heading 4"/>
    <w:basedOn w:val="1"/>
    <w:next w:val="1"/>
    <w:link w:val="150"/>
    <w:semiHidden/>
    <w:unhideWhenUsed/>
    <w:qFormat/>
    <w:uiPriority w:val="9"/>
    <w:pPr>
      <w:keepNext/>
      <w:keepLines/>
      <w:spacing w:before="120" w:after="60" w:line="252" w:lineRule="auto"/>
      <w:outlineLvl w:val="3"/>
    </w:pPr>
    <w:rPr>
      <w:rFonts w:asciiTheme="majorHAnsi" w:hAnsiTheme="majorHAnsi" w:eastAsiaTheme="majorEastAsia" w:cstheme="majorBidi"/>
      <w:b/>
      <w:bCs/>
      <w:i/>
      <w:iCs/>
      <w:color w:val="44546A"/>
      <w:sz w:val="22"/>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rPr>
      <w:rFonts w:ascii="微软雅黑" w:hAnsi="微软雅黑" w:eastAsia="微软雅黑"/>
      <w:sz w:val="20"/>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rPr>
      <w:rFonts w:ascii="微软雅黑" w:hAnsi="微软雅黑" w:eastAsia="微软雅黑"/>
      <w:sz w:val="20"/>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0" Type="http://schemas.openxmlformats.org/officeDocument/2006/relationships/fontTable" Target="fontTable.xml"/><Relationship Id="rId4" Type="http://schemas.openxmlformats.org/officeDocument/2006/relationships/endnotes" Target="endnotes.xml"/><Relationship Id="rId39" Type="http://schemas.openxmlformats.org/officeDocument/2006/relationships/customXml" Target="../customXml/item1.xml"/><Relationship Id="rId38" Type="http://schemas.openxmlformats.org/officeDocument/2006/relationships/numbering" Target="numbering.xml"/><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57</Pages>
  <Words>18216</Words>
  <Characters>19144</Characters>
  <Lines>0</Lines>
  <Paragraphs>0</Paragraphs>
  <TotalTime>7</TotalTime>
  <ScaleCrop>false</ScaleCrop>
  <LinksUpToDate>false</LinksUpToDate>
  <CharactersWithSpaces>19374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张海桃</cp:lastModifiedBy>
  <dcterms:modified xsi:type="dcterms:W3CDTF">2026-06-08T07:32:09Z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eyJoZGlkIjoiMDZiMjQ0YTY5YzA3ZWI5ZTk1YjdlNWE1Mjg0YTQ3MjQiLCJ1c2VySWQiOiIxNjI3NzM0MiJ9</vt:lpwstr>
  </property>
  <property fmtid="{D5CDD505-2E9C-101B-9397-08002B2CF9AE}" pid="3" name="KSOProductBuildVer">
    <vt:lpwstr>2052-12.1.0.26895</vt:lpwstr>
  </property>
  <property fmtid="{D5CDD505-2E9C-101B-9397-08002B2CF9AE}" pid="4" name="ICV">
    <vt:lpwstr>99A9CB47291342E0BD0D9C2873960096_12</vt:lpwstr>
  </property>
</Properties>
</file>