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pPr>
        <w:jc w:val="center"/>
      </w:pPr>
      <w:r>
        <w:drawing>
          <wp:inline xmlns:a="http://schemas.openxmlformats.org/drawingml/2006/main" xmlns:pic="http://schemas.openxmlformats.org/drawingml/2006/picture">
            <wp:extent cx="5806440" cy="1688000"/>
            <wp:docPr id="48" name="Picture 4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806440" cy="1688000"/>
                    </a:xfrm>
                    <a:prstGeom prst="rect"/>
                  </pic:spPr>
                </pic:pic>
              </a:graphicData>
            </a:graphic>
          </wp:inline>
        </w:drawing>
      </w:r>
    </w:p>
    <w:p>
      <w:pPr>
        <w:jc w:val="center"/>
      </w:pPr>
      <w:r>
        <w:rPr>
          <w:rFonts w:ascii="微软雅黑" w:hAnsi="微软雅黑" w:eastAsia="微软雅黑"/>
          <w:b w:val="0"/>
          <w:color w:val="707E92"/>
          <w:sz w:val="18"/>
        </w:rPr>
        <w:t>图：支付通道配置列表。</w:t>
      </w:r>
    </w:p>
    <w:p>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pPr>
        <w:jc w:val="center"/>
      </w:pPr>
      <w:r>
        <w:drawing>
          <wp:inline xmlns:a="http://schemas.openxmlformats.org/drawingml/2006/main" xmlns:pic="http://schemas.openxmlformats.org/drawingml/2006/picture">
            <wp:extent cx="5806440" cy="6962225"/>
            <wp:docPr id="49" name="Picture 4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806440" cy="6962225"/>
                    </a:xfrm>
                    <a:prstGeom prst="rect"/>
                  </pic:spPr>
                </pic:pic>
              </a:graphicData>
            </a:graphic>
          </wp:inline>
        </w:drawing>
      </w:r>
    </w:p>
    <w:p>
      <w:pPr>
        <w:jc w:val="center"/>
      </w:pPr>
      <w:r>
        <w:rPr>
          <w:rFonts w:ascii="微软雅黑" w:hAnsi="微软雅黑" w:eastAsia="微软雅黑"/>
          <w:b w:val="0"/>
          <w:color w:val="707E92"/>
          <w:sz w:val="18"/>
        </w:rPr>
        <w:t>图：新增在线支付平台参数配置。</w:t>
      </w:r>
    </w:p>
    <w:p>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spacing w:after="60" w:line="276" w:lineRule="auto"/>
      </w:pPr>
      <w:r>
        <w:rPr>
          <w:rFonts w:ascii="微软雅黑" w:hAnsi="微软雅黑" w:eastAsia="微软雅黑"/>
          <w:b w:val="0"/>
          <w:sz w:val="20"/>
        </w:rPr>
        <w:t>平台公告用于查看平台发布的公告、通知和站内消息。</w:t>
      </w:r>
    </w:p>
    <w:p>
      <w:pPr>
        <w:spacing w:after="40"/>
        <w:jc w:val="center"/>
      </w:pPr>
      <w:r>
        <w:drawing>
          <wp:inline xmlns:a="http://schemas.openxmlformats.org/drawingml/2006/main" xmlns:pic="http://schemas.openxmlformats.org/drawingml/2006/picture">
            <wp:extent cx="5943600" cy="2228850"/>
            <wp:docPr id="45" name="Picture 4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spacing w:after="120"/>
        <w:jc w:val="center"/>
      </w:pPr>
      <w:r>
        <w:rPr>
          <w:rFonts w:ascii="微软雅黑" w:hAnsi="微软雅黑" w:eastAsia="微软雅黑"/>
          <w:b w:val="0"/>
          <w:color w:val="707E92"/>
          <w:sz w:val="18"/>
        </w:rPr>
        <w:t>图：平台公告列表，用于查看公告通知和站内消息。</w:t>
      </w:r>
    </w:p>
    <w:p>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pStyle w:val="16"/>
        <w:spacing w:after="60" w:line="276" w:lineRule="auto"/>
      </w:pPr>
      <w:r>
        <w:rPr>
          <w:rFonts w:ascii="微软雅黑" w:hAnsi="微软雅黑" w:eastAsia="微软雅黑"/>
          <w:b/>
          <w:color w:val="2F5597"/>
          <w:sz w:val="20"/>
        </w:rPr>
        <w:t>给平台提建议</w:t>
      </w:r>
      <w:r>
        <w:rPr>
          <w:rFonts w:ascii="微软雅黑" w:hAnsi="微软雅黑" w:eastAsia="微软雅黑"/>
          <w:b w:val="0"/>
          <w:sz w:val="20"/>
        </w:rPr>
        <w:t>：用于向平台提交产品、运营或系统使用建议。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：填写建议标题、建议内容和联系方式，提交后在列表查看处理状态。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：建议内容应描述具体问题、使用场景和期望结果，便于平台跟进。</w:t>
      </w:r>
    </w:p>
    <w:p w14:paraId="239E6456">
      <w:pPr>
        <w:pStyle w:val="5"/>
        <w:keepNext/>
        <w:spacing w:before="180" w:after="100" w:line="259" w:lineRule="auto"/>
      </w:pPr>
      <w:r>
        <w:rPr>
          <w:rFonts w:ascii="微软雅黑" w:hAnsi="微软雅黑" w:eastAsia="微软雅黑"/>
          <w:b/>
          <w:color w:val="2F5597"/>
          <w:sz w:val="25"/>
        </w:rPr>
        <w:t>会员投诉列表</w:t>
      </w:r>
    </w:p>
    <w:p>
      <w:pPr>
        <w:pStyle w:val="16"/>
        <w:spacing w:after="60" w:line="276" w:lineRule="auto"/>
      </w:pPr>
      <w:r>
        <w:rPr>
          <w:rFonts w:ascii="微软雅黑" w:hAnsi="微软雅黑" w:eastAsia="微软雅黑"/>
          <w:b/>
          <w:color w:val="2F5597"/>
          <w:sz w:val="20"/>
        </w:rPr>
        <w:t>会员投诉列表</w:t>
      </w:r>
      <w:r>
        <w:rPr>
          <w:rFonts w:ascii="微软雅黑" w:hAnsi="微软雅黑" w:eastAsia="微软雅黑"/>
          <w:b w:val="0"/>
          <w:sz w:val="20"/>
        </w:rPr>
        <w:t>：用于查看玩家提交的投诉、意见和处理状态。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：按会员、状态或时间筛选投诉，查看详情并记录处理结果。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：处理投诉前先核对会员账号、问题类型和相关订单或活动记录。</w:t>
      </w:r>
    </w:p>
    <w:p w14:paraId="03EC7769">
      <w:pPr>
        <w:pStyle w:val="5"/>
        <w:keepNext/>
        <w:spacing w:before="180" w:after="100" w:line="259" w:lineRule="auto"/>
      </w:pPr>
      <w:r>
        <w:rPr>
          <w:rFonts w:ascii="微软雅黑" w:hAnsi="微软雅黑" w:eastAsia="微软雅黑"/>
          <w:b/>
          <w:color w:val="2F5597"/>
          <w:sz w:val="25"/>
        </w:rPr>
        <w:t>消息推送</w:t>
      </w:r>
    </w:p>
    <w:p>
      <w:pPr>
        <w:spacing w:after="60" w:line="276" w:lineRule="auto"/>
      </w:pPr>
      <w:r>
        <w:rPr>
          <w:rFonts w:ascii="微软雅黑" w:hAnsi="微软雅黑" w:eastAsia="微软雅黑"/>
          <w:b w:val="0"/>
          <w:sz w:val="20"/>
        </w:rPr>
        <w:t>消息推送用于创建和管理面向玩家展示的消息、公告和跑马灯。</w:t>
      </w:r>
    </w:p>
    <w:p>
      <w:pPr>
        <w:spacing w:after="40"/>
        <w:jc w:val="center"/>
      </w:pPr>
      <w:r>
        <w:drawing>
          <wp:inline xmlns:a="http://schemas.openxmlformats.org/drawingml/2006/main" xmlns:pic="http://schemas.openxmlformats.org/drawingml/2006/picture">
            <wp:extent cx="5943600" cy="2515149"/>
            <wp:docPr id="46" name="Picture 4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spacing w:after="120"/>
        <w:jc w:val="center"/>
      </w:pPr>
      <w:r>
        <w:rPr>
          <w:rFonts w:ascii="微软雅黑" w:hAnsi="微软雅黑" w:eastAsia="微软雅黑"/>
          <w:b w:val="0"/>
          <w:color w:val="707E92"/>
          <w:sz w:val="18"/>
        </w:rPr>
        <w:t>图：消息推送列表，用于管理消息、公告和跑马灯。</w:t>
      </w:r>
    </w:p>
    <w:p>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5"/>
        </w:rPr>
        <w:t>宣传管理</w:t>
      </w:r>
    </w:p>
    <w:p>
      <w:pPr>
        <w:pStyle w:val="16"/>
        <w:spacing w:after="60" w:line="276" w:lineRule="auto"/>
      </w:pPr>
      <w:r>
        <w:rPr>
          <w:rFonts w:ascii="微软雅黑" w:hAnsi="微软雅黑" w:eastAsia="微软雅黑"/>
          <w:b/>
          <w:color w:val="2F5597"/>
          <w:sz w:val="20"/>
        </w:rPr>
        <w:t>宣传管理</w:t>
      </w:r>
      <w:r>
        <w:rPr>
          <w:rFonts w:ascii="微软雅黑" w:hAnsi="微软雅黑" w:eastAsia="微软雅黑"/>
          <w:b w:val="0"/>
          <w:sz w:val="20"/>
        </w:rPr>
        <w:t>：用于维护站点宣传内容、推广素材和展示状态。</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：新增、编辑、上架、下架宣传内容，检查标题、图片和跳转地址。</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：发布前确认素材清晰、链接有效，内容与当前活动或站点配置一致。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47" name="Picture 4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pStyle w:val="16"/>
        <w:spacing w:after="60" w:line="276" w:lineRule="auto"/>
      </w:pPr>
      <w:r>
        <w:rPr>
          <w:rFonts w:ascii="微软雅黑" w:hAnsi="微软雅黑" w:eastAsia="微软雅黑"/>
          <w:b/>
          <w:color w:val="2F5597"/>
          <w:sz w:val="20"/>
        </w:rPr>
        <w:t>任务中心</w:t>
      </w:r>
      <w:r>
        <w:rPr>
          <w:rFonts w:ascii="微软雅黑" w:hAnsi="微软雅黑" w:eastAsia="微软雅黑"/>
          <w:b w:val="0"/>
          <w:sz w:val="20"/>
        </w:rPr>
        <w:t>：用于配置玩家任务、查看任务状态和管理任务奖励。</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：新增或编辑任务，设置任务条件、奖励、时间范围和启停状态。</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：上线前确认任务条件、奖励发放规则和活动时间，避免重复奖励或无法完成。</w:t>
      </w:r>
    </w:p>
    <w:p w14:paraId="45A28C8D">
      <w:pPr>
        <w:pStyle w:val="5"/>
        <w:keepNext/>
        <w:spacing w:before="180" w:after="100" w:line="259" w:lineRule="auto"/>
      </w:pPr>
      <w:r>
        <w:rPr>
          <w:rFonts w:ascii="微软雅黑" w:hAnsi="微软雅黑" w:eastAsia="微软雅黑"/>
          <w:b/>
          <w:color w:val="2F5597"/>
          <w:sz w:val="25"/>
        </w:rPr>
        <w:t>落地页管理</w:t>
      </w:r>
    </w:p>
    <w:p>
      <w:pPr>
        <w:pStyle w:val="16"/>
        <w:spacing w:after="60" w:line="276" w:lineRule="auto"/>
      </w:pPr>
      <w:r>
        <w:rPr>
          <w:rFonts w:ascii="微软雅黑" w:hAnsi="微软雅黑" w:eastAsia="微软雅黑"/>
          <w:b/>
          <w:color w:val="2F5597"/>
          <w:sz w:val="20"/>
        </w:rPr>
        <w:t>落地页管理</w:t>
      </w:r>
      <w:r>
        <w:rPr>
          <w:rFonts w:ascii="微软雅黑" w:hAnsi="微软雅黑" w:eastAsia="微软雅黑"/>
          <w:b w:val="0"/>
          <w:sz w:val="20"/>
        </w:rPr>
        <w:t>：用于维护推广落地页、页面模板和投放链接。</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：新增、编辑、预览、启用或停用落地页，配置标题、素材和跳转地址。</w:t>
      </w:r>
    </w:p>
    <w:p>
      <w:pPr>
        <w:pStyle w:val="16"/>
        <w:spacing w:after="60" w:line="276" w:lineRule="auto"/>
      </w:pPr>
      <w:r>
        <w:rPr>
          <w:rFonts w:ascii="微软雅黑" w:hAnsi="微软雅黑" w:eastAsia="微软雅黑"/>
          <w:b/>
          <w:color w:val="2F5597"/>
          <w:sz w:val="20"/>
        </w:rPr>
        <w:t>投放前检查</w:t>
      </w:r>
      <w:r>
        <w:rPr>
          <w:rFonts w:ascii="微软雅黑" w:hAnsi="微软雅黑" w:eastAsia="微软雅黑"/>
          <w:b w:val="0"/>
          <w:sz w:val="20"/>
        </w:rPr>
        <w:t>：投放前检查页面内容、渠道归属和跳转链路，确保推广链接可访问。</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pStyle w:val="16"/>
        <w:spacing w:after="60" w:line="276" w:lineRule="auto"/>
      </w:pPr>
      <w:r>
        <w:rPr>
          <w:rFonts w:ascii="微软雅黑" w:hAnsi="微软雅黑" w:eastAsia="微软雅黑"/>
          <w:b/>
          <w:color w:val="2F5597"/>
          <w:sz w:val="20"/>
        </w:rPr>
        <w:t>优惠活动列表</w:t>
      </w:r>
      <w:r>
        <w:rPr>
          <w:rFonts w:ascii="微软雅黑" w:hAnsi="微软雅黑" w:eastAsia="微软雅黑"/>
          <w:b w:val="0"/>
          <w:sz w:val="20"/>
        </w:rPr>
        <w:t>：用于管理站点优惠活动和活动状态。</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：查询活动，新增、编辑、复制、启用、停用或查看活动数据。</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spacing w:after="60" w:line="276" w:lineRule="auto"/>
      </w:pPr>
      <w:r>
        <w:rPr>
          <w:rFonts w:ascii="微软雅黑" w:hAnsi="微软雅黑" w:eastAsia="微软雅黑"/>
          <w:b/>
          <w:color w:val="2F5597"/>
          <w:sz w:val="20"/>
        </w:rPr>
        <w:t>幸运转盘配置</w:t>
      </w:r>
      <w:r>
        <w:rPr>
          <w:rFonts w:ascii="微软雅黑" w:hAnsi="微软雅黑" w:eastAsia="微软雅黑"/>
          <w:b w:val="0"/>
          <w:sz w:val="20"/>
        </w:rPr>
        <w:t>：用于配置幸运转盘活动、奖品和抽奖规则。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：设置奖品、中奖概率、参与条件、活动时间和启停状态。</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：用于创建新的优惠活动。</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：选择活动类型，填写活动信息、规则、奖励、展示素材和时间范围。</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pStyle w:val="16"/>
        <w:spacing w:after="60" w:line="276" w:lineRule="auto"/>
      </w:pPr>
      <w:r>
        <w:rPr>
          <w:rFonts w:ascii="微软雅黑" w:hAnsi="微软雅黑" w:eastAsia="微软雅黑"/>
          <w:b/>
          <w:color w:val="2F5597"/>
          <w:sz w:val="20"/>
        </w:rPr>
        <w:t>活动分析</w:t>
      </w:r>
      <w:r>
        <w:rPr>
          <w:rFonts w:ascii="微软雅黑" w:hAnsi="微软雅黑" w:eastAsia="微软雅黑"/>
          <w:b w:val="0"/>
          <w:sz w:val="20"/>
        </w:rPr>
        <w:t>：用于查看活动效果和玩家参与数据。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：按活动和时间筛选，查看参与人数、领取金额、转化效果等指标。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spacing w:after="60" w:line="276" w:lineRule="auto"/>
      </w:pPr>
      <w:r>
        <w:rPr>
          <w:rFonts w:ascii="微软雅黑" w:hAnsi="微软雅黑" w:eastAsia="微软雅黑"/>
          <w:b/>
          <w:color w:val="2F5597"/>
          <w:sz w:val="20"/>
        </w:rPr>
        <w:t>票券中心</w:t>
      </w:r>
      <w:r>
        <w:rPr>
          <w:rFonts w:ascii="微软雅黑" w:hAnsi="微软雅黑" w:eastAsia="微软雅黑"/>
          <w:b w:val="0"/>
          <w:sz w:val="20"/>
        </w:rPr>
        <w:t>：用于管理优惠券、票券模板和发放规则。</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：新增、编辑、启用、停用票券，配置面额、使用门槛和有效期。</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spacing w:after="60" w:line="276" w:lineRule="auto"/>
      </w:pPr>
      <w:r>
        <w:rPr>
          <w:rFonts w:ascii="微软雅黑" w:hAnsi="微软雅黑" w:eastAsia="微软雅黑"/>
          <w:b/>
          <w:color w:val="2F5597"/>
          <w:sz w:val="20"/>
        </w:rPr>
        <w:t>票券使用记录</w:t>
      </w:r>
      <w:r>
        <w:rPr>
          <w:rFonts w:ascii="微软雅黑" w:hAnsi="微软雅黑" w:eastAsia="微软雅黑"/>
          <w:b w:val="0"/>
          <w:sz w:val="20"/>
        </w:rPr>
        <w:t>：用于查询玩家票券领取和使用记录。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：按玩家、票券、状态或时间筛选，查看使用时间和关联活动。</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spacing w:after="60" w:line="276" w:lineRule="auto"/>
      </w:pPr>
      <w:r>
        <w:rPr>
          <w:rFonts w:ascii="微软雅黑" w:hAnsi="微软雅黑" w:eastAsia="微软雅黑"/>
          <w:b/>
          <w:color w:val="2F5597"/>
          <w:sz w:val="20"/>
        </w:rPr>
        <w:t>全局配置</w:t>
      </w:r>
      <w:r>
        <w:rPr>
          <w:rFonts w:ascii="微软雅黑" w:hAnsi="微软雅黑" w:eastAsia="微软雅黑"/>
          <w:b w:val="0"/>
          <w:sz w:val="20"/>
        </w:rPr>
        <w:t>：用于维护优惠活动相关的全局规则和默认参数。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：查看并编辑活动通用开关、限制条件和基础配置。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