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5715000" cy="1696085"/>
            <wp:effectExtent l="0" t="0" r="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15000" cy="1696641"/>
                    </a:xfrm>
                    <a:prstGeom prst="rect">
                      <a:avLst/>
                    </a:prstGeom>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5715000" cy="23215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15000" cy="2321719"/>
                    </a:xfrm>
                    <a:prstGeom prst="rect">
                      <a:avLst/>
                    </a:prstGeom>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18A3F270">
      <w:pPr>
        <w:pStyle w:val="16"/>
        <w:spacing w:after="40" w:line="276" w:lineRule="auto"/>
      </w:pPr>
      <w:r>
        <w:rPr>
          <w:rFonts w:ascii="微软雅黑" w:hAnsi="微软雅黑" w:eastAsia="微软雅黑"/>
          <w:b/>
          <w:color w:val="254061"/>
          <w:sz w:val="20"/>
        </w:rPr>
        <w:t>新增：</w:t>
      </w:r>
      <w:r>
        <w:rPr>
          <w:rFonts w:ascii="微软雅黑" w:hAnsi="微软雅黑" w:eastAsia="微软雅黑"/>
          <w:b w:val="0"/>
          <w:sz w:val="20"/>
        </w:rPr>
        <w:t>点击右上角新增创建新的侧滑入口，填写名称、路由、排序并上传图标。</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5715000" cy="23215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15000" cy="2321719"/>
                    </a:xfrm>
                    <a:prstGeom prst="rect">
                      <a:avLst/>
                    </a:prstGeom>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通过新增、编辑、删除维护入口列表；保存前检查路由、图标和排序。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5715000" cy="1875155"/>
            <wp:effectExtent l="0" t="0" r="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15000" cy="1875234"/>
                    </a:xfrm>
                    <a:prstGeom prst="rect">
                      <a:avLst/>
                    </a:prstGeom>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2"/>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5806440" cy="2889885"/>
            <wp:effectExtent l="0" t="0" r="381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tretch>
                      <a:fillRect/>
                    </a:stretch>
                  </pic:blipFill>
                  <pic:spPr>
                    <a:xfrm>
                      <a:off x="0" y="0"/>
                      <a:ext cx="5806440" cy="2890083"/>
                    </a:xfrm>
                    <a:prstGeom prst="rect">
                      <a:avLst/>
                    </a:prstGeom>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5897880" cy="2672715"/>
            <wp:effectExtent l="0" t="0" r="7620"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a:stretch>
                      <a:fillRect/>
                    </a:stretch>
                  </pic:blipFill>
                  <pic:spPr>
                    <a:xfrm>
                      <a:off x="0" y="0"/>
                      <a:ext cx="5897880" cy="2673140"/>
                    </a:xfrm>
                    <a:prstGeom prst="rect">
                      <a:avLst/>
                    </a:prstGeom>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5120640" cy="6169660"/>
            <wp:effectExtent l="0" t="0" r="381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9"/>
                    <a:stretch>
                      <a:fillRect/>
                    </a:stretch>
                  </pic:blipFill>
                  <pic:spPr>
                    <a:xfrm>
                      <a:off x="0" y="0"/>
                      <a:ext cx="5120640" cy="6169891"/>
                    </a:xfrm>
                    <a:prstGeom prst="rect">
                      <a:avLst/>
                    </a:prstGeom>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52B6685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用于处理“分享配置”相关后台业务，具体说明可在后续补充截图时继续细化。</w:t>
      </w:r>
    </w:p>
    <w:p w14:paraId="192829C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DAA842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EC66326">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2EB46B84">
      <w:pPr>
        <w:jc w:val="center"/>
      </w:pPr>
      <w:r>
        <w:drawing>
          <wp:inline distT="0" distB="0" distL="114300" distR="114300">
            <wp:extent cx="5806440" cy="1687830"/>
            <wp:effectExtent l="0" t="0" r="381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5806440" cy="1688000"/>
                    </a:xfrm>
                    <a:prstGeom prst="rect">
                      <a:avLst/>
                    </a:prstGeom>
                  </pic:spPr>
                </pic:pic>
              </a:graphicData>
            </a:graphic>
          </wp:inline>
        </w:drawing>
      </w:r>
    </w:p>
    <w:p w14:paraId="4A646741">
      <w:pPr>
        <w:jc w:val="center"/>
      </w:pPr>
      <w:r>
        <w:rPr>
          <w:rFonts w:ascii="微软雅黑" w:hAnsi="微软雅黑" w:eastAsia="微软雅黑"/>
          <w:b w:val="0"/>
          <w:color w:val="707E92"/>
          <w:sz w:val="18"/>
        </w:rPr>
        <w:t>图：支付通道配置列表。</w:t>
      </w:r>
    </w:p>
    <w:p w14:paraId="648DF0AE">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02ACE695">
      <w:pPr>
        <w:jc w:val="center"/>
      </w:pPr>
      <w:r>
        <w:drawing>
          <wp:inline distT="0" distB="0" distL="114300" distR="114300">
            <wp:extent cx="5806440" cy="6962140"/>
            <wp:effectExtent l="0" t="0" r="3810" b="1016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stretch>
                      <a:fillRect/>
                    </a:stretch>
                  </pic:blipFill>
                  <pic:spPr>
                    <a:xfrm>
                      <a:off x="0" y="0"/>
                      <a:ext cx="5806440" cy="6962225"/>
                    </a:xfrm>
                    <a:prstGeom prst="rect">
                      <a:avLst/>
                    </a:prstGeom>
                  </pic:spPr>
                </pic:pic>
              </a:graphicData>
            </a:graphic>
          </wp:inline>
        </w:drawing>
      </w:r>
    </w:p>
    <w:p w14:paraId="234EC68D">
      <w:pPr>
        <w:jc w:val="center"/>
      </w:pPr>
      <w:r>
        <w:rPr>
          <w:rFonts w:ascii="微软雅黑" w:hAnsi="微软雅黑" w:eastAsia="微软雅黑"/>
          <w:b w:val="0"/>
          <w:color w:val="707E92"/>
          <w:sz w:val="18"/>
        </w:rPr>
        <w:t>图：新增在线支付平台参数配置。</w:t>
      </w:r>
    </w:p>
    <w:p w14:paraId="02554A87">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5CBC41E1">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7E420AE6">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79075BAD">
      <w:pPr>
        <w:pStyle w:val="16"/>
      </w:pPr>
      <w:r>
        <w:rPr>
          <w:rFonts w:ascii="微软雅黑" w:hAnsi="微软雅黑" w:eastAsia="微软雅黑"/>
          <w:b/>
          <w:color w:val="2F5597"/>
          <w:sz w:val="20"/>
        </w:rPr>
        <w:t>常用操作：</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7EB4EF9">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3"/>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pPr>
        <w:pStyle w:val="16"/>
      </w:pPr>
      <w:r>
        <w:rPr>
          <w:rFonts w:ascii="微软雅黑" w:hAnsi="微软雅黑" w:eastAsia="微软雅黑"/>
          <w:b/>
          <w:color w:val="2F5597"/>
          <w:sz w:val="20"/>
        </w:rPr>
        <w:t>页面功能</w:t>
      </w:r>
      <w:r>
        <w:rPr>
          <w:rFonts w:ascii="微软雅黑" w:hAnsi="微软雅黑" w:eastAsia="微软雅黑"/>
          <w:b w:val="0"/>
          <w:sz w:val="20"/>
        </w:rPr>
        <w:t>：用于设置站点维护状态、维护时间和前台提示内容。</w:t>
      </w:r>
    </w:p>
    <w:p>
      <w:pPr>
        <w:pStyle w:val="16"/>
      </w:pPr>
      <w:r>
        <w:rPr>
          <w:rFonts w:ascii="微软雅黑" w:hAnsi="微软雅黑" w:eastAsia="微软雅黑"/>
          <w:b/>
          <w:color w:val="2F5597"/>
          <w:sz w:val="20"/>
        </w:rPr>
        <w:t>主要操作</w:t>
      </w:r>
      <w:r>
        <w:rPr>
          <w:rFonts w:ascii="微软雅黑" w:hAnsi="微软雅黑" w:eastAsia="微软雅黑"/>
          <w:b w:val="0"/>
          <w:sz w:val="20"/>
        </w:rPr>
        <w:t>：查看维护配置，新增或编辑维护计划，启用、停用维护状态。</w:t>
      </w:r>
    </w:p>
    <w:p>
      <w:pPr>
        <w:pStyle w:val="16"/>
      </w:pPr>
      <w:r>
        <w:rPr>
          <w:rFonts w:ascii="微软雅黑" w:hAnsi="微软雅黑" w:eastAsia="微软雅黑"/>
          <w:b/>
          <w:color w:val="2F5597"/>
          <w:sz w:val="20"/>
        </w:rPr>
        <w:t>使用说明</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pPr/>
      <w:r>
        <w:rPr>
          <w:rFonts w:ascii="微软雅黑" w:hAnsi="微软雅黑" w:eastAsia="微软雅黑"/>
          <w:sz w:val="20"/>
        </w:rPr>
        <w:t>平台公告用于查看平台发布的公告、通知、风控预警和站内消息，是后台接收重要提醒的统一入口。</w:t>
      </w:r>
    </w:p>
    <w:p>
      <w:pPr>
        <w:jc w:val="center"/>
      </w:pPr>
      <w:r>
        <w:drawing>
          <wp:inline xmlns:a="http://schemas.openxmlformats.org/drawingml/2006/main" xmlns:pic="http://schemas.openxmlformats.org/drawingml/2006/picture">
            <wp:extent cx="5943600" cy="2228850"/>
            <wp:docPr id="37" name="Picture 3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943600" cy="2228850"/>
                    </a:xfrm>
                    <a:prstGeom prst="rect"/>
                  </pic:spPr>
                </pic:pic>
              </a:graphicData>
            </a:graphic>
          </wp:inline>
        </w:drawing>
      </w:r>
    </w:p>
    <w:p>
      <w:pPr>
        <w:pStyle w:val="15"/>
        <w:jc w:val="center"/>
      </w:pPr>
      <w:r>
        <w:rPr>
          <w:rFonts w:ascii="微软雅黑" w:hAnsi="微软雅黑" w:eastAsia="微软雅黑"/>
          <w:color w:val="7F7F7F"/>
          <w:sz w:val="18"/>
        </w:rPr>
        <w:t>图：平台公告列表，用于查看平台、商户相关通知和站内消息。</w:t>
      </w:r>
    </w:p>
    <w:p>
      <w:pPr>
        <w:pStyle w:val="16"/>
      </w:pPr>
      <w:r>
        <w:rPr>
          <w:rFonts w:ascii="微软雅黑" w:hAnsi="微软雅黑" w:eastAsia="微软雅黑"/>
          <w:b/>
          <w:color w:val="1F4E79"/>
          <w:sz w:val="20"/>
        </w:rPr>
        <w:t>类型：</w:t>
      </w:r>
      <w:r>
        <w:rPr>
          <w:rFonts w:ascii="微软雅黑" w:hAnsi="微软雅黑" w:eastAsia="微软雅黑"/>
          <w:sz w:val="20"/>
        </w:rPr>
        <w:t>按平台公告、通知、短信、风控预警、站内信等分类筛选消息。</w:t>
      </w:r>
    </w:p>
    <w:p>
      <w:pPr>
        <w:pStyle w:val="16"/>
      </w:pPr>
      <w:r>
        <w:rPr>
          <w:rFonts w:ascii="微软雅黑" w:hAnsi="微软雅黑" w:eastAsia="微软雅黑"/>
          <w:b/>
          <w:color w:val="1F4E79"/>
          <w:sz w:val="20"/>
        </w:rPr>
        <w:t>标题：</w:t>
      </w:r>
      <w:r>
        <w:rPr>
          <w:rFonts w:ascii="微软雅黑" w:hAnsi="微软雅黑" w:eastAsia="微软雅黑"/>
          <w:sz w:val="20"/>
        </w:rPr>
        <w:t>输入标题关键字快速查询目标公告或通知。</w:t>
      </w:r>
    </w:p>
    <w:p>
      <w:pPr>
        <w:pStyle w:val="16"/>
      </w:pPr>
      <w:r>
        <w:rPr>
          <w:rFonts w:ascii="微软雅黑" w:hAnsi="微软雅黑" w:eastAsia="微软雅黑"/>
          <w:b/>
          <w:color w:val="1F4E79"/>
          <w:sz w:val="20"/>
        </w:rPr>
        <w:t>状态：</w:t>
      </w:r>
      <w:r>
        <w:rPr>
          <w:rFonts w:ascii="微软雅黑" w:hAnsi="微软雅黑" w:eastAsia="微软雅黑"/>
          <w:sz w:val="20"/>
        </w:rPr>
        <w:t>按未读、已读筛选消息，便于优先处理待查看内容。</w:t>
      </w:r>
    </w:p>
    <w:p>
      <w:pPr>
        <w:pStyle w:val="16"/>
      </w:pPr>
      <w:r>
        <w:rPr>
          <w:rFonts w:ascii="微软雅黑" w:hAnsi="微软雅黑" w:eastAsia="微软雅黑"/>
          <w:b/>
          <w:color w:val="1F4E79"/>
          <w:sz w:val="20"/>
        </w:rPr>
        <w:t>搜索/重置：</w:t>
      </w:r>
      <w:r>
        <w:rPr>
          <w:rFonts w:ascii="微软雅黑" w:hAnsi="微软雅黑" w:eastAsia="微软雅黑"/>
          <w:sz w:val="20"/>
        </w:rPr>
        <w:t>搜索按条件刷新列表，重置恢复全部消息。</w:t>
      </w:r>
    </w:p>
    <w:p>
      <w:pPr>
        <w:pStyle w:val="16"/>
      </w:pPr>
      <w:r>
        <w:rPr>
          <w:rFonts w:ascii="微软雅黑" w:hAnsi="微软雅黑" w:eastAsia="微软雅黑"/>
          <w:b/>
          <w:color w:val="1F4E79"/>
          <w:sz w:val="20"/>
        </w:rPr>
        <w:t>全部已读：</w:t>
      </w:r>
      <w:r>
        <w:rPr>
          <w:rFonts w:ascii="微软雅黑" w:hAnsi="微软雅黑" w:eastAsia="微软雅黑"/>
          <w:sz w:val="20"/>
        </w:rPr>
        <w:t>批量将当前消息标记为已读，建议先查看重要消息后再执行。</w:t>
      </w:r>
    </w:p>
    <w:p>
      <w:pPr>
        <w:pStyle w:val="16"/>
      </w:pPr>
      <w:r>
        <w:rPr>
          <w:rFonts w:ascii="微软雅黑" w:hAnsi="微软雅黑" w:eastAsia="微软雅黑"/>
          <w:b/>
          <w:color w:val="1F4E79"/>
          <w:sz w:val="20"/>
        </w:rPr>
        <w:t>列表：</w:t>
      </w:r>
      <w:r>
        <w:rPr>
          <w:rFonts w:ascii="微软雅黑" w:hAnsi="微软雅黑" w:eastAsia="微软雅黑"/>
          <w:sz w:val="20"/>
        </w:rPr>
        <w:t>展示类型、标题、时间、状态和操作入口，可快速判断消息优先级。</w:t>
      </w:r>
    </w:p>
    <w:p>
      <w:pPr>
        <w:pStyle w:val="16"/>
      </w:pPr>
      <w:r>
        <w:rPr>
          <w:rFonts w:ascii="微软雅黑" w:hAnsi="微软雅黑" w:eastAsia="微软雅黑"/>
          <w:b/>
          <w:color w:val="1F4E79"/>
          <w:sz w:val="20"/>
        </w:rPr>
        <w:t>查看：</w:t>
      </w:r>
      <w:r>
        <w:rPr>
          <w:rFonts w:ascii="微软雅黑" w:hAnsi="微软雅黑" w:eastAsia="微软雅黑"/>
          <w:sz w:val="20"/>
        </w:rPr>
        <w:t>打开消息详情查看完整内容；如消息要求进入其他页面处理，按提示到对应模块完成操作。</w:t>
      </w:r>
    </w:p>
    <w:p w14:paraId="74C9FC42">
      <w:pPr>
        <w:pStyle w:val="5"/>
        <w:keepNext/>
        <w:spacing w:before="180" w:after="100" w:line="259" w:lineRule="auto"/>
      </w:pPr>
      <w:r>
        <w:rPr>
          <w:rFonts w:ascii="微软雅黑" w:hAnsi="微软雅黑" w:eastAsia="微软雅黑"/>
          <w:b/>
          <w:color w:val="2F5597"/>
          <w:sz w:val="25"/>
        </w:rPr>
        <w:t>给平台提建议</w:t>
      </w:r>
    </w:p>
    <w:p>
      <w:pPr>
        <w:pStyle w:val="16"/>
      </w:pPr>
      <w:r>
        <w:rPr>
          <w:rFonts w:ascii="微软雅黑" w:hAnsi="微软雅黑" w:eastAsia="微软雅黑"/>
          <w:b/>
          <w:color w:val="2F5597"/>
          <w:sz w:val="20"/>
        </w:rPr>
        <w:t>页面功能</w:t>
      </w:r>
      <w:r>
        <w:rPr>
          <w:rFonts w:ascii="微软雅黑" w:hAnsi="微软雅黑" w:eastAsia="微软雅黑"/>
          <w:b w:val="0"/>
          <w:sz w:val="20"/>
        </w:rPr>
        <w:t>：用于向平台提交产品、运营或系统使用建议。</w:t>
      </w:r>
    </w:p>
    <w:p>
      <w:pPr>
        <w:pStyle w:val="16"/>
      </w:pPr>
      <w:r>
        <w:rPr>
          <w:rFonts w:ascii="微软雅黑" w:hAnsi="微软雅黑" w:eastAsia="微软雅黑"/>
          <w:b/>
          <w:color w:val="2F5597"/>
          <w:sz w:val="20"/>
        </w:rPr>
        <w:t>主要操作</w:t>
      </w:r>
      <w:r>
        <w:rPr>
          <w:rFonts w:ascii="微软雅黑" w:hAnsi="微软雅黑" w:eastAsia="微软雅黑"/>
          <w:b w:val="0"/>
          <w:sz w:val="20"/>
        </w:rPr>
        <w:t>：填写建议标题、建议内容和联系方式，提交后在列表查看处理状态。</w:t>
      </w:r>
    </w:p>
    <w:p>
      <w:pPr>
        <w:pStyle w:val="16"/>
      </w:pPr>
      <w:r>
        <w:rPr>
          <w:rFonts w:ascii="微软雅黑" w:hAnsi="微软雅黑" w:eastAsia="微软雅黑"/>
          <w:b/>
          <w:color w:val="2F5597"/>
          <w:sz w:val="20"/>
        </w:rPr>
        <w:t>使用说明</w:t>
      </w:r>
      <w:r>
        <w:rPr>
          <w:rFonts w:ascii="微软雅黑" w:hAnsi="微软雅黑" w:eastAsia="微软雅黑"/>
          <w:b w:val="0"/>
          <w:sz w:val="20"/>
        </w:rPr>
        <w:t>：建议内容应描述具体问题、使用场景和期望结果，便于平台跟进。</w:t>
      </w:r>
    </w:p>
    <w:p w14:paraId="239E6456">
      <w:pPr>
        <w:pStyle w:val="5"/>
        <w:keepNext/>
        <w:spacing w:before="180" w:after="100" w:line="259" w:lineRule="auto"/>
      </w:pPr>
      <w:r>
        <w:rPr>
          <w:rFonts w:ascii="微软雅黑" w:hAnsi="微软雅黑" w:eastAsia="微软雅黑"/>
          <w:b/>
          <w:color w:val="2F5597"/>
          <w:sz w:val="25"/>
        </w:rPr>
        <w:t>会员投诉列表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：用于查看玩家提交的投诉、意见和处理状态。</w:t>
      </w:r>
    </w:p>
    <w:p>
      <w:pPr>
        <w:pStyle w:val="16"/>
      </w:pPr>
      <w:r>
        <w:rPr>
          <w:rFonts w:ascii="微软雅黑" w:hAnsi="微软雅黑" w:eastAsia="微软雅黑"/>
          <w:b/>
          <w:color w:val="2F5597"/>
          <w:sz w:val="20"/>
        </w:rPr>
        <w:t>主要操作</w:t>
      </w:r>
      <w:r>
        <w:rPr>
          <w:rFonts w:ascii="微软雅黑" w:hAnsi="微软雅黑" w:eastAsia="微软雅黑"/>
          <w:b w:val="0"/>
          <w:sz w:val="20"/>
        </w:rPr>
        <w:t>：按会员、状态或时间筛选投诉，查看详情并记录处理结果。</w:t>
      </w:r>
    </w:p>
    <w:p>
      <w:pPr>
        <w:pStyle w:val="16"/>
      </w:pPr>
      <w:r>
        <w:rPr>
          <w:rFonts w:ascii="微软雅黑" w:hAnsi="微软雅黑" w:eastAsia="微软雅黑"/>
          <w:b/>
          <w:color w:val="2F5597"/>
          <w:sz w:val="20"/>
        </w:rPr>
        <w:t>使用说明</w:t>
      </w:r>
      <w:r>
        <w:rPr>
          <w:rFonts w:ascii="微软雅黑" w:hAnsi="微软雅黑" w:eastAsia="微软雅黑"/>
          <w:b w:val="0"/>
          <w:sz w:val="20"/>
        </w:rPr>
        <w:t>：处理投诉前先核对会员账号、问题类型和相关订单或活动记录。</w:t>
      </w:r>
    </w:p>
    <w:p w14:paraId="03EC7769">
      <w:pPr>
        <w:pStyle w:val="5"/>
        <w:keepNext/>
        <w:spacing w:before="180" w:after="100" w:line="259" w:lineRule="auto"/>
      </w:pPr>
      <w:r>
        <w:rPr>
          <w:rFonts w:ascii="微软雅黑" w:hAnsi="微软雅黑" w:eastAsia="微软雅黑"/>
          <w:b/>
          <w:color w:val="2F5597"/>
          <w:sz w:val="25"/>
        </w:rPr>
        <w:t>消息推送</w:t>
      </w:r>
    </w:p>
    <w:p>
      <w:pPr/>
      <w:r>
        <w:rPr>
          <w:rFonts w:ascii="微软雅黑" w:hAnsi="微软雅黑" w:eastAsia="微软雅黑"/>
          <w:b w:val="0"/>
          <w:sz w:val="20"/>
        </w:rPr>
        <w:t>消息推送用于创建和管理面向玩家展示的消息、公告和跑马灯。</w:t>
      </w:r>
    </w:p>
    <w:p>
      <w:pPr>
        <w:jc w:val="center"/>
      </w:pPr>
      <w:r>
        <w:drawing>
          <wp:inline xmlns:a="http://schemas.openxmlformats.org/drawingml/2006/main" xmlns:pic="http://schemas.openxmlformats.org/drawingml/2006/picture">
            <wp:extent cx="5943600" cy="2515149"/>
            <wp:docPr id="36" name="Picture 36"/>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943600" cy="2515149"/>
                    </a:xfrm>
                    <a:prstGeom prst="rect"/>
                  </pic:spPr>
                </pic:pic>
              </a:graphicData>
            </a:graphic>
          </wp:inline>
        </w:drawing>
      </w:r>
    </w:p>
    <w:p>
      <w:pPr>
        <w:pStyle w:val="15"/>
        <w:jc w:val="center"/>
      </w:pPr>
      <w:r>
        <w:rPr>
          <w:rFonts w:ascii="微软雅黑" w:hAnsi="微软雅黑" w:eastAsia="微软雅黑"/>
          <w:b w:val="0"/>
          <w:color w:val="707E92"/>
          <w:sz w:val="18"/>
        </w:rPr>
        <w:t>图：消息推送列表，用于管理消息、公告和跑马灯。</w:t>
      </w:r>
    </w:p>
    <w:p>
      <w:pPr>
        <w:pStyle w:val="16"/>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pPr>
        <w:pStyle w:val="16"/>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pPr>
        <w:pStyle w:val="16"/>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pPr>
        <w:pStyle w:val="16"/>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pPr>
        <w:pStyle w:val="16"/>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pPr>
        <w:pStyle w:val="16"/>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pPr>
        <w:pStyle w:val="16"/>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pPr>
        <w:pStyle w:val="16"/>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5"/>
        </w:rPr>
        <w:t>宣传管理</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：用于维护站点宣传内容、推广素材和展示状态。</w:t>
      </w:r>
    </w:p>
    <w:p>
      <w:pPr>
        <w:pStyle w:val="16"/>
      </w:pPr>
      <w:r>
        <w:rPr>
          <w:rFonts w:ascii="微软雅黑" w:hAnsi="微软雅黑" w:eastAsia="微软雅黑"/>
          <w:b/>
          <w:color w:val="2F5597"/>
          <w:sz w:val="20"/>
        </w:rPr>
        <w:t>主要操作</w:t>
      </w:r>
      <w:r>
        <w:rPr>
          <w:rFonts w:ascii="微软雅黑" w:hAnsi="微软雅黑" w:eastAsia="微软雅黑"/>
          <w:b w:val="0"/>
          <w:sz w:val="20"/>
        </w:rPr>
        <w:t>：新增、编辑、上架、下架宣传内容，检查标题、图片和跳转地址。</w:t>
      </w:r>
    </w:p>
    <w:p>
      <w:pPr>
        <w:pStyle w:val="16"/>
      </w:pPr>
      <w:r>
        <w:rPr>
          <w:rFonts w:ascii="微软雅黑" w:hAnsi="微软雅黑" w:eastAsia="微软雅黑"/>
          <w:b/>
          <w:color w:val="2F5597"/>
          <w:sz w:val="20"/>
        </w:rPr>
        <w:t>使用说明</w:t>
      </w:r>
      <w:r>
        <w:rPr>
          <w:rFonts w:ascii="微软雅黑" w:hAnsi="微软雅黑" w:eastAsia="微软雅黑"/>
          <w:b w:val="0"/>
          <w:sz w:val="20"/>
        </w:rPr>
        <w:t>：发布前确认素材清晰、链接有效，内容与当前活动或站点配置一致。</w:t>
      </w:r>
    </w:p>
    <w:p w14:paraId="49D66ED6">
      <w:pPr>
        <w:pStyle w:val="5"/>
        <w:keepNext/>
        <w:spacing w:before="180" w:after="100" w:line="259" w:lineRule="auto"/>
      </w:pPr>
      <w:r>
        <w:rPr>
          <w:rFonts w:ascii="微软雅黑" w:hAnsi="微软雅黑" w:eastAsia="微软雅黑"/>
          <w:b/>
          <w:color w:val="2F5597"/>
          <w:sz w:val="25"/>
        </w:rPr>
        <w:t>客服中心</w:t>
      </w:r>
    </w:p>
    <w:p>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pPr>
        <w:spacing w:after="40"/>
        <w:jc w:val="center"/>
      </w:pPr>
      <w:r>
        <w:drawing>
          <wp:inline xmlns:a="http://schemas.openxmlformats.org/drawingml/2006/main" xmlns:pic="http://schemas.openxmlformats.org/drawingml/2006/picture">
            <wp:extent cx="5897880" cy="2737294"/>
            <wp:docPr id="38" name="Picture 38"/>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897880" cy="2737294"/>
                    </a:xfrm>
                    <a:prstGeom prst="rect"/>
                  </pic:spPr>
                </pic:pic>
              </a:graphicData>
            </a:graphic>
          </wp:inline>
        </w:drawing>
      </w:r>
    </w:p>
    <w:p>
      <w:pPr>
        <w:pStyle w:val="15"/>
        <w:spacing w:after="120"/>
        <w:jc w:val="center"/>
      </w:pPr>
      <w:r>
        <w:rPr>
          <w:rFonts w:ascii="微软雅黑" w:hAnsi="微软雅黑" w:eastAsia="微软雅黑"/>
          <w:b w:val="0"/>
          <w:color w:val="707E92"/>
          <w:sz w:val="18"/>
        </w:rPr>
        <w:t>图：客服中心页面，用于查看会话队列、接入会员咨询并发送客服回复。</w:t>
      </w:r>
    </w:p>
    <w:p>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：问题处理完成后可继续在当前会话反馈结果；如涉及风控、财务或人工审核，需说明已转交并保留会话记录便于跟进。</w:t>
      </w:r>
    </w:p>
    <w:bookmarkEnd w:id="0"/>
    <w:p w14:paraId="353F86C3">
      <w:pPr>
        <w:pStyle w:val="5"/>
        <w:keepNext/>
        <w:spacing w:before="180" w:after="100" w:line="259" w:lineRule="auto"/>
      </w:pPr>
      <w:r>
        <w:rPr>
          <w:rFonts w:ascii="微软雅黑" w:hAnsi="微软雅黑" w:eastAsia="微软雅黑"/>
          <w:b/>
          <w:color w:val="2F5597"/>
          <w:sz w:val="25"/>
        </w:rPr>
        <w:t>任务中心</w:t>
      </w:r>
    </w:p>
    <w:p>
      <w:pPr>
        <w:pStyle w:val="16"/>
      </w:pPr>
      <w:r>
        <w:rPr>
          <w:rFonts w:ascii="微软雅黑" w:hAnsi="微软雅黑" w:eastAsia="微软雅黑"/>
          <w:b/>
          <w:color w:val="2F5597"/>
          <w:sz w:val="20"/>
        </w:rPr>
        <w:t>页面功能</w:t>
      </w:r>
      <w:r>
        <w:rPr>
          <w:rFonts w:ascii="微软雅黑" w:hAnsi="微软雅黑" w:eastAsia="微软雅黑"/>
          <w:b w:val="0"/>
          <w:sz w:val="20"/>
        </w:rPr>
        <w:t>：用于配置玩家任务、查看任务状态和管理任务奖励。</w:t>
      </w:r>
    </w:p>
    <w:p>
      <w:pPr>
        <w:pStyle w:val="16"/>
      </w:pPr>
      <w:r>
        <w:rPr>
          <w:rFonts w:ascii="微软雅黑" w:hAnsi="微软雅黑" w:eastAsia="微软雅黑"/>
          <w:b/>
          <w:color w:val="2F5597"/>
          <w:sz w:val="20"/>
        </w:rPr>
        <w:t>主要操作</w:t>
      </w:r>
      <w:r>
        <w:rPr>
          <w:rFonts w:ascii="微软雅黑" w:hAnsi="微软雅黑" w:eastAsia="微软雅黑"/>
          <w:b w:val="0"/>
          <w:sz w:val="20"/>
        </w:rPr>
        <w:t>：新增或编辑任务，设置任务条件、奖励、时间范围和启停状态。</w:t>
      </w:r>
    </w:p>
    <w:p>
      <w:pPr>
        <w:pStyle w:val="16"/>
      </w:pPr>
      <w:r>
        <w:rPr>
          <w:rFonts w:ascii="微软雅黑" w:hAnsi="微软雅黑" w:eastAsia="微软雅黑"/>
          <w:b/>
          <w:color w:val="2F5597"/>
          <w:sz w:val="20"/>
        </w:rPr>
        <w:t>使用说明</w:t>
      </w:r>
      <w:r>
        <w:rPr>
          <w:rFonts w:ascii="微软雅黑" w:hAnsi="微软雅黑" w:eastAsia="微软雅黑"/>
          <w:b w:val="0"/>
          <w:sz w:val="20"/>
        </w:rPr>
        <w:t>：上线前确认任务条件、奖励发放规则和活动时间，避免重复奖励或无法完成。</w:t>
      </w:r>
    </w:p>
    <w:p w14:paraId="45A28C8D">
      <w:pPr>
        <w:pStyle w:val="5"/>
        <w:keepNext/>
        <w:spacing w:before="180" w:after="100" w:line="259" w:lineRule="auto"/>
      </w:pPr>
      <w:r>
        <w:rPr>
          <w:rFonts w:ascii="微软雅黑" w:hAnsi="微软雅黑" w:eastAsia="微软雅黑"/>
          <w:b/>
          <w:color w:val="2F5597"/>
          <w:sz w:val="25"/>
        </w:rPr>
        <w:t>落地页管理</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：用于维护推广落地页、页面模板和投放链接。</w:t>
      </w:r>
    </w:p>
    <w:p>
      <w:pPr>
        <w:pStyle w:val="16"/>
      </w:pPr>
      <w:r>
        <w:rPr>
          <w:rFonts w:ascii="微软雅黑" w:hAnsi="微软雅黑" w:eastAsia="微软雅黑"/>
          <w:b/>
          <w:color w:val="2F5597"/>
          <w:sz w:val="20"/>
        </w:rPr>
        <w:t>主要操作</w:t>
      </w:r>
      <w:r>
        <w:rPr>
          <w:rFonts w:ascii="微软雅黑" w:hAnsi="微软雅黑" w:eastAsia="微软雅黑"/>
          <w:b w:val="0"/>
          <w:sz w:val="20"/>
        </w:rPr>
        <w:t>：新增、编辑、预览、启用或停用落地页，配置标题、素材和跳转地址。</w:t>
      </w:r>
    </w:p>
    <w:p>
      <w:pPr>
        <w:pStyle w:val="16"/>
      </w:pPr>
      <w:r>
        <w:rPr>
          <w:rFonts w:ascii="微软雅黑" w:hAnsi="微软雅黑" w:eastAsia="微软雅黑"/>
          <w:b/>
          <w:color w:val="2F5597"/>
          <w:sz w:val="20"/>
        </w:rPr>
        <w:t>使用说明</w:t>
      </w:r>
      <w:r>
        <w:rPr>
          <w:rFonts w:ascii="微软雅黑" w:hAnsi="微软雅黑" w:eastAsia="微软雅黑"/>
          <w:b w:val="0"/>
          <w:sz w:val="20"/>
        </w:rPr>
        <w:t>：投放前检查页面内容、渠道归属和跳转链路，确保推广链接可访问。</w:t>
      </w:r>
    </w:p>
    <w:p w14:paraId="6D87C06F">
      <w:pPr>
        <w:pStyle w:val="5"/>
        <w:keepNext/>
        <w:spacing w:before="180" w:after="100" w:line="259" w:lineRule="auto"/>
      </w:pPr>
      <w:r>
        <w:rPr>
          <w:rFonts w:ascii="微软雅黑" w:hAnsi="微软雅黑" w:eastAsia="微软雅黑"/>
          <w:b/>
          <w:color w:val="2F5597"/>
          <w:sz w:val="25"/>
        </w:rPr>
        <w:t>活动排行统计</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：用于查看活动参与、排名和奖励相关统计。</w:t>
      </w:r>
    </w:p>
    <w:p>
      <w:pPr>
        <w:pStyle w:val="16"/>
      </w:pPr>
      <w:r>
        <w:rPr>
          <w:rFonts w:ascii="微软雅黑" w:hAnsi="微软雅黑" w:eastAsia="微软雅黑"/>
          <w:b/>
          <w:color w:val="2F5597"/>
          <w:sz w:val="20"/>
        </w:rPr>
        <w:t>主要操作</w:t>
      </w:r>
      <w:r>
        <w:rPr>
          <w:rFonts w:ascii="微软雅黑" w:hAnsi="微软雅黑" w:eastAsia="微软雅黑"/>
          <w:b w:val="0"/>
          <w:sz w:val="20"/>
        </w:rPr>
        <w:t>：按活动、时间或玩家筛选数据，查看排行、参与人数和奖励发放情况。</w:t>
      </w:r>
    </w:p>
    <w:p>
      <w:pPr>
        <w:pStyle w:val="16"/>
      </w:pPr>
      <w:r>
        <w:rPr>
          <w:rFonts w:ascii="微软雅黑" w:hAnsi="微软雅黑" w:eastAsia="微软雅黑"/>
          <w:b/>
          <w:color w:val="2F5597"/>
          <w:sz w:val="20"/>
        </w:rPr>
        <w:t>使用说明</w:t>
      </w:r>
      <w:r>
        <w:rPr>
          <w:rFonts w:ascii="微软雅黑" w:hAnsi="微软雅黑" w:eastAsia="微软雅黑"/>
          <w:b w:val="0"/>
          <w:sz w:val="20"/>
        </w:rPr>
        <w:t>：统计结果用于活动复盘，需结合活动规则和奖励记录一起核对。</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：用于管理站点优惠活动和活动状态。</w:t>
      </w:r>
    </w:p>
    <w:p>
      <w:pPr>
        <w:pStyle w:val="16"/>
      </w:pPr>
      <w:r>
        <w:rPr>
          <w:rFonts w:ascii="微软雅黑" w:hAnsi="微软雅黑" w:eastAsia="微软雅黑"/>
          <w:b/>
          <w:color w:val="2F5597"/>
          <w:sz w:val="20"/>
        </w:rPr>
        <w:t>主要操作</w:t>
      </w:r>
      <w:r>
        <w:rPr>
          <w:rFonts w:ascii="微软雅黑" w:hAnsi="微软雅黑" w:eastAsia="微软雅黑"/>
          <w:b w:val="0"/>
          <w:sz w:val="20"/>
        </w:rPr>
        <w:t>：查询活动，新增、编辑、复制、启用、停用或查看活动数据。</w:t>
      </w:r>
    </w:p>
    <w:p>
      <w:pPr>
        <w:pStyle w:val="16"/>
      </w:pPr>
      <w:r>
        <w:rPr>
          <w:rFonts w:ascii="微软雅黑" w:hAnsi="微软雅黑" w:eastAsia="微软雅黑"/>
          <w:b/>
          <w:color w:val="2F5597"/>
          <w:sz w:val="20"/>
        </w:rPr>
        <w:t>使用说明</w:t>
      </w:r>
      <w:r>
        <w:rPr>
          <w:rFonts w:ascii="微软雅黑" w:hAnsi="微软雅黑" w:eastAsia="微软雅黑"/>
          <w:b w:val="0"/>
          <w:sz w:val="20"/>
        </w:rPr>
        <w:t>：上线前确认活动时间、参与条件、奖励规则和展示入口。</w:t>
      </w:r>
    </w:p>
    <w:p w14:paraId="4E0C8557">
      <w:pPr>
        <w:pStyle w:val="5"/>
        <w:keepNext/>
        <w:spacing w:before="180" w:after="100" w:line="259" w:lineRule="auto"/>
      </w:pPr>
      <w:r>
        <w:rPr>
          <w:rFonts w:ascii="微软雅黑" w:hAnsi="微软雅黑" w:eastAsia="微软雅黑"/>
          <w:b/>
          <w:color w:val="2F5597"/>
          <w:sz w:val="25"/>
        </w:rPr>
        <w:t>幸运转盘配置</w:t>
      </w:r>
    </w:p>
    <w:p>
      <w:pPr>
        <w:pStyle w:val="16"/>
      </w:pPr>
      <w:r>
        <w:rPr>
          <w:rFonts w:ascii="微软雅黑" w:hAnsi="微软雅黑" w:eastAsia="微软雅黑"/>
          <w:b/>
          <w:color w:val="2F5597"/>
          <w:sz w:val="20"/>
        </w:rPr>
        <w:t>页面功能</w:t>
      </w:r>
      <w:r>
        <w:rPr>
          <w:rFonts w:ascii="微软雅黑" w:hAnsi="微软雅黑" w:eastAsia="微软雅黑"/>
          <w:b w:val="0"/>
          <w:sz w:val="20"/>
        </w:rPr>
        <w:t>：用于配置幸运转盘活动、奖品和抽奖规则。</w:t>
      </w:r>
    </w:p>
    <w:p>
      <w:pPr>
        <w:pStyle w:val="16"/>
      </w:pPr>
      <w:r>
        <w:rPr>
          <w:rFonts w:ascii="微软雅黑" w:hAnsi="微软雅黑" w:eastAsia="微软雅黑"/>
          <w:b/>
          <w:color w:val="2F5597"/>
          <w:sz w:val="20"/>
        </w:rPr>
        <w:t>主要操作</w:t>
      </w:r>
      <w:r>
        <w:rPr>
          <w:rFonts w:ascii="微软雅黑" w:hAnsi="微软雅黑" w:eastAsia="微软雅黑"/>
          <w:b w:val="0"/>
          <w:sz w:val="20"/>
        </w:rPr>
        <w:t>：设置奖品、中奖概率、参与条件、活动时间和启停状态。</w:t>
      </w:r>
    </w:p>
    <w:p>
      <w:pPr>
        <w:pStyle w:val="16"/>
      </w:pPr>
      <w:r>
        <w:rPr>
          <w:rFonts w:ascii="微软雅黑" w:hAnsi="微软雅黑" w:eastAsia="微软雅黑"/>
          <w:b/>
          <w:color w:val="2F5597"/>
          <w:sz w:val="20"/>
        </w:rPr>
        <w:t>使用说明</w:t>
      </w:r>
      <w:r>
        <w:rPr>
          <w:rFonts w:ascii="微软雅黑" w:hAnsi="微软雅黑" w:eastAsia="微软雅黑"/>
          <w:b w:val="0"/>
          <w:sz w:val="20"/>
        </w:rPr>
        <w:t>：发布前核对奖品库存、概率配置和奖励发放方式。</w:t>
      </w:r>
    </w:p>
    <w:p w14:paraId="736D48AC">
      <w:pPr>
        <w:pStyle w:val="5"/>
        <w:keepNext/>
        <w:spacing w:before="180" w:after="100" w:line="259" w:lineRule="auto"/>
      </w:pPr>
      <w:r>
        <w:rPr>
          <w:rFonts w:ascii="微软雅黑" w:hAnsi="微软雅黑" w:eastAsia="微软雅黑"/>
          <w:b/>
          <w:color w:val="2F5597"/>
          <w:sz w:val="25"/>
        </w:rPr>
        <w:t>新增活动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：用于创建新的优惠活动。</w:t>
      </w:r>
    </w:p>
    <w:p>
      <w:pPr>
        <w:pStyle w:val="16"/>
      </w:pPr>
      <w:r>
        <w:rPr>
          <w:rFonts w:ascii="微软雅黑" w:hAnsi="微软雅黑" w:eastAsia="微软雅黑"/>
          <w:b/>
          <w:color w:val="2F5597"/>
          <w:sz w:val="20"/>
        </w:rPr>
        <w:t>主要操作</w:t>
      </w:r>
      <w:r>
        <w:rPr>
          <w:rFonts w:ascii="微软雅黑" w:hAnsi="微软雅黑" w:eastAsia="微软雅黑"/>
          <w:b w:val="0"/>
          <w:sz w:val="20"/>
        </w:rPr>
        <w:t>：选择活动类型，填写活动信息、规则、奖励、展示素材和时间范围。</w:t>
      </w:r>
    </w:p>
    <w:p>
      <w:pPr>
        <w:pStyle w:val="16"/>
      </w:pPr>
      <w:r>
        <w:rPr>
          <w:rFonts w:ascii="微软雅黑" w:hAnsi="微软雅黑" w:eastAsia="微软雅黑"/>
          <w:b/>
          <w:color w:val="2F5597"/>
          <w:sz w:val="20"/>
        </w:rPr>
        <w:t>使用说明</w:t>
      </w:r>
      <w:r>
        <w:rPr>
          <w:rFonts w:ascii="微软雅黑" w:hAnsi="微软雅黑" w:eastAsia="微软雅黑"/>
          <w:b w:val="0"/>
          <w:sz w:val="20"/>
        </w:rPr>
        <w:t>：提交前逐项检查必填字段、奖励条件和前台展示文案。</w:t>
      </w:r>
    </w:p>
    <w:p w14:paraId="0BFA7C18">
      <w:pPr>
        <w:pStyle w:val="5"/>
        <w:keepNext/>
        <w:spacing w:before="180" w:after="100" w:line="259" w:lineRule="auto"/>
      </w:pPr>
      <w:r>
        <w:rPr>
          <w:rFonts w:ascii="微软雅黑" w:hAnsi="微软雅黑" w:eastAsia="微软雅黑"/>
          <w:b/>
          <w:color w:val="2F5597"/>
          <w:sz w:val="25"/>
        </w:rPr>
        <w:t>活动分析</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：用于查看活动效果和玩家参与数据。</w:t>
      </w:r>
    </w:p>
    <w:p>
      <w:pPr>
        <w:pStyle w:val="16"/>
      </w:pPr>
      <w:r>
        <w:rPr>
          <w:rFonts w:ascii="微软雅黑" w:hAnsi="微软雅黑" w:eastAsia="微软雅黑"/>
          <w:b/>
          <w:color w:val="2F5597"/>
          <w:sz w:val="20"/>
        </w:rPr>
        <w:t>主要操作</w:t>
      </w:r>
      <w:r>
        <w:rPr>
          <w:rFonts w:ascii="微软雅黑" w:hAnsi="微软雅黑" w:eastAsia="微软雅黑"/>
          <w:b w:val="0"/>
          <w:sz w:val="20"/>
        </w:rPr>
        <w:t>：按活动和时间筛选，查看参与人数、领取金额、转化效果等指标。</w:t>
      </w:r>
    </w:p>
    <w:p>
      <w:pPr>
        <w:pStyle w:val="16"/>
      </w:pPr>
      <w:r>
        <w:rPr>
          <w:rFonts w:ascii="微软雅黑" w:hAnsi="微软雅黑" w:eastAsia="微软雅黑"/>
          <w:b/>
          <w:color w:val="2F5597"/>
          <w:sz w:val="20"/>
        </w:rPr>
        <w:t>使用说明</w:t>
      </w:r>
      <w:r>
        <w:rPr>
          <w:rFonts w:ascii="微软雅黑" w:hAnsi="微软雅黑" w:eastAsia="微软雅黑"/>
          <w:b w:val="0"/>
          <w:sz w:val="20"/>
        </w:rPr>
        <w:t>：分析时结合活动成本、充值投注表现和奖励发放记录判断效果。</w:t>
      </w:r>
    </w:p>
    <w:p w14:paraId="4888D1C6">
      <w:pPr>
        <w:pStyle w:val="5"/>
        <w:keepNext/>
        <w:spacing w:before="180" w:after="100" w:line="259" w:lineRule="auto"/>
      </w:pPr>
      <w:r>
        <w:rPr>
          <w:rFonts w:ascii="微软雅黑" w:hAnsi="微软雅黑" w:eastAsia="微软雅黑"/>
          <w:b/>
          <w:color w:val="2F5597"/>
          <w:sz w:val="25"/>
        </w:rPr>
        <w:t>优惠数据报表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：用于统计优惠活动相关数据。</w:t>
      </w:r>
    </w:p>
    <w:p>
      <w:pPr>
        <w:pStyle w:val="16"/>
      </w:pPr>
      <w:r>
        <w:rPr>
          <w:rFonts w:ascii="微软雅黑" w:hAnsi="微软雅黑" w:eastAsia="微软雅黑"/>
          <w:b/>
          <w:color w:val="2F5597"/>
          <w:sz w:val="20"/>
        </w:rPr>
        <w:t>主要操作</w:t>
      </w:r>
      <w:r>
        <w:rPr>
          <w:rFonts w:ascii="微软雅黑" w:hAnsi="微软雅黑" w:eastAsia="微软雅黑"/>
          <w:b w:val="0"/>
          <w:sz w:val="20"/>
        </w:rPr>
        <w:t>：按活动、时间、渠道或玩家筛选，查看领取、消耗和转化数据。</w:t>
      </w:r>
    </w:p>
    <w:p>
      <w:pPr>
        <w:pStyle w:val="16"/>
      </w:pPr>
      <w:r>
        <w:rPr>
          <w:rFonts w:ascii="微软雅黑" w:hAnsi="微软雅黑" w:eastAsia="微软雅黑"/>
          <w:b/>
          <w:color w:val="2F5597"/>
          <w:sz w:val="20"/>
        </w:rPr>
        <w:t>使用说明</w:t>
      </w:r>
      <w:r>
        <w:rPr>
          <w:rFonts w:ascii="微软雅黑" w:hAnsi="微软雅黑" w:eastAsia="微软雅黑"/>
          <w:b w:val="0"/>
          <w:sz w:val="20"/>
        </w:rPr>
        <w:t>：报表数据用于活动复盘和成本控制，口径以页面筛选条件为准。</w:t>
      </w:r>
    </w:p>
    <w:p w14:paraId="14F5B3AE">
      <w:pPr>
        <w:pStyle w:val="5"/>
        <w:keepNext/>
        <w:spacing w:before="180" w:after="100" w:line="259" w:lineRule="auto"/>
      </w:pPr>
      <w:r>
        <w:rPr>
          <w:rFonts w:ascii="微软雅黑" w:hAnsi="微软雅黑" w:eastAsia="微软雅黑"/>
          <w:b/>
          <w:color w:val="2F5597"/>
          <w:sz w:val="25"/>
        </w:rPr>
        <w:t>票券中心</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：用于管理优惠券、票券模板和发放规则。</w:t>
      </w:r>
    </w:p>
    <w:p>
      <w:pPr>
        <w:pStyle w:val="16"/>
      </w:pPr>
      <w:r>
        <w:rPr>
          <w:rFonts w:ascii="微软雅黑" w:hAnsi="微软雅黑" w:eastAsia="微软雅黑"/>
          <w:b/>
          <w:color w:val="2F5597"/>
          <w:sz w:val="20"/>
        </w:rPr>
        <w:t>主要操作</w:t>
      </w:r>
      <w:r>
        <w:rPr>
          <w:rFonts w:ascii="微软雅黑" w:hAnsi="微软雅黑" w:eastAsia="微软雅黑"/>
          <w:b w:val="0"/>
          <w:sz w:val="20"/>
        </w:rPr>
        <w:t>：新增、编辑、启用、停用票券，配置面额、使用门槛和有效期。</w:t>
      </w:r>
    </w:p>
    <w:p>
      <w:pPr>
        <w:pStyle w:val="16"/>
      </w:pPr>
      <w:r>
        <w:rPr>
          <w:rFonts w:ascii="微软雅黑" w:hAnsi="微软雅黑" w:eastAsia="微软雅黑"/>
          <w:b/>
          <w:color w:val="2F5597"/>
          <w:sz w:val="20"/>
        </w:rPr>
        <w:t>使用说明</w:t>
      </w:r>
      <w:r>
        <w:rPr>
          <w:rFonts w:ascii="微软雅黑" w:hAnsi="微软雅黑" w:eastAsia="微软雅黑"/>
          <w:b w:val="0"/>
          <w:sz w:val="20"/>
        </w:rPr>
        <w:t>：发券前确认适用范围、有效期和使用限制，避免与活动规则冲突。</w:t>
      </w:r>
    </w:p>
    <w:p w14:paraId="06B5E40D">
      <w:pPr>
        <w:pStyle w:val="5"/>
        <w:keepNext/>
        <w:spacing w:before="180" w:after="100" w:line="259" w:lineRule="auto"/>
      </w:pPr>
      <w:r>
        <w:rPr>
          <w:rFonts w:ascii="微软雅黑" w:hAnsi="微软雅黑" w:eastAsia="微软雅黑"/>
          <w:b/>
          <w:color w:val="2F5597"/>
          <w:sz w:val="25"/>
        </w:rPr>
        <w:t>票券使用记录</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：用于查询玩家票券领取和使用记录。</w:t>
      </w:r>
    </w:p>
    <w:p>
      <w:pPr>
        <w:pStyle w:val="16"/>
      </w:pPr>
      <w:r>
        <w:rPr>
          <w:rFonts w:ascii="微软雅黑" w:hAnsi="微软雅黑" w:eastAsia="微软雅黑"/>
          <w:b/>
          <w:color w:val="2F5597"/>
          <w:sz w:val="20"/>
        </w:rPr>
        <w:t>主要操作</w:t>
      </w:r>
      <w:r>
        <w:rPr>
          <w:rFonts w:ascii="微软雅黑" w:hAnsi="微软雅黑" w:eastAsia="微软雅黑"/>
          <w:b w:val="0"/>
          <w:sz w:val="20"/>
        </w:rPr>
        <w:t>：按玩家、票券、状态或时间筛选，查看使用时间和关联活动。</w:t>
      </w:r>
    </w:p>
    <w:p>
      <w:pPr>
        <w:pStyle w:val="16"/>
      </w:pPr>
      <w:r>
        <w:rPr>
          <w:rFonts w:ascii="微软雅黑" w:hAnsi="微软雅黑" w:eastAsia="微软雅黑"/>
          <w:b/>
          <w:color w:val="2F5597"/>
          <w:sz w:val="20"/>
        </w:rPr>
        <w:t>使用说明</w:t>
      </w:r>
      <w:r>
        <w:rPr>
          <w:rFonts w:ascii="微软雅黑" w:hAnsi="微软雅黑" w:eastAsia="微软雅黑"/>
          <w:b w:val="0"/>
          <w:sz w:val="20"/>
        </w:rPr>
        <w:t>：排查奖励问题时可结合票券状态、账变记录和活动记录核对。</w:t>
      </w:r>
    </w:p>
    <w:p w14:paraId="211BE088">
      <w:pPr>
        <w:pStyle w:val="5"/>
        <w:keepNext/>
        <w:spacing w:before="180" w:after="100" w:line="259" w:lineRule="auto"/>
      </w:pPr>
      <w:r>
        <w:rPr>
          <w:rFonts w:ascii="微软雅黑" w:hAnsi="微软雅黑" w:eastAsia="微软雅黑"/>
          <w:b/>
          <w:color w:val="2F5597"/>
          <w:sz w:val="25"/>
        </w:rPr>
        <w:t>全局配置</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：用于维护优惠活动相关的全局规则和默认参数。</w:t>
      </w:r>
    </w:p>
    <w:p>
      <w:pPr>
        <w:pStyle w:val="16"/>
      </w:pPr>
      <w:r>
        <w:rPr>
          <w:rFonts w:ascii="微软雅黑" w:hAnsi="微软雅黑" w:eastAsia="微软雅黑"/>
          <w:b/>
          <w:color w:val="2F5597"/>
          <w:sz w:val="20"/>
        </w:rPr>
        <w:t>主要操作</w:t>
      </w:r>
      <w:r>
        <w:rPr>
          <w:rFonts w:ascii="微软雅黑" w:hAnsi="微软雅黑" w:eastAsia="微软雅黑"/>
          <w:b w:val="0"/>
          <w:sz w:val="20"/>
        </w:rPr>
        <w:t>：查看并编辑活动通用开关、限制条件和基础配置。</w:t>
      </w:r>
    </w:p>
    <w:p>
      <w:pPr>
        <w:pStyle w:val="16"/>
      </w:pPr>
      <w:r>
        <w:rPr>
          <w:rFonts w:ascii="微软雅黑" w:hAnsi="微软雅黑" w:eastAsia="微软雅黑"/>
          <w:b/>
          <w:color w:val="2F5597"/>
          <w:sz w:val="20"/>
        </w:rPr>
        <w:t>使用说明</w:t>
      </w:r>
      <w:r>
        <w:rPr>
          <w:rFonts w:ascii="微软雅黑" w:hAnsi="微软雅黑" w:eastAsia="微软雅黑"/>
          <w:b w:val="0"/>
          <w:sz w:val="20"/>
        </w:rPr>
        <w:t>：全局配置会影响多个活动，保存前需确认影响范围。</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pPr>
      <w:r>
        <w:rPr>
          <w:rFonts w:ascii="微软雅黑" w:hAnsi="微软雅黑" w:eastAsia="微软雅黑"/>
          <w:b/>
          <w:color w:val="2F5597"/>
          <w:sz w:val="25"/>
        </w:rPr>
        <w:t>会员提现设置</w:t>
      </w:r>
    </w:p>
    <w:p>
      <w:pPr>
        <w:pStyle w:val="16"/>
      </w:pPr>
      <w:r>
        <w:rPr>
          <w:rFonts w:ascii="微软雅黑" w:hAnsi="微软雅黑" w:eastAsia="微软雅黑"/>
          <w:b/>
          <w:color w:val="2F5597"/>
          <w:sz w:val="20"/>
        </w:rPr>
        <w:t>页面功能</w:t>
      </w:r>
      <w:r>
        <w:rPr>
          <w:rFonts w:ascii="微软雅黑" w:hAnsi="微软雅黑" w:eastAsia="微软雅黑"/>
          <w:b w:val="0"/>
          <w:sz w:val="20"/>
        </w:rPr>
        <w:t>：用于配置会员提现规则和限制。</w:t>
      </w:r>
    </w:p>
    <w:p>
      <w:pPr>
        <w:pStyle w:val="16"/>
      </w:pPr>
      <w:r>
        <w:rPr>
          <w:rFonts w:ascii="微软雅黑" w:hAnsi="微软雅黑" w:eastAsia="微软雅黑"/>
          <w:b/>
          <w:color w:val="2F5597"/>
          <w:sz w:val="20"/>
        </w:rPr>
        <w:t>主要操作</w:t>
      </w:r>
      <w:r>
        <w:rPr>
          <w:rFonts w:ascii="微软雅黑" w:hAnsi="微软雅黑" w:eastAsia="微软雅黑"/>
          <w:b w:val="0"/>
          <w:sz w:val="20"/>
        </w:rPr>
        <w:t>：设置提现额度、次数、手续费、审核规则和启停状态。</w:t>
      </w:r>
    </w:p>
    <w:p>
      <w:pPr>
        <w:pStyle w:val="16"/>
      </w:pPr>
      <w:r>
        <w:rPr>
          <w:rFonts w:ascii="微软雅黑" w:hAnsi="微软雅黑" w:eastAsia="微软雅黑"/>
          <w:b/>
          <w:color w:val="2F5597"/>
          <w:sz w:val="20"/>
        </w:rPr>
        <w:t>使用说明</w:t>
      </w:r>
      <w:r>
        <w:rPr>
          <w:rFonts w:ascii="微软雅黑" w:hAnsi="微软雅黑" w:eastAsia="微软雅黑"/>
          <w:b w:val="0"/>
          <w:sz w:val="20"/>
        </w:rPr>
        <w:t>：调整后会影响玩家提现体验，需与风控和财务口径一致。</w:t>
      </w:r>
    </w:p>
    <w:p w14:paraId="233CA22C">
      <w:pPr>
        <w:pStyle w:val="5"/>
        <w:keepNext/>
        <w:spacing w:before="180" w:after="100" w:line="259" w:lineRule="auto"/>
      </w:pPr>
      <w:r>
        <w:rPr>
          <w:rFonts w:ascii="微软雅黑" w:hAnsi="微软雅黑" w:eastAsia="微软雅黑"/>
          <w:b/>
          <w:color w:val="2F5597"/>
          <w:sz w:val="25"/>
        </w:rPr>
        <w:t>会员充值配置</w:t>
      </w:r>
    </w:p>
    <w:p>
      <w:pPr>
        <w:pStyle w:val="16"/>
      </w:pPr>
      <w:r>
        <w:rPr>
          <w:rFonts w:ascii="微软雅黑" w:hAnsi="微软雅黑" w:eastAsia="微软雅黑"/>
          <w:b/>
          <w:color w:val="2F5597"/>
          <w:sz w:val="20"/>
        </w:rPr>
        <w:t>页面功能</w:t>
      </w:r>
      <w:r>
        <w:rPr>
          <w:rFonts w:ascii="微软雅黑" w:hAnsi="微软雅黑" w:eastAsia="微软雅黑"/>
          <w:b w:val="0"/>
          <w:sz w:val="20"/>
        </w:rPr>
        <w:t>：用于配置会员充值入口、限额和展示规则。</w:t>
      </w:r>
    </w:p>
    <w:p>
      <w:pPr>
        <w:pStyle w:val="16"/>
      </w:pPr>
      <w:r>
        <w:rPr>
          <w:rFonts w:ascii="微软雅黑" w:hAnsi="微软雅黑" w:eastAsia="微软雅黑"/>
          <w:b/>
          <w:color w:val="2F5597"/>
          <w:sz w:val="20"/>
        </w:rPr>
        <w:t>主要操作</w:t>
      </w:r>
      <w:r>
        <w:rPr>
          <w:rFonts w:ascii="微软雅黑" w:hAnsi="微软雅黑" w:eastAsia="微软雅黑"/>
          <w:b w:val="0"/>
          <w:sz w:val="20"/>
        </w:rPr>
        <w:t>：维护充值金额、通道展示、优惠提示和启停状态。</w:t>
      </w:r>
    </w:p>
    <w:p>
      <w:pPr>
        <w:pStyle w:val="16"/>
      </w:pPr>
      <w:r>
        <w:rPr>
          <w:rFonts w:ascii="微软雅黑" w:hAnsi="微软雅黑" w:eastAsia="微软雅黑"/>
          <w:b/>
          <w:color w:val="2F5597"/>
          <w:sz w:val="20"/>
        </w:rPr>
        <w:t>使用说明</w:t>
      </w:r>
      <w:r>
        <w:rPr>
          <w:rFonts w:ascii="微软雅黑" w:hAnsi="微软雅黑" w:eastAsia="微软雅黑"/>
          <w:b w:val="0"/>
          <w:sz w:val="20"/>
        </w:rPr>
        <w:t>：保存前确认充值通道可用、金额范围合理、前台展示正确。</w:t>
      </w:r>
    </w:p>
    <w:p w14:paraId="1C845537">
      <w:pPr>
        <w:pStyle w:val="5"/>
        <w:keepNext/>
        <w:spacing w:before="180" w:after="100" w:line="259" w:lineRule="auto"/>
      </w:pPr>
      <w:r>
        <w:rPr>
          <w:rFonts w:ascii="微软雅黑" w:hAnsi="微软雅黑" w:eastAsia="微软雅黑"/>
          <w:b/>
          <w:color w:val="2F5597"/>
          <w:sz w:val="25"/>
        </w:rPr>
        <w:t>充值订单列表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：用于查询会员充值订单和订单状态。</w:t>
      </w:r>
    </w:p>
    <w:p>
      <w:pPr>
        <w:pStyle w:val="16"/>
      </w:pPr>
      <w:r>
        <w:rPr>
          <w:rFonts w:ascii="微软雅黑" w:hAnsi="微软雅黑" w:eastAsia="微软雅黑"/>
          <w:b/>
          <w:color w:val="2F5597"/>
          <w:sz w:val="20"/>
        </w:rPr>
        <w:t>主要操作</w:t>
      </w:r>
      <w:r>
        <w:rPr>
          <w:rFonts w:ascii="微软雅黑" w:hAnsi="微软雅黑" w:eastAsia="微软雅黑"/>
          <w:b w:val="0"/>
          <w:sz w:val="20"/>
        </w:rPr>
        <w:t>：按会员、订单号、通道、状态或时间筛选，查看订单详情。</w:t>
      </w:r>
    </w:p>
    <w:p>
      <w:pPr>
        <w:pStyle w:val="16"/>
      </w:pPr>
      <w:r>
        <w:rPr>
          <w:rFonts w:ascii="微软雅黑" w:hAnsi="微软雅黑" w:eastAsia="微软雅黑"/>
          <w:b/>
          <w:color w:val="2F5597"/>
          <w:sz w:val="20"/>
        </w:rPr>
        <w:t>使用说明</w:t>
      </w:r>
      <w:r>
        <w:rPr>
          <w:rFonts w:ascii="微软雅黑" w:hAnsi="微软雅黑" w:eastAsia="微软雅黑"/>
          <w:b w:val="0"/>
          <w:sz w:val="20"/>
        </w:rPr>
        <w:t>：处理充值问题时应核对支付状态、到账状态和账变记录。</w:t>
      </w:r>
    </w:p>
    <w:p w14:paraId="55C231D4">
      <w:pPr>
        <w:pStyle w:val="5"/>
        <w:keepNext/>
        <w:spacing w:before="180" w:after="100" w:line="259" w:lineRule="auto"/>
      </w:pPr>
      <w:r>
        <w:rPr>
          <w:rFonts w:ascii="微软雅黑" w:hAnsi="微软雅黑" w:eastAsia="微软雅黑"/>
          <w:b/>
          <w:color w:val="2F5597"/>
          <w:sz w:val="25"/>
        </w:rPr>
        <w:t>提现订单列表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：用于查询会员提现订单和处理进度。</w:t>
      </w:r>
    </w:p>
    <w:p>
      <w:pPr>
        <w:pStyle w:val="16"/>
      </w:pPr>
      <w:r>
        <w:rPr>
          <w:rFonts w:ascii="微软雅黑" w:hAnsi="微软雅黑" w:eastAsia="微软雅黑"/>
          <w:b/>
          <w:color w:val="2F5597"/>
          <w:sz w:val="20"/>
        </w:rPr>
        <w:t>主要操作</w:t>
      </w:r>
      <w:r>
        <w:rPr>
          <w:rFonts w:ascii="微软雅黑" w:hAnsi="微软雅黑" w:eastAsia="微软雅黑"/>
          <w:b w:val="0"/>
          <w:sz w:val="20"/>
        </w:rPr>
        <w:t>：按会员、订单号、状态或时间筛选，查看审核和出款信息。</w:t>
      </w:r>
    </w:p>
    <w:p>
      <w:pPr>
        <w:pStyle w:val="16"/>
      </w:pPr>
      <w:r>
        <w:rPr>
          <w:rFonts w:ascii="微软雅黑" w:hAnsi="微软雅黑" w:eastAsia="微软雅黑"/>
          <w:b/>
          <w:color w:val="2F5597"/>
          <w:sz w:val="20"/>
        </w:rPr>
        <w:t>使用说明</w:t>
      </w:r>
      <w:r>
        <w:rPr>
          <w:rFonts w:ascii="微软雅黑" w:hAnsi="微软雅黑" w:eastAsia="微软雅黑"/>
          <w:b w:val="0"/>
          <w:sz w:val="20"/>
        </w:rPr>
        <w:t>：处理前核对账户信息、风控结果和资金状态。</w:t>
      </w:r>
    </w:p>
    <w:p w14:paraId="738BC6AE">
      <w:pPr>
        <w:pStyle w:val="5"/>
        <w:keepNext/>
        <w:spacing w:before="180" w:after="100" w:line="259" w:lineRule="auto"/>
      </w:pPr>
      <w:r>
        <w:rPr>
          <w:rFonts w:ascii="微软雅黑" w:hAnsi="微软雅黑" w:eastAsia="微软雅黑"/>
          <w:b/>
          <w:color w:val="2F5597"/>
          <w:sz w:val="25"/>
        </w:rPr>
        <w:t>提现风控审核</w:t>
      </w:r>
    </w:p>
    <w:p>
      <w:pPr>
        <w:pStyle w:val="16"/>
      </w:pPr>
      <w:r>
        <w:rPr>
          <w:rFonts w:ascii="微软雅黑" w:hAnsi="微软雅黑" w:eastAsia="微软雅黑"/>
          <w:b/>
          <w:color w:val="2F5597"/>
          <w:sz w:val="20"/>
        </w:rPr>
        <w:t>页面功能</w:t>
      </w:r>
      <w:r>
        <w:rPr>
          <w:rFonts w:ascii="微软雅黑" w:hAnsi="微软雅黑" w:eastAsia="微软雅黑"/>
          <w:b w:val="0"/>
          <w:sz w:val="20"/>
        </w:rPr>
        <w:t>：用于处理触发风控的提现订单。</w:t>
      </w:r>
    </w:p>
    <w:p>
      <w:pPr>
        <w:pStyle w:val="16"/>
      </w:pPr>
      <w:r>
        <w:rPr>
          <w:rFonts w:ascii="微软雅黑" w:hAnsi="微软雅黑" w:eastAsia="微软雅黑"/>
          <w:b/>
          <w:color w:val="2F5597"/>
          <w:sz w:val="20"/>
        </w:rPr>
        <w:t>主要操作</w:t>
      </w:r>
      <w:r>
        <w:rPr>
          <w:rFonts w:ascii="微软雅黑" w:hAnsi="微软雅黑" w:eastAsia="微软雅黑"/>
          <w:b w:val="0"/>
          <w:sz w:val="20"/>
        </w:rPr>
        <w:t>：查看风控原因、会员信息和订单详情，执行通过、拒绝或补充审核。</w:t>
      </w:r>
    </w:p>
    <w:p>
      <w:pPr>
        <w:pStyle w:val="16"/>
      </w:pPr>
      <w:r>
        <w:rPr>
          <w:rFonts w:ascii="微软雅黑" w:hAnsi="微软雅黑" w:eastAsia="微软雅黑"/>
          <w:b/>
          <w:color w:val="2F5597"/>
          <w:sz w:val="20"/>
        </w:rPr>
        <w:t>使用说明</w:t>
      </w:r>
      <w:r>
        <w:rPr>
          <w:rFonts w:ascii="微软雅黑" w:hAnsi="微软雅黑" w:eastAsia="微软雅黑"/>
          <w:b w:val="0"/>
          <w:sz w:val="20"/>
        </w:rPr>
        <w:t>：审核结果会影响资金出款，需按风控规则和财务要求处理。</w:t>
      </w:r>
    </w:p>
    <w:p w14:paraId="0761347B">
      <w:pPr>
        <w:pStyle w:val="5"/>
        <w:keepNext/>
        <w:spacing w:before="180" w:after="100" w:line="259" w:lineRule="auto"/>
      </w:pPr>
      <w:r>
        <w:rPr>
          <w:rFonts w:ascii="微软雅黑" w:hAnsi="微软雅黑" w:eastAsia="微软雅黑"/>
          <w:b/>
          <w:color w:val="2F5597"/>
          <w:sz w:val="25"/>
        </w:rPr>
        <w:t>支付通道数据</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：用于查看支付通道的交易和成功率数据。</w:t>
      </w:r>
    </w:p>
    <w:p>
      <w:pPr>
        <w:pStyle w:val="16"/>
      </w:pPr>
      <w:r>
        <w:rPr>
          <w:rFonts w:ascii="微软雅黑" w:hAnsi="微软雅黑" w:eastAsia="微软雅黑"/>
          <w:b/>
          <w:color w:val="2F5597"/>
          <w:sz w:val="20"/>
        </w:rPr>
        <w:t>主要操作</w:t>
      </w:r>
      <w:r>
        <w:rPr>
          <w:rFonts w:ascii="微软雅黑" w:hAnsi="微软雅黑" w:eastAsia="微软雅黑"/>
          <w:b w:val="0"/>
          <w:sz w:val="20"/>
        </w:rPr>
        <w:t>：按通道、时间或状态筛选，查看充值笔数、金额和成功率。</w:t>
      </w:r>
    </w:p>
    <w:p>
      <w:pPr>
        <w:pStyle w:val="16"/>
      </w:pPr>
      <w:r>
        <w:rPr>
          <w:rFonts w:ascii="微软雅黑" w:hAnsi="微软雅黑" w:eastAsia="微软雅黑"/>
          <w:b/>
          <w:color w:val="2F5597"/>
          <w:sz w:val="20"/>
        </w:rPr>
        <w:t>使用说明</w:t>
      </w:r>
      <w:r>
        <w:rPr>
          <w:rFonts w:ascii="微软雅黑" w:hAnsi="微软雅黑" w:eastAsia="微软雅黑"/>
          <w:b w:val="0"/>
          <w:sz w:val="20"/>
        </w:rPr>
        <w:t>：用于判断通道质量，异常时联系通道配置或财务人员处理。</w:t>
      </w:r>
    </w:p>
    <w:p w14:paraId="0CF38EB6">
      <w:pPr>
        <w:pStyle w:val="5"/>
        <w:keepNext/>
        <w:spacing w:before="180" w:after="100" w:line="259" w:lineRule="auto"/>
      </w:pPr>
      <w:r>
        <w:rPr>
          <w:rFonts w:ascii="微软雅黑" w:hAnsi="微软雅黑" w:eastAsia="微软雅黑"/>
          <w:b/>
          <w:color w:val="2F5597"/>
          <w:sz w:val="25"/>
        </w:rPr>
        <w:t>人工加扣款</w:t>
      </w:r>
    </w:p>
    <w:p>
      <w:pPr>
        <w:pStyle w:val="16"/>
      </w:pPr>
      <w:r>
        <w:rPr>
          <w:rFonts w:ascii="微软雅黑" w:hAnsi="微软雅黑" w:eastAsia="微软雅黑"/>
          <w:b/>
          <w:color w:val="2F5597"/>
          <w:sz w:val="20"/>
        </w:rPr>
        <w:t>页面功能</w:t>
      </w:r>
      <w:r>
        <w:rPr>
          <w:rFonts w:ascii="微软雅黑" w:hAnsi="微软雅黑" w:eastAsia="微软雅黑"/>
          <w:b w:val="0"/>
          <w:sz w:val="20"/>
        </w:rPr>
        <w:t>：用于对会员账户执行人工加款或扣款。</w:t>
      </w:r>
    </w:p>
    <w:p>
      <w:pPr>
        <w:pStyle w:val="16"/>
      </w:pPr>
      <w:r>
        <w:rPr>
          <w:rFonts w:ascii="微软雅黑" w:hAnsi="微软雅黑" w:eastAsia="微软雅黑"/>
          <w:b/>
          <w:color w:val="2F5597"/>
          <w:sz w:val="20"/>
        </w:rPr>
        <w:t>主要操作</w:t>
      </w:r>
      <w:r>
        <w:rPr>
          <w:rFonts w:ascii="微软雅黑" w:hAnsi="微软雅黑" w:eastAsia="微软雅黑"/>
          <w:b w:val="0"/>
          <w:sz w:val="20"/>
        </w:rPr>
        <w:t>：填写会员、金额、类型和备注，提交后查看处理结果。</w:t>
      </w:r>
    </w:p>
    <w:p>
      <w:pPr>
        <w:pStyle w:val="16"/>
      </w:pPr>
      <w:r>
        <w:rPr>
          <w:rFonts w:ascii="微软雅黑" w:hAnsi="微软雅黑" w:eastAsia="微软雅黑"/>
          <w:b/>
          <w:color w:val="2F5597"/>
          <w:sz w:val="20"/>
        </w:rPr>
        <w:t>使用说明</w:t>
      </w:r>
      <w:r>
        <w:rPr>
          <w:rFonts w:ascii="微软雅黑" w:hAnsi="微软雅黑" w:eastAsia="微软雅黑"/>
          <w:b w:val="0"/>
          <w:sz w:val="20"/>
        </w:rPr>
        <w:t>：此操作直接影响会员余额，提交前必须核对会员和金额。</w:t>
      </w:r>
    </w:p>
    <w:p w14:paraId="53760425">
      <w:pPr>
        <w:pStyle w:val="5"/>
        <w:keepNext/>
        <w:spacing w:before="180" w:after="100" w:line="259" w:lineRule="auto"/>
      </w:pPr>
      <w:r>
        <w:rPr>
          <w:rFonts w:ascii="微软雅黑" w:hAnsi="微软雅黑" w:eastAsia="微软雅黑"/>
          <w:b/>
          <w:color w:val="2F5597"/>
          <w:sz w:val="25"/>
        </w:rPr>
        <w:t>账变记录</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：用于查询会员资金变动明细。</w:t>
      </w:r>
    </w:p>
    <w:p>
      <w:pPr>
        <w:pStyle w:val="16"/>
      </w:pPr>
      <w:r>
        <w:rPr>
          <w:rFonts w:ascii="微软雅黑" w:hAnsi="微软雅黑" w:eastAsia="微软雅黑"/>
          <w:b/>
          <w:color w:val="2F5597"/>
          <w:sz w:val="20"/>
        </w:rPr>
        <w:t>主要操作</w:t>
      </w:r>
      <w:r>
        <w:rPr>
          <w:rFonts w:ascii="微软雅黑" w:hAnsi="微软雅黑" w:eastAsia="微软雅黑"/>
          <w:b w:val="0"/>
          <w:sz w:val="20"/>
        </w:rPr>
        <w:t>：按会员、账变类型、订单号或时间筛选，查看余额变化。</w:t>
      </w:r>
    </w:p>
    <w:p>
      <w:pPr>
        <w:pStyle w:val="16"/>
      </w:pPr>
      <w:r>
        <w:rPr>
          <w:rFonts w:ascii="微软雅黑" w:hAnsi="微软雅黑" w:eastAsia="微软雅黑"/>
          <w:b/>
          <w:color w:val="2F5597"/>
          <w:sz w:val="20"/>
        </w:rPr>
        <w:t>使用说明</w:t>
      </w:r>
      <w:r>
        <w:rPr>
          <w:rFonts w:ascii="微软雅黑" w:hAnsi="微软雅黑" w:eastAsia="微软雅黑"/>
          <w:b w:val="0"/>
          <w:sz w:val="20"/>
        </w:rPr>
        <w:t>：排查资金问题时优先结合订单、活动和人工加扣款记录核对。</w:t>
      </w:r>
    </w:p>
    <w:p w14:paraId="124545B9">
      <w:pPr>
        <w:pStyle w:val="5"/>
        <w:keepNext/>
        <w:spacing w:before="180" w:after="100" w:line="259" w:lineRule="auto"/>
      </w:pPr>
      <w:r>
        <w:rPr>
          <w:rFonts w:ascii="微软雅黑" w:hAnsi="微软雅黑" w:eastAsia="微软雅黑"/>
          <w:b/>
          <w:color w:val="2F5597"/>
          <w:sz w:val="25"/>
        </w:rPr>
        <w:t>资金账变类型</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：用于维护资金账变类型和展示名称。</w:t>
      </w:r>
    </w:p>
    <w:p>
      <w:pPr>
        <w:pStyle w:val="16"/>
      </w:pPr>
      <w:r>
        <w:rPr>
          <w:rFonts w:ascii="微软雅黑" w:hAnsi="微软雅黑" w:eastAsia="微软雅黑"/>
          <w:b/>
          <w:color w:val="2F5597"/>
          <w:sz w:val="20"/>
        </w:rPr>
        <w:t>主要操作</w:t>
      </w:r>
      <w:r>
        <w:rPr>
          <w:rFonts w:ascii="微软雅黑" w:hAnsi="微软雅黑" w:eastAsia="微软雅黑"/>
          <w:b w:val="0"/>
          <w:sz w:val="20"/>
        </w:rPr>
        <w:t>：查看、启用、停用或调整账变类型配置。</w:t>
      </w:r>
    </w:p>
    <w:p>
      <w:pPr>
        <w:pStyle w:val="16"/>
      </w:pPr>
      <w:r>
        <w:rPr>
          <w:rFonts w:ascii="微软雅黑" w:hAnsi="微软雅黑" w:eastAsia="微软雅黑"/>
          <w:b/>
          <w:color w:val="2F5597"/>
          <w:sz w:val="20"/>
        </w:rPr>
        <w:t>使用说明</w:t>
      </w:r>
      <w:r>
        <w:rPr>
          <w:rFonts w:ascii="微软雅黑" w:hAnsi="微软雅黑" w:eastAsia="微软雅黑"/>
          <w:b w:val="0"/>
          <w:sz w:val="20"/>
        </w:rPr>
        <w:t>：类型配置会影响账变筛选和前后台展示，调整前需确认口径。</w:t>
      </w:r>
    </w:p>
    <w:p w14:paraId="3E3C5FA6">
      <w:pPr>
        <w:pStyle w:val="5"/>
        <w:keepNext/>
        <w:spacing w:before="180" w:after="100" w:line="259" w:lineRule="auto"/>
      </w:pPr>
      <w:r>
        <w:rPr>
          <w:rFonts w:ascii="微软雅黑" w:hAnsi="微软雅黑" w:eastAsia="微软雅黑"/>
          <w:b/>
          <w:color w:val="2F5597"/>
          <w:sz w:val="25"/>
        </w:rPr>
        <w:t>打码管理</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：用于查看和管理会员打码量要求。</w:t>
      </w:r>
    </w:p>
    <w:p>
      <w:pPr>
        <w:pStyle w:val="16"/>
      </w:pPr>
      <w:r>
        <w:rPr>
          <w:rFonts w:ascii="微软雅黑" w:hAnsi="微软雅黑" w:eastAsia="微软雅黑"/>
          <w:b/>
          <w:color w:val="2F5597"/>
          <w:sz w:val="20"/>
        </w:rPr>
        <w:t>主要操作</w:t>
      </w:r>
      <w:r>
        <w:rPr>
          <w:rFonts w:ascii="微软雅黑" w:hAnsi="微软雅黑" w:eastAsia="微软雅黑"/>
          <w:b w:val="0"/>
          <w:sz w:val="20"/>
        </w:rPr>
        <w:t>：查询会员打码进度，核对活动、充值或人工调整产生的打码要求。</w:t>
      </w:r>
    </w:p>
    <w:p>
      <w:pPr>
        <w:pStyle w:val="16"/>
      </w:pPr>
      <w:r>
        <w:rPr>
          <w:rFonts w:ascii="微软雅黑" w:hAnsi="微软雅黑" w:eastAsia="微软雅黑"/>
          <w:b/>
          <w:color w:val="2F5597"/>
          <w:sz w:val="20"/>
        </w:rPr>
        <w:t>使用说明</w:t>
      </w:r>
      <w:r>
        <w:rPr>
          <w:rFonts w:ascii="微软雅黑" w:hAnsi="微软雅黑" w:eastAsia="微软雅黑"/>
          <w:b w:val="0"/>
          <w:sz w:val="20"/>
        </w:rPr>
        <w:t>：处理提现或活动问题时，应结合打码完成情况判断。</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：用于查看站点综合运营数据。</w:t>
      </w:r>
    </w:p>
    <w:p>
      <w:pPr>
        <w:pStyle w:val="16"/>
      </w:pPr>
      <w:r>
        <w:rPr>
          <w:rFonts w:ascii="微软雅黑" w:hAnsi="微软雅黑" w:eastAsia="微软雅黑"/>
          <w:b/>
          <w:color w:val="2F5597"/>
          <w:sz w:val="20"/>
        </w:rPr>
        <w:t>主要操作</w:t>
      </w:r>
      <w:r>
        <w:rPr>
          <w:rFonts w:ascii="微软雅黑" w:hAnsi="微软雅黑" w:eastAsia="微软雅黑"/>
          <w:b w:val="0"/>
          <w:sz w:val="20"/>
        </w:rPr>
        <w:t>：按时间筛选充值、提现、投注、输赢、会员等关键指标。</w:t>
      </w:r>
    </w:p>
    <w:p>
      <w:pPr>
        <w:pStyle w:val="16"/>
      </w:pPr>
      <w:r>
        <w:rPr>
          <w:rFonts w:ascii="微软雅黑" w:hAnsi="微软雅黑" w:eastAsia="微软雅黑"/>
          <w:b/>
          <w:color w:val="2F5597"/>
          <w:sz w:val="20"/>
        </w:rPr>
        <w:t>使用说明</w:t>
      </w:r>
      <w:r>
        <w:rPr>
          <w:rFonts w:ascii="微软雅黑" w:hAnsi="微软雅黑" w:eastAsia="微软雅黑"/>
          <w:b w:val="0"/>
          <w:sz w:val="20"/>
        </w:rPr>
        <w:t>：用于日常经营看板和趋势分析，需注意筛选时间口径。</w:t>
      </w:r>
    </w:p>
    <w:p w14:paraId="2D9CF65D">
      <w:pPr>
        <w:pStyle w:val="5"/>
        <w:keepNext/>
        <w:spacing w:before="180" w:after="100" w:line="259" w:lineRule="auto"/>
      </w:pPr>
      <w:r>
        <w:rPr>
          <w:rFonts w:ascii="微软雅黑" w:hAnsi="微软雅黑" w:eastAsia="微软雅黑"/>
          <w:b/>
          <w:color w:val="2F5597"/>
          <w:sz w:val="25"/>
        </w:rPr>
        <w:t>游戏人数据表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：用于查看游戏维度的玩家人数数据。</w:t>
      </w:r>
    </w:p>
    <w:p>
      <w:pPr>
        <w:pStyle w:val="16"/>
      </w:pPr>
      <w:r>
        <w:rPr>
          <w:rFonts w:ascii="微软雅黑" w:hAnsi="微软雅黑" w:eastAsia="微软雅黑"/>
          <w:b/>
          <w:color w:val="2F5597"/>
          <w:sz w:val="20"/>
        </w:rPr>
        <w:t>主要操作</w:t>
      </w:r>
      <w:r>
        <w:rPr>
          <w:rFonts w:ascii="微软雅黑" w:hAnsi="微软雅黑" w:eastAsia="微软雅黑"/>
          <w:b w:val="0"/>
          <w:sz w:val="20"/>
        </w:rPr>
        <w:t>：按时间、游戏或渠道筛选，查看活跃、投注和参与人数。</w:t>
      </w:r>
    </w:p>
    <w:p>
      <w:pPr>
        <w:pStyle w:val="16"/>
      </w:pPr>
      <w:r>
        <w:rPr>
          <w:rFonts w:ascii="微软雅黑" w:hAnsi="微软雅黑" w:eastAsia="微软雅黑"/>
          <w:b/>
          <w:color w:val="2F5597"/>
          <w:sz w:val="20"/>
        </w:rPr>
        <w:t>使用说明</w:t>
      </w:r>
      <w:r>
        <w:rPr>
          <w:rFonts w:ascii="微软雅黑" w:hAnsi="微软雅黑" w:eastAsia="微软雅黑"/>
          <w:b w:val="0"/>
          <w:sz w:val="20"/>
        </w:rPr>
        <w:t>：用于判断游戏热度和玩家分布，分析时结合投注报表。</w:t>
      </w:r>
    </w:p>
    <w:p w14:paraId="4F380F61">
      <w:pPr>
        <w:pStyle w:val="5"/>
        <w:keepNext/>
        <w:spacing w:before="180" w:after="100" w:line="259" w:lineRule="auto"/>
      </w:pPr>
      <w:r>
        <w:rPr>
          <w:rFonts w:ascii="微软雅黑" w:hAnsi="微软雅黑" w:eastAsia="微软雅黑"/>
          <w:b/>
          <w:color w:val="2F5597"/>
          <w:sz w:val="25"/>
        </w:rPr>
        <w:t>优惠数据报表</w:t>
      </w:r>
    </w:p>
    <w:p w14:paraId="370C463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用于处理“优惠数据报表”相关后台业务，具体说明可在后续补充截图时继续细化。</w:t>
      </w:r>
    </w:p>
    <w:p w14:paraId="0B41744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1F8873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F72DC0E">
      <w:pPr>
        <w:pStyle w:val="5"/>
        <w:keepNext/>
        <w:spacing w:before="180" w:after="100" w:line="259" w:lineRule="auto"/>
      </w:pPr>
      <w:r>
        <w:rPr>
          <w:rFonts w:ascii="微软雅黑" w:hAnsi="微软雅黑" w:eastAsia="微软雅黑"/>
          <w:b/>
          <w:color w:val="2F5597"/>
          <w:sz w:val="25"/>
        </w:rPr>
        <w:t>充值留存报表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：用于查看充值用户后续留存情况。</w:t>
      </w:r>
    </w:p>
    <w:p>
      <w:pPr>
        <w:pStyle w:val="16"/>
      </w:pPr>
      <w:r>
        <w:rPr>
          <w:rFonts w:ascii="微软雅黑" w:hAnsi="微软雅黑" w:eastAsia="微软雅黑"/>
          <w:b/>
          <w:color w:val="2F5597"/>
          <w:sz w:val="20"/>
        </w:rPr>
        <w:t>主要操作</w:t>
      </w:r>
      <w:r>
        <w:rPr>
          <w:rFonts w:ascii="微软雅黑" w:hAnsi="微软雅黑" w:eastAsia="微软雅黑"/>
          <w:b w:val="0"/>
          <w:sz w:val="20"/>
        </w:rPr>
        <w:t>：按首充日期、渠道或站点筛选，查看次日、多日留存。</w:t>
      </w:r>
    </w:p>
    <w:p>
      <w:pPr>
        <w:pStyle w:val="16"/>
      </w:pPr>
      <w:r>
        <w:rPr>
          <w:rFonts w:ascii="微软雅黑" w:hAnsi="微软雅黑" w:eastAsia="微软雅黑"/>
          <w:b/>
          <w:color w:val="2F5597"/>
          <w:sz w:val="20"/>
        </w:rPr>
        <w:t>使用说明</w:t>
      </w:r>
      <w:r>
        <w:rPr>
          <w:rFonts w:ascii="微软雅黑" w:hAnsi="微软雅黑" w:eastAsia="微软雅黑"/>
          <w:b w:val="0"/>
          <w:sz w:val="20"/>
        </w:rPr>
        <w:t>：用于评估充值用户质量和运营活动效果。</w:t>
      </w:r>
    </w:p>
    <w:p w14:paraId="6B51C8CF">
      <w:pPr>
        <w:pStyle w:val="5"/>
        <w:keepNext/>
        <w:spacing w:before="180" w:after="100" w:line="259" w:lineRule="auto"/>
      </w:pPr>
      <w:r>
        <w:rPr>
          <w:rFonts w:ascii="微软雅黑" w:hAnsi="微软雅黑" w:eastAsia="微软雅黑"/>
          <w:b/>
          <w:color w:val="2F5597"/>
          <w:sz w:val="25"/>
        </w:rPr>
        <w:t>代理结算明细</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：用于查看代理结算明细和结算结果。</w:t>
      </w:r>
    </w:p>
    <w:p>
      <w:pPr>
        <w:pStyle w:val="16"/>
      </w:pPr>
      <w:r>
        <w:rPr>
          <w:rFonts w:ascii="微软雅黑" w:hAnsi="微软雅黑" w:eastAsia="微软雅黑"/>
          <w:b/>
          <w:color w:val="2F5597"/>
          <w:sz w:val="20"/>
        </w:rPr>
        <w:t>主要操作</w:t>
      </w:r>
      <w:r>
        <w:rPr>
          <w:rFonts w:ascii="微软雅黑" w:hAnsi="微软雅黑" w:eastAsia="微软雅黑"/>
          <w:b w:val="0"/>
          <w:sz w:val="20"/>
        </w:rPr>
        <w:t>：按代理、结算周期或状态筛选，查看佣金、返水和调整项。</w:t>
      </w:r>
    </w:p>
    <w:p>
      <w:pPr>
        <w:pStyle w:val="16"/>
      </w:pPr>
      <w:r>
        <w:rPr>
          <w:rFonts w:ascii="微软雅黑" w:hAnsi="微软雅黑" w:eastAsia="微软雅黑"/>
          <w:b/>
          <w:color w:val="2F5597"/>
          <w:sz w:val="20"/>
        </w:rPr>
        <w:t>使用说明</w:t>
      </w:r>
      <w:r>
        <w:rPr>
          <w:rFonts w:ascii="微软雅黑" w:hAnsi="微软雅黑" w:eastAsia="微软雅黑"/>
          <w:b w:val="0"/>
          <w:sz w:val="20"/>
        </w:rPr>
        <w:t>：结算前需核对代理配置、会员数据和异常调整。</w:t>
      </w:r>
    </w:p>
    <w:p w14:paraId="028AA85F">
      <w:pPr>
        <w:pStyle w:val="5"/>
        <w:keepNext/>
        <w:spacing w:before="180" w:after="100" w:line="259" w:lineRule="auto"/>
      </w:pPr>
      <w:r>
        <w:rPr>
          <w:rFonts w:ascii="微软雅黑" w:hAnsi="微软雅黑" w:eastAsia="微软雅黑"/>
          <w:b/>
          <w:color w:val="2F5597"/>
          <w:sz w:val="25"/>
        </w:rPr>
        <w:t>VIP数据统计</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：用于统计各 VIP 等级会员数据。</w:t>
      </w:r>
    </w:p>
    <w:p>
      <w:pPr>
        <w:pStyle w:val="16"/>
      </w:pPr>
      <w:r>
        <w:rPr>
          <w:rFonts w:ascii="微软雅黑" w:hAnsi="微软雅黑" w:eastAsia="微软雅黑"/>
          <w:b/>
          <w:color w:val="2F5597"/>
          <w:sz w:val="20"/>
        </w:rPr>
        <w:t>主要操作</w:t>
      </w:r>
      <w:r>
        <w:rPr>
          <w:rFonts w:ascii="微软雅黑" w:hAnsi="微软雅黑" w:eastAsia="微软雅黑"/>
          <w:b w:val="0"/>
          <w:sz w:val="20"/>
        </w:rPr>
        <w:t>：按时间或等级查看会员数量、充值、投注和升降级情况。</w:t>
      </w:r>
    </w:p>
    <w:p>
      <w:pPr>
        <w:pStyle w:val="16"/>
      </w:pPr>
      <w:r>
        <w:rPr>
          <w:rFonts w:ascii="微软雅黑" w:hAnsi="微软雅黑" w:eastAsia="微软雅黑"/>
          <w:b/>
          <w:color w:val="2F5597"/>
          <w:sz w:val="20"/>
        </w:rPr>
        <w:t>使用说明</w:t>
      </w:r>
      <w:r>
        <w:rPr>
          <w:rFonts w:ascii="微软雅黑" w:hAnsi="微软雅黑" w:eastAsia="微软雅黑"/>
          <w:b w:val="0"/>
          <w:sz w:val="20"/>
        </w:rPr>
        <w:t>：用于评估 VIP 结构和高价值会员运营效果。</w:t>
      </w:r>
    </w:p>
    <w:p w14:paraId="0928B106">
      <w:pPr>
        <w:pStyle w:val="5"/>
        <w:keepNext/>
        <w:spacing w:before="180" w:after="100" w:line="259" w:lineRule="auto"/>
      </w:pPr>
      <w:r>
        <w:rPr>
          <w:rFonts w:ascii="微软雅黑" w:hAnsi="微软雅黑" w:eastAsia="微软雅黑"/>
          <w:b/>
          <w:color w:val="2F5597"/>
          <w:sz w:val="25"/>
        </w:rPr>
        <w:t>数据排行</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：用于查看会员、游戏或渠道相关排行。</w:t>
      </w:r>
    </w:p>
    <w:p>
      <w:pPr>
        <w:pStyle w:val="16"/>
      </w:pPr>
      <w:r>
        <w:rPr>
          <w:rFonts w:ascii="微软雅黑" w:hAnsi="微软雅黑" w:eastAsia="微软雅黑"/>
          <w:b/>
          <w:color w:val="2F5597"/>
          <w:sz w:val="20"/>
        </w:rPr>
        <w:t>主要操作</w:t>
      </w:r>
      <w:r>
        <w:rPr>
          <w:rFonts w:ascii="微软雅黑" w:hAnsi="微软雅黑" w:eastAsia="微软雅黑"/>
          <w:b w:val="0"/>
          <w:sz w:val="20"/>
        </w:rPr>
        <w:t>：按指标和时间筛选，查看充值、投注、输赢等排名。</w:t>
      </w:r>
    </w:p>
    <w:p>
      <w:pPr>
        <w:pStyle w:val="16"/>
      </w:pPr>
      <w:r>
        <w:rPr>
          <w:rFonts w:ascii="微软雅黑" w:hAnsi="微软雅黑" w:eastAsia="微软雅黑"/>
          <w:b/>
          <w:color w:val="2F5597"/>
          <w:sz w:val="20"/>
        </w:rPr>
        <w:t>使用说明</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pPr>
      <w:r>
        <w:rPr>
          <w:rFonts w:ascii="微软雅黑" w:hAnsi="微软雅黑" w:eastAsia="微软雅黑"/>
          <w:b/>
          <w:color w:val="2F5597"/>
          <w:sz w:val="25"/>
        </w:rPr>
        <w:t>游戏记录</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：用于查询玩家游戏投注记录。</w:t>
      </w:r>
    </w:p>
    <w:p>
      <w:pPr>
        <w:pStyle w:val="16"/>
      </w:pPr>
      <w:r>
        <w:rPr>
          <w:rFonts w:ascii="微软雅黑" w:hAnsi="微软雅黑" w:eastAsia="微软雅黑"/>
          <w:b/>
          <w:color w:val="2F5597"/>
          <w:sz w:val="20"/>
        </w:rPr>
        <w:t>主要操作</w:t>
      </w:r>
      <w:r>
        <w:rPr>
          <w:rFonts w:ascii="微软雅黑" w:hAnsi="微软雅黑" w:eastAsia="微软雅黑"/>
          <w:b w:val="0"/>
          <w:sz w:val="20"/>
        </w:rPr>
        <w:t>：按玩家、游戏、订单号、状态或时间筛选，查看投注明细。</w:t>
      </w:r>
    </w:p>
    <w:p>
      <w:pPr>
        <w:pStyle w:val="16"/>
      </w:pPr>
      <w:r>
        <w:rPr>
          <w:rFonts w:ascii="微软雅黑" w:hAnsi="微软雅黑" w:eastAsia="微软雅黑"/>
          <w:b/>
          <w:color w:val="2F5597"/>
          <w:sz w:val="20"/>
        </w:rPr>
        <w:t>使用说明</w:t>
      </w:r>
      <w:r>
        <w:rPr>
          <w:rFonts w:ascii="微软雅黑" w:hAnsi="微软雅黑" w:eastAsia="微软雅黑"/>
          <w:b w:val="0"/>
          <w:sz w:val="20"/>
        </w:rPr>
        <w:t>：排查输赢争议时应结合游戏记录、账变和订单状态。</w:t>
      </w:r>
    </w:p>
    <w:p w14:paraId="4782256E">
      <w:pPr>
        <w:pStyle w:val="5"/>
        <w:keepNext/>
        <w:spacing w:before="180" w:after="100" w:line="259" w:lineRule="auto"/>
      </w:pPr>
      <w:r>
        <w:rPr>
          <w:rFonts w:ascii="微软雅黑" w:hAnsi="微软雅黑" w:eastAsia="微软雅黑"/>
          <w:b/>
          <w:color w:val="2F5597"/>
          <w:sz w:val="25"/>
        </w:rPr>
        <w:t>用户留存</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：用于查看注册或活跃用户的留存情况。</w:t>
      </w:r>
    </w:p>
    <w:p>
      <w:pPr>
        <w:pStyle w:val="16"/>
      </w:pPr>
      <w:r>
        <w:rPr>
          <w:rFonts w:ascii="微软雅黑" w:hAnsi="微软雅黑" w:eastAsia="微软雅黑"/>
          <w:b/>
          <w:color w:val="2F5597"/>
          <w:sz w:val="20"/>
        </w:rPr>
        <w:t>主要操作</w:t>
      </w:r>
      <w:r>
        <w:rPr>
          <w:rFonts w:ascii="微软雅黑" w:hAnsi="微软雅黑" w:eastAsia="微软雅黑"/>
          <w:b w:val="0"/>
          <w:sz w:val="20"/>
        </w:rPr>
        <w:t>：按日期、渠道或用户分组筛选，查看留存比例。</w:t>
      </w:r>
    </w:p>
    <w:p>
      <w:pPr>
        <w:pStyle w:val="16"/>
      </w:pPr>
      <w:r>
        <w:rPr>
          <w:rFonts w:ascii="微软雅黑" w:hAnsi="微软雅黑" w:eastAsia="微软雅黑"/>
          <w:b/>
          <w:color w:val="2F5597"/>
          <w:sz w:val="20"/>
        </w:rPr>
        <w:t>使用说明</w:t>
      </w:r>
      <w:r>
        <w:rPr>
          <w:rFonts w:ascii="微软雅黑" w:hAnsi="微软雅黑" w:eastAsia="微软雅黑"/>
          <w:b w:val="0"/>
          <w:sz w:val="20"/>
        </w:rPr>
        <w:t>：留存分析用于评估渠道质量和运营活动效果。</w:t>
      </w:r>
    </w:p>
    <w:p w14:paraId="7F4FB0CF">
      <w:pPr>
        <w:pStyle w:val="5"/>
        <w:keepNext/>
        <w:spacing w:before="180" w:after="100" w:line="259" w:lineRule="auto"/>
      </w:pPr>
      <w:r>
        <w:rPr>
          <w:rFonts w:ascii="微软雅黑" w:hAnsi="微软雅黑" w:eastAsia="微软雅黑"/>
          <w:b/>
          <w:color w:val="2F5597"/>
          <w:sz w:val="25"/>
        </w:rPr>
        <w:t>用户分析</w:t>
      </w:r>
    </w:p>
    <w:p>
      <w:pPr>
        <w:pStyle w:val="16"/>
      </w:pPr>
      <w:r>
        <w:rPr>
          <w:rFonts w:ascii="微软雅黑" w:hAnsi="微软雅黑" w:eastAsia="微软雅黑"/>
          <w:b/>
          <w:color w:val="2F5597"/>
          <w:sz w:val="20"/>
        </w:rPr>
        <w:t>页面功能</w:t>
      </w:r>
      <w:r>
        <w:rPr>
          <w:rFonts w:ascii="微软雅黑" w:hAnsi="微软雅黑" w:eastAsia="微软雅黑"/>
          <w:b w:val="0"/>
          <w:sz w:val="20"/>
        </w:rPr>
        <w:t>：用于分析用户结构、活跃和行为数据。</w:t>
      </w:r>
    </w:p>
    <w:p>
      <w:pPr>
        <w:pStyle w:val="16"/>
      </w:pPr>
      <w:r>
        <w:rPr>
          <w:rFonts w:ascii="微软雅黑" w:hAnsi="微软雅黑" w:eastAsia="微软雅黑"/>
          <w:b/>
          <w:color w:val="2F5597"/>
          <w:sz w:val="20"/>
        </w:rPr>
        <w:t>主要操作</w:t>
      </w:r>
      <w:r>
        <w:rPr>
          <w:rFonts w:ascii="微软雅黑" w:hAnsi="微软雅黑" w:eastAsia="微软雅黑"/>
          <w:b w:val="0"/>
          <w:sz w:val="20"/>
        </w:rPr>
        <w:t>：按时间、渠道或用户类型筛选，查看新增、活跃、充值等指标。</w:t>
      </w:r>
    </w:p>
    <w:p>
      <w:pPr>
        <w:pStyle w:val="16"/>
      </w:pPr>
      <w:r>
        <w:rPr>
          <w:rFonts w:ascii="微软雅黑" w:hAnsi="微软雅黑" w:eastAsia="微软雅黑"/>
          <w:b/>
          <w:color w:val="2F5597"/>
          <w:sz w:val="20"/>
        </w:rPr>
        <w:t>使用说明</w:t>
      </w:r>
      <w:r>
        <w:rPr>
          <w:rFonts w:ascii="微软雅黑" w:hAnsi="微软雅黑" w:eastAsia="微软雅黑"/>
          <w:b w:val="0"/>
          <w:sz w:val="20"/>
        </w:rPr>
        <w:t>：用于用户运营决策，需结合留存、充值和活动数据判断。</w:t>
      </w:r>
    </w:p>
    <w:p w14:paraId="6E8DFB1B">
      <w:pPr>
        <w:pStyle w:val="5"/>
        <w:keepNext/>
        <w:spacing w:before="180" w:after="100" w:line="259" w:lineRule="auto"/>
      </w:pPr>
      <w:r>
        <w:rPr>
          <w:rFonts w:ascii="微软雅黑" w:hAnsi="微软雅黑" w:eastAsia="微软雅黑"/>
          <w:b/>
          <w:color w:val="2F5597"/>
          <w:sz w:val="25"/>
        </w:rPr>
        <w:t>LTV</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：用于查看用户生命周期价值数据。</w:t>
      </w:r>
    </w:p>
    <w:p>
      <w:pPr>
        <w:pStyle w:val="16"/>
      </w:pPr>
      <w:r>
        <w:rPr>
          <w:rFonts w:ascii="微软雅黑" w:hAnsi="微软雅黑" w:eastAsia="微软雅黑"/>
          <w:b/>
          <w:color w:val="2F5597"/>
          <w:sz w:val="20"/>
        </w:rPr>
        <w:t>主要操作</w:t>
      </w:r>
      <w:r>
        <w:rPr>
          <w:rFonts w:ascii="微软雅黑" w:hAnsi="微软雅黑" w:eastAsia="微软雅黑"/>
          <w:b w:val="0"/>
          <w:sz w:val="20"/>
        </w:rPr>
        <w:t>：按注册日期、渠道或用户分组筛选，查看不同周期价值表现。</w:t>
      </w:r>
    </w:p>
    <w:p>
      <w:pPr>
        <w:pStyle w:val="16"/>
      </w:pPr>
      <w:r>
        <w:rPr>
          <w:rFonts w:ascii="微软雅黑" w:hAnsi="微软雅黑" w:eastAsia="微软雅黑"/>
          <w:b/>
          <w:color w:val="2F5597"/>
          <w:sz w:val="20"/>
        </w:rPr>
        <w:t>使用说明</w:t>
      </w:r>
      <w:r>
        <w:rPr>
          <w:rFonts w:ascii="微软雅黑" w:hAnsi="微软雅黑" w:eastAsia="微软雅黑"/>
          <w:b w:val="0"/>
          <w:sz w:val="20"/>
        </w:rPr>
        <w:t>：用于评估投放回收和用户质量，需与渠道成本结合分析。</w:t>
      </w:r>
    </w:p>
    <w:p w14:paraId="72DD9253">
      <w:pPr>
        <w:pStyle w:val="5"/>
        <w:keepNext/>
        <w:spacing w:before="180" w:after="100" w:line="259" w:lineRule="auto"/>
      </w:pPr>
      <w:r>
        <w:rPr>
          <w:rFonts w:ascii="微软雅黑" w:hAnsi="微软雅黑" w:eastAsia="微软雅黑"/>
          <w:b/>
          <w:color w:val="2F5597"/>
          <w:sz w:val="25"/>
        </w:rPr>
        <w:t>活动统计报表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：用于统计活动参与和奖励数据。</w:t>
      </w:r>
    </w:p>
    <w:p>
      <w:pPr>
        <w:pStyle w:val="16"/>
      </w:pPr>
      <w:r>
        <w:rPr>
          <w:rFonts w:ascii="微软雅黑" w:hAnsi="微软雅黑" w:eastAsia="微软雅黑"/>
          <w:b/>
          <w:color w:val="2F5597"/>
          <w:sz w:val="20"/>
        </w:rPr>
        <w:t>主要操作</w:t>
      </w:r>
      <w:r>
        <w:rPr>
          <w:rFonts w:ascii="微软雅黑" w:hAnsi="微软雅黑" w:eastAsia="微软雅黑"/>
          <w:b w:val="0"/>
          <w:sz w:val="20"/>
        </w:rPr>
        <w:t>：按活动和时间筛选，查看参与人数、奖励金额和转化情况。</w:t>
      </w:r>
    </w:p>
    <w:p>
      <w:pPr>
        <w:pStyle w:val="16"/>
      </w:pPr>
      <w:r>
        <w:rPr>
          <w:rFonts w:ascii="微软雅黑" w:hAnsi="微软雅黑" w:eastAsia="微软雅黑"/>
          <w:b/>
          <w:color w:val="2F5597"/>
          <w:sz w:val="20"/>
        </w:rPr>
        <w:t>使用说明</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：用于查看充值金额、次数和用户分布。</w:t>
      </w:r>
    </w:p>
    <w:p>
      <w:pPr>
        <w:pStyle w:val="16"/>
      </w:pPr>
      <w:r>
        <w:rPr>
          <w:rFonts w:ascii="微软雅黑" w:hAnsi="微软雅黑" w:eastAsia="微软雅黑"/>
          <w:b/>
          <w:color w:val="2F5597"/>
          <w:sz w:val="20"/>
        </w:rPr>
        <w:t>主要操作</w:t>
      </w:r>
      <w:r>
        <w:rPr>
          <w:rFonts w:ascii="微软雅黑" w:hAnsi="微软雅黑" w:eastAsia="微软雅黑"/>
          <w:b w:val="0"/>
          <w:sz w:val="20"/>
        </w:rPr>
        <w:t>：按时间、金额区间或渠道筛选，查看充值结构。</w:t>
      </w:r>
    </w:p>
    <w:p>
      <w:pPr>
        <w:pStyle w:val="16"/>
      </w:pPr>
      <w:r>
        <w:rPr>
          <w:rFonts w:ascii="微软雅黑" w:hAnsi="微软雅黑" w:eastAsia="微软雅黑"/>
          <w:b/>
          <w:color w:val="2F5597"/>
          <w:sz w:val="20"/>
        </w:rPr>
        <w:t>使用说明</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：用于查看任务参与和完成数据。</w:t>
      </w:r>
    </w:p>
    <w:p>
      <w:pPr>
        <w:pStyle w:val="16"/>
      </w:pPr>
      <w:r>
        <w:rPr>
          <w:rFonts w:ascii="微软雅黑" w:hAnsi="微软雅黑" w:eastAsia="微软雅黑"/>
          <w:b/>
          <w:color w:val="2F5597"/>
          <w:sz w:val="20"/>
        </w:rPr>
        <w:t>主要操作</w:t>
      </w:r>
      <w:r>
        <w:rPr>
          <w:rFonts w:ascii="微软雅黑" w:hAnsi="微软雅黑" w:eastAsia="微软雅黑"/>
          <w:b w:val="0"/>
          <w:sz w:val="20"/>
        </w:rPr>
        <w:t>：按任务和时间筛选，查看参与人数、完成数和奖励发放。</w:t>
      </w:r>
    </w:p>
    <w:p>
      <w:pPr>
        <w:pStyle w:val="16"/>
      </w:pPr>
      <w:r>
        <w:rPr>
          <w:rFonts w:ascii="微软雅黑" w:hAnsi="微软雅黑" w:eastAsia="微软雅黑"/>
          <w:b/>
          <w:color w:val="2F5597"/>
          <w:sz w:val="20"/>
        </w:rPr>
        <w:t>使用说明</w:t>
      </w:r>
      <w:r>
        <w:rPr>
          <w:rFonts w:ascii="微软雅黑" w:hAnsi="微软雅黑" w:eastAsia="微软雅黑"/>
          <w:b w:val="0"/>
          <w:sz w:val="20"/>
        </w:rPr>
        <w:t>：用于评估任务效果，需结合任务配置和奖励记录。</w:t>
      </w:r>
    </w:p>
    <w:p w14:paraId="59DE9601">
      <w:pPr>
        <w:pStyle w:val="5"/>
        <w:keepNext/>
        <w:spacing w:before="180" w:after="100" w:line="259" w:lineRule="auto"/>
      </w:pPr>
      <w:r>
        <w:rPr>
          <w:rFonts w:ascii="微软雅黑" w:hAnsi="微软雅黑" w:eastAsia="微软雅黑"/>
          <w:b/>
          <w:color w:val="2F5597"/>
          <w:sz w:val="25"/>
        </w:rPr>
        <w:t>用户分群查询</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：用于查询用户分群结果和分群成员。</w:t>
      </w:r>
    </w:p>
    <w:p>
      <w:pPr>
        <w:pStyle w:val="16"/>
      </w:pPr>
      <w:r>
        <w:rPr>
          <w:rFonts w:ascii="微软雅黑" w:hAnsi="微软雅黑" w:eastAsia="微软雅黑"/>
          <w:b/>
          <w:color w:val="2F5597"/>
          <w:sz w:val="20"/>
        </w:rPr>
        <w:t>主要操作</w:t>
      </w:r>
      <w:r>
        <w:rPr>
          <w:rFonts w:ascii="微软雅黑" w:hAnsi="微软雅黑" w:eastAsia="微软雅黑"/>
          <w:b w:val="0"/>
          <w:sz w:val="20"/>
        </w:rPr>
        <w:t>：按分群条件、标签或会员信息筛选，查看命中用户。</w:t>
      </w:r>
    </w:p>
    <w:p>
      <w:pPr>
        <w:pStyle w:val="16"/>
      </w:pPr>
      <w:r>
        <w:rPr>
          <w:rFonts w:ascii="微软雅黑" w:hAnsi="微软雅黑" w:eastAsia="微软雅黑"/>
          <w:b/>
          <w:color w:val="2F5597"/>
          <w:sz w:val="20"/>
        </w:rPr>
        <w:t>使用说明</w:t>
      </w:r>
      <w:r>
        <w:rPr>
          <w:rFonts w:ascii="微软雅黑" w:hAnsi="微软雅黑" w:eastAsia="微软雅黑"/>
          <w:b w:val="0"/>
          <w:sz w:val="20"/>
        </w:rPr>
        <w:t>：分群结果可用于活动、消息推送和精细化运营。</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：用于维护前台推荐频道和展示内容。</w:t>
      </w:r>
    </w:p>
    <w:p>
      <w:pPr>
        <w:pStyle w:val="16"/>
      </w:pPr>
      <w:r>
        <w:rPr>
          <w:rFonts w:ascii="微软雅黑" w:hAnsi="微软雅黑" w:eastAsia="微软雅黑"/>
          <w:b/>
          <w:color w:val="2F5597"/>
          <w:sz w:val="20"/>
        </w:rPr>
        <w:t>主要操作</w:t>
      </w:r>
      <w:r>
        <w:rPr>
          <w:rFonts w:ascii="微软雅黑" w:hAnsi="微软雅黑" w:eastAsia="微软雅黑"/>
          <w:b w:val="0"/>
          <w:sz w:val="20"/>
        </w:rPr>
        <w:t>：新增、编辑、排序、启用或停用推荐频道。</w:t>
      </w:r>
    </w:p>
    <w:p>
      <w:pPr>
        <w:pStyle w:val="16"/>
      </w:pPr>
      <w:r>
        <w:rPr>
          <w:rFonts w:ascii="微软雅黑" w:hAnsi="微软雅黑" w:eastAsia="微软雅黑"/>
          <w:b/>
          <w:color w:val="2F5597"/>
          <w:sz w:val="20"/>
        </w:rPr>
        <w:t>使用说明</w:t>
      </w:r>
      <w:r>
        <w:rPr>
          <w:rFonts w:ascii="微软雅黑" w:hAnsi="微软雅黑" w:eastAsia="微软雅黑"/>
          <w:b w:val="0"/>
          <w:sz w:val="20"/>
        </w:rPr>
        <w:t>：调整前确认频道内容、排序和前台展示效果。</w:t>
      </w:r>
    </w:p>
    <w:p w14:paraId="65EA5E4B">
      <w:pPr>
        <w:pStyle w:val="5"/>
        <w:keepNext/>
        <w:spacing w:before="180" w:after="100" w:line="259" w:lineRule="auto"/>
      </w:pPr>
      <w:r>
        <w:rPr>
          <w:rFonts w:ascii="微软雅黑" w:hAnsi="微软雅黑" w:eastAsia="微软雅黑"/>
          <w:b/>
          <w:color w:val="2F5597"/>
          <w:sz w:val="25"/>
        </w:rPr>
        <w:t>游戏类型设置</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：用于维护游戏类型分类。</w:t>
      </w:r>
    </w:p>
    <w:p>
      <w:pPr>
        <w:pStyle w:val="16"/>
      </w:pPr>
      <w:r>
        <w:rPr>
          <w:rFonts w:ascii="微软雅黑" w:hAnsi="微软雅黑" w:eastAsia="微软雅黑"/>
          <w:b/>
          <w:color w:val="2F5597"/>
          <w:sz w:val="20"/>
        </w:rPr>
        <w:t>主要操作</w:t>
      </w:r>
      <w:r>
        <w:rPr>
          <w:rFonts w:ascii="微软雅黑" w:hAnsi="微软雅黑" w:eastAsia="微软雅黑"/>
          <w:b w:val="0"/>
          <w:sz w:val="20"/>
        </w:rPr>
        <w:t>：新增、编辑、排序、启用或停用游戏类型。</w:t>
      </w:r>
    </w:p>
    <w:p>
      <w:pPr>
        <w:pStyle w:val="16"/>
      </w:pPr>
      <w:r>
        <w:rPr>
          <w:rFonts w:ascii="微软雅黑" w:hAnsi="微软雅黑" w:eastAsia="微软雅黑"/>
          <w:b/>
          <w:color w:val="2F5597"/>
          <w:sz w:val="20"/>
        </w:rPr>
        <w:t>使用说明</w:t>
      </w:r>
      <w:r>
        <w:rPr>
          <w:rFonts w:ascii="微软雅黑" w:hAnsi="微软雅黑" w:eastAsia="微软雅黑"/>
          <w:b w:val="0"/>
          <w:sz w:val="20"/>
        </w:rPr>
        <w:t>：类型配置会影响前台游戏筛选和后台统计归类。</w:t>
      </w:r>
    </w:p>
    <w:p w14:paraId="4B2C4F27">
      <w:pPr>
        <w:pStyle w:val="5"/>
        <w:keepNext/>
        <w:spacing w:before="180" w:after="100" w:line="259" w:lineRule="auto"/>
      </w:pPr>
      <w:r>
        <w:rPr>
          <w:rFonts w:ascii="微软雅黑" w:hAnsi="微软雅黑" w:eastAsia="微软雅黑"/>
          <w:b/>
          <w:color w:val="2F5597"/>
          <w:sz w:val="25"/>
        </w:rPr>
        <w:t>游戏频道管理</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：用于维护游戏频道和频道内游戏展示。</w:t>
      </w:r>
    </w:p>
    <w:p>
      <w:pPr>
        <w:pStyle w:val="16"/>
      </w:pPr>
      <w:r>
        <w:rPr>
          <w:rFonts w:ascii="微软雅黑" w:hAnsi="微软雅黑" w:eastAsia="微软雅黑"/>
          <w:b/>
          <w:color w:val="2F5597"/>
          <w:sz w:val="20"/>
        </w:rPr>
        <w:t>主要操作</w:t>
      </w:r>
      <w:r>
        <w:rPr>
          <w:rFonts w:ascii="微软雅黑" w:hAnsi="微软雅黑" w:eastAsia="微软雅黑"/>
          <w:b w:val="0"/>
          <w:sz w:val="20"/>
        </w:rPr>
        <w:t>：配置频道名称、排序、展示游戏和启停状态。</w:t>
      </w:r>
    </w:p>
    <w:p>
      <w:pPr>
        <w:pStyle w:val="16"/>
      </w:pPr>
      <w:r>
        <w:rPr>
          <w:rFonts w:ascii="微软雅黑" w:hAnsi="微软雅黑" w:eastAsia="微软雅黑"/>
          <w:b/>
          <w:color w:val="2F5597"/>
          <w:sz w:val="20"/>
        </w:rPr>
        <w:t>使用说明</w:t>
      </w:r>
      <w:r>
        <w:rPr>
          <w:rFonts w:ascii="微软雅黑" w:hAnsi="微软雅黑" w:eastAsia="微软雅黑"/>
          <w:b w:val="0"/>
          <w:sz w:val="20"/>
        </w:rPr>
        <w:t>：保存后需检查前台频道展示和游戏入口是否正确。</w:t>
      </w:r>
    </w:p>
    <w:p w14:paraId="6618AAB0">
      <w:pPr>
        <w:pStyle w:val="5"/>
        <w:keepNext/>
        <w:spacing w:before="180" w:after="100" w:line="259" w:lineRule="auto"/>
      </w:pPr>
      <w:r>
        <w:rPr>
          <w:rFonts w:ascii="微软雅黑" w:hAnsi="微软雅黑" w:eastAsia="微软雅黑"/>
          <w:b/>
          <w:color w:val="2F5597"/>
          <w:sz w:val="25"/>
        </w:rPr>
        <w:t>子游戏列表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：用于查看和管理子游戏信息。</w:t>
      </w:r>
    </w:p>
    <w:p>
      <w:pPr>
        <w:pStyle w:val="16"/>
      </w:pPr>
      <w:r>
        <w:rPr>
          <w:rFonts w:ascii="微软雅黑" w:hAnsi="微软雅黑" w:eastAsia="微软雅黑"/>
          <w:b/>
          <w:color w:val="2F5597"/>
          <w:sz w:val="20"/>
        </w:rPr>
        <w:t>主要操作</w:t>
      </w:r>
      <w:r>
        <w:rPr>
          <w:rFonts w:ascii="微软雅黑" w:hAnsi="微软雅黑" w:eastAsia="微软雅黑"/>
          <w:b w:val="0"/>
          <w:sz w:val="20"/>
        </w:rPr>
        <w:t>：按厂商、类型或状态筛选，启用、停用或调整游戏展示。</w:t>
      </w:r>
    </w:p>
    <w:p>
      <w:pPr>
        <w:pStyle w:val="16"/>
      </w:pPr>
      <w:r>
        <w:rPr>
          <w:rFonts w:ascii="微软雅黑" w:hAnsi="微软雅黑" w:eastAsia="微软雅黑"/>
          <w:b/>
          <w:color w:val="2F5597"/>
          <w:sz w:val="20"/>
        </w:rPr>
        <w:t>使用说明</w:t>
      </w:r>
      <w:r>
        <w:rPr>
          <w:rFonts w:ascii="微软雅黑" w:hAnsi="微软雅黑" w:eastAsia="微软雅黑"/>
          <w:b w:val="0"/>
          <w:sz w:val="20"/>
        </w:rPr>
        <w:t>：调整游戏状态会影响玩家进入游戏，操作前需确认影响范围。</w:t>
      </w:r>
    </w:p>
    <w:p w14:paraId="6D89B257">
      <w:pPr>
        <w:pStyle w:val="5"/>
        <w:keepNext/>
        <w:spacing w:before="180" w:after="100" w:line="259" w:lineRule="auto"/>
      </w:pPr>
      <w:r>
        <w:rPr>
          <w:rFonts w:ascii="微软雅黑" w:hAnsi="微软雅黑" w:eastAsia="微软雅黑"/>
          <w:b/>
          <w:color w:val="2F5597"/>
          <w:sz w:val="25"/>
        </w:rPr>
        <w:t>游戏统计</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：用于查看游戏投注和输赢统计。</w:t>
      </w:r>
    </w:p>
    <w:p>
      <w:pPr>
        <w:pStyle w:val="16"/>
      </w:pPr>
      <w:r>
        <w:rPr>
          <w:rFonts w:ascii="微软雅黑" w:hAnsi="微软雅黑" w:eastAsia="微软雅黑"/>
          <w:b/>
          <w:color w:val="2F5597"/>
          <w:sz w:val="20"/>
        </w:rPr>
        <w:t>主要操作</w:t>
      </w:r>
      <w:r>
        <w:rPr>
          <w:rFonts w:ascii="微软雅黑" w:hAnsi="微软雅黑" w:eastAsia="微软雅黑"/>
          <w:b w:val="0"/>
          <w:sz w:val="20"/>
        </w:rPr>
        <w:t>：按游戏、厂商或时间筛选，查看投注人数、投注额和输赢。</w:t>
      </w:r>
    </w:p>
    <w:p>
      <w:pPr>
        <w:pStyle w:val="16"/>
      </w:pPr>
      <w:r>
        <w:rPr>
          <w:rFonts w:ascii="微软雅黑" w:hAnsi="微软雅黑" w:eastAsia="微软雅黑"/>
          <w:b/>
          <w:color w:val="2F5597"/>
          <w:sz w:val="20"/>
        </w:rPr>
        <w:t>使用说明</w:t>
      </w:r>
      <w:r>
        <w:rPr>
          <w:rFonts w:ascii="微软雅黑" w:hAnsi="微软雅黑" w:eastAsia="微软雅黑"/>
          <w:b w:val="0"/>
          <w:sz w:val="20"/>
        </w:rPr>
        <w:t>：用于分析游戏表现，异常时结合游戏记录核对。</w:t>
      </w:r>
    </w:p>
    <w:p w14:paraId="11EEA7F1">
      <w:pPr>
        <w:pStyle w:val="5"/>
        <w:keepNext/>
        <w:spacing w:before="180" w:after="100" w:line="259" w:lineRule="auto"/>
      </w:pPr>
      <w:r>
        <w:rPr>
          <w:rFonts w:ascii="微软雅黑" w:hAnsi="微软雅黑" w:eastAsia="微软雅黑"/>
          <w:b/>
          <w:color w:val="2F5597"/>
          <w:sz w:val="25"/>
        </w:rPr>
        <w:t>游戏厂商统计</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：用于查看各游戏厂商数据表现。</w:t>
      </w:r>
    </w:p>
    <w:p>
      <w:pPr>
        <w:pStyle w:val="16"/>
      </w:pPr>
      <w:r>
        <w:rPr>
          <w:rFonts w:ascii="微软雅黑" w:hAnsi="微软雅黑" w:eastAsia="微软雅黑"/>
          <w:b/>
          <w:color w:val="2F5597"/>
          <w:sz w:val="20"/>
        </w:rPr>
        <w:t>主要操作</w:t>
      </w:r>
      <w:r>
        <w:rPr>
          <w:rFonts w:ascii="微软雅黑" w:hAnsi="微软雅黑" w:eastAsia="微软雅黑"/>
          <w:b w:val="0"/>
          <w:sz w:val="20"/>
        </w:rPr>
        <w:t>：按厂商和时间筛选，查看投注、输赢和活跃数据。</w:t>
      </w:r>
    </w:p>
    <w:p>
      <w:pPr>
        <w:pStyle w:val="16"/>
      </w:pPr>
      <w:r>
        <w:rPr>
          <w:rFonts w:ascii="微软雅黑" w:hAnsi="微软雅黑" w:eastAsia="微软雅黑"/>
          <w:b/>
          <w:color w:val="2F5597"/>
          <w:sz w:val="20"/>
        </w:rPr>
        <w:t>使用说明</w:t>
      </w:r>
      <w:r>
        <w:rPr>
          <w:rFonts w:ascii="微软雅黑" w:hAnsi="微软雅黑" w:eastAsia="微软雅黑"/>
          <w:b w:val="0"/>
          <w:sz w:val="20"/>
        </w:rPr>
        <w:t>：用于评估厂商质量和游戏引入效果。</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：用于查看当前在线玩家。</w:t>
      </w:r>
    </w:p>
    <w:p>
      <w:pPr>
        <w:pStyle w:val="16"/>
      </w:pPr>
      <w:r>
        <w:rPr>
          <w:rFonts w:ascii="微软雅黑" w:hAnsi="微软雅黑" w:eastAsia="微软雅黑"/>
          <w:b/>
          <w:color w:val="2F5597"/>
          <w:sz w:val="20"/>
        </w:rPr>
        <w:t>主要操作</w:t>
      </w:r>
      <w:r>
        <w:rPr>
          <w:rFonts w:ascii="微软雅黑" w:hAnsi="微软雅黑" w:eastAsia="微软雅黑"/>
          <w:b w:val="0"/>
          <w:sz w:val="20"/>
        </w:rPr>
        <w:t>：按会员、渠道或状态筛选，查看在线时间、终端和会员信息。</w:t>
      </w:r>
    </w:p>
    <w:p>
      <w:pPr>
        <w:pStyle w:val="16"/>
      </w:pPr>
      <w:r>
        <w:rPr>
          <w:rFonts w:ascii="微软雅黑" w:hAnsi="微软雅黑" w:eastAsia="微软雅黑"/>
          <w:b/>
          <w:color w:val="2F5597"/>
          <w:sz w:val="20"/>
        </w:rPr>
        <w:t>使用说明</w:t>
      </w:r>
      <w:r>
        <w:rPr>
          <w:rFonts w:ascii="微软雅黑" w:hAnsi="微软雅黑" w:eastAsia="微软雅黑"/>
          <w:b w:val="0"/>
          <w:sz w:val="20"/>
        </w:rPr>
        <w:t>：用于实时运营观察和异常在线排查。</w:t>
      </w:r>
    </w:p>
    <w:p w14:paraId="7114301A">
      <w:pPr>
        <w:pStyle w:val="5"/>
        <w:keepNext/>
        <w:spacing w:before="180" w:after="100" w:line="259" w:lineRule="auto"/>
      </w:pPr>
      <w:r>
        <w:rPr>
          <w:rFonts w:ascii="微软雅黑" w:hAnsi="微软雅黑" w:eastAsia="微软雅黑"/>
          <w:b/>
          <w:color w:val="2F5597"/>
          <w:sz w:val="25"/>
        </w:rPr>
        <w:t>所有会员</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：用于查询和管理会员基础信息。</w:t>
      </w:r>
    </w:p>
    <w:p>
      <w:pPr>
        <w:pStyle w:val="16"/>
      </w:pPr>
      <w:r>
        <w:rPr>
          <w:rFonts w:ascii="微软雅黑" w:hAnsi="微软雅黑" w:eastAsia="微软雅黑"/>
          <w:b/>
          <w:color w:val="2F5597"/>
          <w:sz w:val="20"/>
        </w:rPr>
        <w:t>主要操作</w:t>
      </w:r>
      <w:r>
        <w:rPr>
          <w:rFonts w:ascii="微软雅黑" w:hAnsi="微软雅黑" w:eastAsia="微软雅黑"/>
          <w:b w:val="0"/>
          <w:sz w:val="20"/>
        </w:rPr>
        <w:t>：按会员账号、ID、状态或注册时间筛选，查看资料、余额和行为信息。</w:t>
      </w:r>
    </w:p>
    <w:p>
      <w:pPr>
        <w:pStyle w:val="16"/>
      </w:pPr>
      <w:r>
        <w:rPr>
          <w:rFonts w:ascii="微软雅黑" w:hAnsi="微软雅黑" w:eastAsia="微软雅黑"/>
          <w:b/>
          <w:color w:val="2F5597"/>
          <w:sz w:val="20"/>
        </w:rPr>
        <w:t>使用说明</w:t>
      </w:r>
      <w:r>
        <w:rPr>
          <w:rFonts w:ascii="微软雅黑" w:hAnsi="微软雅黑" w:eastAsia="微软雅黑"/>
          <w:b w:val="0"/>
          <w:sz w:val="20"/>
        </w:rPr>
        <w:t>：处理会员问题时先确认账号身份，再进入资金、订单或活动明细核对。</w:t>
      </w:r>
    </w:p>
    <w:p w14:paraId="053421E3">
      <w:pPr>
        <w:pStyle w:val="5"/>
        <w:keepNext/>
        <w:spacing w:before="180" w:after="100" w:line="259" w:lineRule="auto"/>
      </w:pPr>
      <w:r>
        <w:rPr>
          <w:rFonts w:ascii="微软雅黑" w:hAnsi="微软雅黑" w:eastAsia="微软雅黑"/>
          <w:b/>
          <w:color w:val="2F5597"/>
          <w:sz w:val="25"/>
        </w:rPr>
        <w:t>VIP设置</w:t>
      </w:r>
    </w:p>
    <w:p>
      <w:pPr>
        <w:pStyle w:val="16"/>
      </w:pPr>
      <w:r>
        <w:rPr>
          <w:rFonts w:ascii="微软雅黑" w:hAnsi="微软雅黑" w:eastAsia="微软雅黑"/>
          <w:b/>
          <w:color w:val="2F5597"/>
          <w:sz w:val="20"/>
        </w:rPr>
        <w:t>页面功能</w:t>
      </w:r>
      <w:r>
        <w:rPr>
          <w:rFonts w:ascii="微软雅黑" w:hAnsi="微软雅黑" w:eastAsia="微软雅黑"/>
          <w:b w:val="0"/>
          <w:sz w:val="20"/>
        </w:rPr>
        <w:t>：用于配置 VIP 等级、权益和升级条件。</w:t>
      </w:r>
    </w:p>
    <w:p>
      <w:pPr>
        <w:pStyle w:val="16"/>
      </w:pPr>
      <w:r>
        <w:rPr>
          <w:rFonts w:ascii="微软雅黑" w:hAnsi="微软雅黑" w:eastAsia="微软雅黑"/>
          <w:b/>
          <w:color w:val="2F5597"/>
          <w:sz w:val="20"/>
        </w:rPr>
        <w:t>主要操作</w:t>
      </w:r>
      <w:r>
        <w:rPr>
          <w:rFonts w:ascii="微软雅黑" w:hAnsi="微软雅黑" w:eastAsia="微软雅黑"/>
          <w:b w:val="0"/>
          <w:sz w:val="20"/>
        </w:rPr>
        <w:t>：设置等级名称、升级条件、保级条件、奖励和启停状态。</w:t>
      </w:r>
    </w:p>
    <w:p>
      <w:pPr>
        <w:pStyle w:val="16"/>
      </w:pPr>
      <w:r>
        <w:rPr>
          <w:rFonts w:ascii="微软雅黑" w:hAnsi="微软雅黑" w:eastAsia="微软雅黑"/>
          <w:b/>
          <w:color w:val="2F5597"/>
          <w:sz w:val="20"/>
        </w:rPr>
        <w:t>使用说明</w:t>
      </w:r>
      <w:r>
        <w:rPr>
          <w:rFonts w:ascii="微软雅黑" w:hAnsi="微软雅黑" w:eastAsia="微软雅黑"/>
          <w:b w:val="0"/>
          <w:sz w:val="20"/>
        </w:rPr>
        <w:t>：调整后会影响会员等级和权益展示，需提前确认规则。</w:t>
      </w:r>
    </w:p>
    <w:p w14:paraId="7DC6CA3D">
      <w:pPr>
        <w:pStyle w:val="5"/>
        <w:keepNext/>
        <w:spacing w:before="180" w:after="100" w:line="259" w:lineRule="auto"/>
      </w:pPr>
      <w:r>
        <w:rPr>
          <w:rFonts w:ascii="微软雅黑" w:hAnsi="微软雅黑" w:eastAsia="微软雅黑"/>
          <w:b/>
          <w:color w:val="2F5597"/>
          <w:sz w:val="25"/>
        </w:rPr>
        <w:t>有奖反馈</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：用于查看和处理会员反馈奖励。</w:t>
      </w:r>
    </w:p>
    <w:p>
      <w:pPr>
        <w:pStyle w:val="16"/>
      </w:pPr>
      <w:r>
        <w:rPr>
          <w:rFonts w:ascii="微软雅黑" w:hAnsi="微软雅黑" w:eastAsia="微软雅黑"/>
          <w:b/>
          <w:color w:val="2F5597"/>
          <w:sz w:val="20"/>
        </w:rPr>
        <w:t>主要操作</w:t>
      </w:r>
      <w:r>
        <w:rPr>
          <w:rFonts w:ascii="微软雅黑" w:hAnsi="微软雅黑" w:eastAsia="微软雅黑"/>
          <w:b w:val="0"/>
          <w:sz w:val="20"/>
        </w:rPr>
        <w:t>：筛选反馈记录，查看内容、处理状态并发放或拒绝奖励。</w:t>
      </w:r>
    </w:p>
    <w:p>
      <w:pPr>
        <w:pStyle w:val="16"/>
      </w:pPr>
      <w:r>
        <w:rPr>
          <w:rFonts w:ascii="微软雅黑" w:hAnsi="微软雅黑" w:eastAsia="微软雅黑"/>
          <w:b/>
          <w:color w:val="2F5597"/>
          <w:sz w:val="20"/>
        </w:rPr>
        <w:t>使用说明</w:t>
      </w:r>
      <w:r>
        <w:rPr>
          <w:rFonts w:ascii="微软雅黑" w:hAnsi="微软雅黑" w:eastAsia="微软雅黑"/>
          <w:b w:val="0"/>
          <w:sz w:val="20"/>
        </w:rPr>
        <w:t>：处理前核对反馈内容、奖励规则和会员信息。</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：用于查询和管理代理账号。</w:t>
      </w:r>
    </w:p>
    <w:p>
      <w:pPr>
        <w:pStyle w:val="16"/>
      </w:pPr>
      <w:r>
        <w:rPr>
          <w:rFonts w:ascii="微软雅黑" w:hAnsi="微软雅黑" w:eastAsia="微软雅黑"/>
          <w:b/>
          <w:color w:val="2F5597"/>
          <w:sz w:val="20"/>
        </w:rPr>
        <w:t>主要操作</w:t>
      </w:r>
      <w:r>
        <w:rPr>
          <w:rFonts w:ascii="微软雅黑" w:hAnsi="微软雅黑" w:eastAsia="微软雅黑"/>
          <w:b w:val="0"/>
          <w:sz w:val="20"/>
        </w:rPr>
        <w:t>：按代理账号、状态或时间筛选，查看代理信息和下级数据。</w:t>
      </w:r>
    </w:p>
    <w:p>
      <w:pPr>
        <w:pStyle w:val="16"/>
      </w:pPr>
      <w:r>
        <w:rPr>
          <w:rFonts w:ascii="微软雅黑" w:hAnsi="微软雅黑" w:eastAsia="微软雅黑"/>
          <w:b/>
          <w:color w:val="2F5597"/>
          <w:sz w:val="20"/>
        </w:rPr>
        <w:t>使用说明</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pPr>
      <w:r>
        <w:rPr>
          <w:rFonts w:ascii="微软雅黑" w:hAnsi="微软雅黑" w:eastAsia="微软雅黑"/>
          <w:b/>
          <w:color w:val="2F5597"/>
          <w:sz w:val="25"/>
        </w:rPr>
        <w:t>代理配置</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：用于维护代理返佣、返水和结算规则。</w:t>
      </w:r>
    </w:p>
    <w:p>
      <w:pPr>
        <w:pStyle w:val="16"/>
      </w:pPr>
      <w:r>
        <w:rPr>
          <w:rFonts w:ascii="微软雅黑" w:hAnsi="微软雅黑" w:eastAsia="微软雅黑"/>
          <w:b/>
          <w:color w:val="2F5597"/>
          <w:sz w:val="20"/>
        </w:rPr>
        <w:t>主要操作</w:t>
      </w:r>
      <w:r>
        <w:rPr>
          <w:rFonts w:ascii="微软雅黑" w:hAnsi="微软雅黑" w:eastAsia="微软雅黑"/>
          <w:b w:val="0"/>
          <w:sz w:val="20"/>
        </w:rPr>
        <w:t>：设置代理等级、比例、结算周期和启停状态。</w:t>
      </w:r>
    </w:p>
    <w:p>
      <w:pPr>
        <w:pStyle w:val="16"/>
      </w:pPr>
      <w:r>
        <w:rPr>
          <w:rFonts w:ascii="微软雅黑" w:hAnsi="微软雅黑" w:eastAsia="微软雅黑"/>
          <w:b/>
          <w:color w:val="2F5597"/>
          <w:sz w:val="20"/>
        </w:rPr>
        <w:t>使用说明</w:t>
      </w:r>
      <w:r>
        <w:rPr>
          <w:rFonts w:ascii="微软雅黑" w:hAnsi="微软雅黑" w:eastAsia="微软雅黑"/>
          <w:b w:val="0"/>
          <w:sz w:val="20"/>
        </w:rPr>
        <w:t>：配置变更会影响代理收益，保存前需复核规则。</w:t>
      </w:r>
    </w:p>
    <w:p w14:paraId="7A8BCCC2">
      <w:pPr>
        <w:pStyle w:val="5"/>
        <w:keepNext/>
        <w:spacing w:before="180" w:after="100" w:line="259" w:lineRule="auto"/>
      </w:pPr>
      <w:r>
        <w:rPr>
          <w:rFonts w:ascii="微软雅黑" w:hAnsi="微软雅黑" w:eastAsia="微软雅黑"/>
          <w:b/>
          <w:color w:val="2F5597"/>
          <w:sz w:val="25"/>
        </w:rPr>
        <w:t>代理领取记录</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：用于查看代理奖励或佣金领取记录。</w:t>
      </w:r>
    </w:p>
    <w:p>
      <w:pPr>
        <w:pStyle w:val="16"/>
      </w:pPr>
      <w:r>
        <w:rPr>
          <w:rFonts w:ascii="微软雅黑" w:hAnsi="微软雅黑" w:eastAsia="微软雅黑"/>
          <w:b/>
          <w:color w:val="2F5597"/>
          <w:sz w:val="20"/>
        </w:rPr>
        <w:t>主要操作</w:t>
      </w:r>
      <w:r>
        <w:rPr>
          <w:rFonts w:ascii="微软雅黑" w:hAnsi="微软雅黑" w:eastAsia="微软雅黑"/>
          <w:b w:val="0"/>
          <w:sz w:val="20"/>
        </w:rPr>
        <w:t>：按代理、状态或时间筛选，查看领取金额和处理结果。</w:t>
      </w:r>
    </w:p>
    <w:p>
      <w:pPr>
        <w:pStyle w:val="16"/>
      </w:pPr>
      <w:r>
        <w:rPr>
          <w:rFonts w:ascii="微软雅黑" w:hAnsi="微软雅黑" w:eastAsia="微软雅黑"/>
          <w:b/>
          <w:color w:val="2F5597"/>
          <w:sz w:val="20"/>
        </w:rPr>
        <w:t>使用说明</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pPr>
      <w:r>
        <w:rPr>
          <w:rFonts w:ascii="微软雅黑" w:hAnsi="微软雅黑" w:eastAsia="微软雅黑"/>
          <w:b/>
          <w:color w:val="2F5597"/>
          <w:sz w:val="25"/>
        </w:rPr>
        <w:t>代理数据查询</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：用于查询代理维度的运营数据。</w:t>
      </w:r>
    </w:p>
    <w:p>
      <w:pPr>
        <w:pStyle w:val="16"/>
      </w:pPr>
      <w:r>
        <w:rPr>
          <w:rFonts w:ascii="微软雅黑" w:hAnsi="微软雅黑" w:eastAsia="微软雅黑"/>
          <w:b/>
          <w:color w:val="2F5597"/>
          <w:sz w:val="20"/>
        </w:rPr>
        <w:t>主要操作</w:t>
      </w:r>
      <w:r>
        <w:rPr>
          <w:rFonts w:ascii="微软雅黑" w:hAnsi="微软雅黑" w:eastAsia="微软雅黑"/>
          <w:b w:val="0"/>
          <w:sz w:val="20"/>
        </w:rPr>
        <w:t>：按代理和时间筛选，查看下级会员、充值、投注和佣金数据。</w:t>
      </w:r>
    </w:p>
    <w:p>
      <w:pPr>
        <w:pStyle w:val="16"/>
      </w:pPr>
      <w:r>
        <w:rPr>
          <w:rFonts w:ascii="微软雅黑" w:hAnsi="微软雅黑" w:eastAsia="微软雅黑"/>
          <w:b/>
          <w:color w:val="2F5597"/>
          <w:sz w:val="20"/>
        </w:rPr>
        <w:t>使用说明</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：用于管理受限制的玩家或风险对象。</w:t>
      </w:r>
    </w:p>
    <w:p>
      <w:pPr>
        <w:pStyle w:val="16"/>
      </w:pPr>
      <w:r>
        <w:rPr>
          <w:rFonts w:ascii="微软雅黑" w:hAnsi="微软雅黑" w:eastAsia="微软雅黑"/>
          <w:b/>
          <w:color w:val="2F5597"/>
          <w:sz w:val="20"/>
        </w:rPr>
        <w:t>主要操作</w:t>
      </w:r>
      <w:r>
        <w:rPr>
          <w:rFonts w:ascii="微软雅黑" w:hAnsi="微软雅黑" w:eastAsia="微软雅黑"/>
          <w:b w:val="0"/>
          <w:sz w:val="20"/>
        </w:rPr>
        <w:t>：新增、查询、解除黑名单，查看限制原因和操作记录。</w:t>
      </w:r>
    </w:p>
    <w:p>
      <w:pPr>
        <w:pStyle w:val="16"/>
      </w:pPr>
      <w:r>
        <w:rPr>
          <w:rFonts w:ascii="微软雅黑" w:hAnsi="微软雅黑" w:eastAsia="微软雅黑"/>
          <w:b/>
          <w:color w:val="2F5597"/>
          <w:sz w:val="20"/>
        </w:rPr>
        <w:t>使用说明</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：用于监控疑似异常套利或刷量玩家。</w:t>
      </w:r>
    </w:p>
    <w:p>
      <w:pPr>
        <w:pStyle w:val="16"/>
      </w:pPr>
      <w:r>
        <w:rPr>
          <w:rFonts w:ascii="微软雅黑" w:hAnsi="微软雅黑" w:eastAsia="微软雅黑"/>
          <w:b/>
          <w:color w:val="2F5597"/>
          <w:sz w:val="20"/>
        </w:rPr>
        <w:t>主要操作</w:t>
      </w:r>
      <w:r>
        <w:rPr>
          <w:rFonts w:ascii="微软雅黑" w:hAnsi="微软雅黑" w:eastAsia="微软雅黑"/>
          <w:b w:val="0"/>
          <w:sz w:val="20"/>
        </w:rPr>
        <w:t>：按玩家、风险类型或时间筛选，查看异常指标和处理记录。</w:t>
      </w:r>
    </w:p>
    <w:p>
      <w:pPr>
        <w:pStyle w:val="16"/>
      </w:pPr>
      <w:r>
        <w:rPr>
          <w:rFonts w:ascii="微软雅黑" w:hAnsi="微软雅黑" w:eastAsia="微软雅黑"/>
          <w:b/>
          <w:color w:val="2F5597"/>
          <w:sz w:val="20"/>
        </w:rPr>
        <w:t>使用说明</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：用于监控玩家游戏获利异常情况。</w:t>
      </w:r>
    </w:p>
    <w:p>
      <w:pPr>
        <w:pStyle w:val="16"/>
      </w:pPr>
      <w:r>
        <w:rPr>
          <w:rFonts w:ascii="微软雅黑" w:hAnsi="微软雅黑" w:eastAsia="微软雅黑"/>
          <w:b/>
          <w:color w:val="2F5597"/>
          <w:sz w:val="20"/>
        </w:rPr>
        <w:t>主要操作</w:t>
      </w:r>
      <w:r>
        <w:rPr>
          <w:rFonts w:ascii="微软雅黑" w:hAnsi="微软雅黑" w:eastAsia="微软雅黑"/>
          <w:b w:val="0"/>
          <w:sz w:val="20"/>
        </w:rPr>
        <w:t>：按玩家、游戏或时间筛选，查看获利、投注和风险状态。</w:t>
      </w:r>
    </w:p>
    <w:p>
      <w:pPr>
        <w:pStyle w:val="16"/>
      </w:pPr>
      <w:r>
        <w:rPr>
          <w:rFonts w:ascii="微软雅黑" w:hAnsi="微软雅黑" w:eastAsia="微软雅黑"/>
          <w:b/>
          <w:color w:val="2F5597"/>
          <w:sz w:val="20"/>
        </w:rPr>
        <w:t>使用说明</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：用于查看商户基础资料和账户状态。</w:t>
      </w:r>
    </w:p>
    <w:p>
      <w:pPr>
        <w:pStyle w:val="16"/>
      </w:pPr>
      <w:r>
        <w:rPr>
          <w:rFonts w:ascii="微软雅黑" w:hAnsi="微软雅黑" w:eastAsia="微软雅黑"/>
          <w:b/>
          <w:color w:val="2F5597"/>
          <w:sz w:val="20"/>
        </w:rPr>
        <w:t>主要操作</w:t>
      </w:r>
      <w:r>
        <w:rPr>
          <w:rFonts w:ascii="微软雅黑" w:hAnsi="微软雅黑" w:eastAsia="微软雅黑"/>
          <w:b w:val="0"/>
          <w:sz w:val="20"/>
        </w:rPr>
        <w:t>：查看商户名称、账号信息、联系方式和状态配置。</w:t>
      </w:r>
    </w:p>
    <w:p>
      <w:pPr>
        <w:pStyle w:val="16"/>
      </w:pPr>
      <w:r>
        <w:rPr>
          <w:rFonts w:ascii="微软雅黑" w:hAnsi="微软雅黑" w:eastAsia="微软雅黑"/>
          <w:b/>
          <w:color w:val="2F5597"/>
          <w:sz w:val="20"/>
        </w:rPr>
        <w:t>使用说明</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pPr>
        <w:pStyle w:val="16"/>
      </w:pPr>
      <w:r>
        <w:rPr>
          <w:rFonts w:ascii="微软雅黑" w:hAnsi="微软雅黑" w:eastAsia="微软雅黑"/>
          <w:b/>
          <w:color w:val="2F5597"/>
          <w:sz w:val="20"/>
        </w:rPr>
        <w:t>页面功能</w:t>
      </w:r>
      <w:r>
        <w:rPr>
          <w:rFonts w:ascii="微软雅黑" w:hAnsi="微软雅黑" w:eastAsia="微软雅黑"/>
          <w:b w:val="0"/>
          <w:sz w:val="20"/>
        </w:rPr>
        <w:t>：用于商户账户充值。</w:t>
      </w:r>
    </w:p>
    <w:p>
      <w:pPr>
        <w:pStyle w:val="16"/>
      </w:pPr>
      <w:r>
        <w:rPr>
          <w:rFonts w:ascii="微软雅黑" w:hAnsi="微软雅黑" w:eastAsia="微软雅黑"/>
          <w:b/>
          <w:color w:val="2F5597"/>
          <w:sz w:val="20"/>
        </w:rPr>
        <w:t>主要操作</w:t>
      </w:r>
      <w:r>
        <w:rPr>
          <w:rFonts w:ascii="微软雅黑" w:hAnsi="微软雅黑" w:eastAsia="微软雅黑"/>
          <w:b w:val="0"/>
          <w:sz w:val="20"/>
        </w:rPr>
        <w:t>：选择充值方式，填写金额并提交充值申请。</w:t>
      </w:r>
    </w:p>
    <w:p>
      <w:pPr>
        <w:pStyle w:val="16"/>
      </w:pPr>
      <w:r>
        <w:rPr>
          <w:rFonts w:ascii="微软雅黑" w:hAnsi="微软雅黑" w:eastAsia="微软雅黑"/>
          <w:b/>
          <w:color w:val="2F5597"/>
          <w:sz w:val="20"/>
        </w:rPr>
        <w:t>使用说明</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：用于查询商户充值记录。</w:t>
      </w:r>
    </w:p>
    <w:p>
      <w:pPr>
        <w:pStyle w:val="16"/>
      </w:pPr>
      <w:r>
        <w:rPr>
          <w:rFonts w:ascii="微软雅黑" w:hAnsi="微软雅黑" w:eastAsia="微软雅黑"/>
          <w:b/>
          <w:color w:val="2F5597"/>
          <w:sz w:val="20"/>
        </w:rPr>
        <w:t>主要操作</w:t>
      </w:r>
      <w:r>
        <w:rPr>
          <w:rFonts w:ascii="微软雅黑" w:hAnsi="微软雅黑" w:eastAsia="微软雅黑"/>
          <w:b w:val="0"/>
          <w:sz w:val="20"/>
        </w:rPr>
        <w:t>：按订单号、状态或时间筛选，查看充值金额和到账状态。</w:t>
      </w:r>
    </w:p>
    <w:p>
      <w:pPr>
        <w:pStyle w:val="16"/>
      </w:pPr>
      <w:r>
        <w:rPr>
          <w:rFonts w:ascii="微软雅黑" w:hAnsi="微软雅黑" w:eastAsia="微软雅黑"/>
          <w:b/>
          <w:color w:val="2F5597"/>
          <w:sz w:val="20"/>
        </w:rPr>
        <w:t>使用说明</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：用于查看商户账户资金变动。</w:t>
      </w:r>
    </w:p>
    <w:p>
      <w:pPr>
        <w:pStyle w:val="16"/>
      </w:pPr>
      <w:r>
        <w:rPr>
          <w:rFonts w:ascii="微软雅黑" w:hAnsi="微软雅黑" w:eastAsia="微软雅黑"/>
          <w:b/>
          <w:color w:val="2F5597"/>
          <w:sz w:val="20"/>
        </w:rPr>
        <w:t>主要操作</w:t>
      </w:r>
      <w:r>
        <w:rPr>
          <w:rFonts w:ascii="微软雅黑" w:hAnsi="微软雅黑" w:eastAsia="微软雅黑"/>
          <w:b w:val="0"/>
          <w:sz w:val="20"/>
        </w:rPr>
        <w:t>：按账变类型、时间或订单号筛选，查看金额变化和余额。</w:t>
      </w:r>
    </w:p>
    <w:p>
      <w:pPr>
        <w:pStyle w:val="16"/>
      </w:pPr>
      <w:r>
        <w:rPr>
          <w:rFonts w:ascii="微软雅黑" w:hAnsi="微软雅黑" w:eastAsia="微软雅黑"/>
          <w:b/>
          <w:color w:val="2F5597"/>
          <w:sz w:val="20"/>
        </w:rPr>
        <w:t>使用说明</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：用于查看商户账单和费用结算情况。</w:t>
      </w:r>
    </w:p>
    <w:p>
      <w:pPr>
        <w:pStyle w:val="16"/>
      </w:pPr>
      <w:r>
        <w:rPr>
          <w:rFonts w:ascii="微软雅黑" w:hAnsi="微软雅黑" w:eastAsia="微软雅黑"/>
          <w:b/>
          <w:color w:val="2F5597"/>
          <w:sz w:val="20"/>
        </w:rPr>
        <w:t>主要操作</w:t>
      </w:r>
      <w:r>
        <w:rPr>
          <w:rFonts w:ascii="微软雅黑" w:hAnsi="微软雅黑" w:eastAsia="微软雅黑"/>
          <w:b w:val="0"/>
          <w:sz w:val="20"/>
        </w:rPr>
        <w:t>：按账期或状态筛选，查看账单金额、费用项目和结算状态。</w:t>
      </w:r>
    </w:p>
    <w:p>
      <w:pPr>
        <w:pStyle w:val="16"/>
      </w:pPr>
      <w:r>
        <w:rPr>
          <w:rFonts w:ascii="微软雅黑" w:hAnsi="微软雅黑" w:eastAsia="微软雅黑"/>
          <w:b/>
          <w:color w:val="2F5597"/>
          <w:sz w:val="20"/>
        </w:rPr>
        <w:t>使用说明</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：用于查看站点埋点事件统计。</w:t>
      </w:r>
    </w:p>
    <w:p>
      <w:pPr>
        <w:pStyle w:val="16"/>
      </w:pPr>
      <w:r>
        <w:rPr>
          <w:rFonts w:ascii="微软雅黑" w:hAnsi="微软雅黑" w:eastAsia="微软雅黑"/>
          <w:b/>
          <w:color w:val="2F5597"/>
          <w:sz w:val="20"/>
        </w:rPr>
        <w:t>主要操作</w:t>
      </w:r>
      <w:r>
        <w:rPr>
          <w:rFonts w:ascii="微软雅黑" w:hAnsi="微软雅黑" w:eastAsia="微软雅黑"/>
          <w:b w:val="0"/>
          <w:sz w:val="20"/>
        </w:rPr>
        <w:t>：按事件、页面、渠道或时间筛选，查看触发次数和转化数据。</w:t>
      </w:r>
    </w:p>
    <w:p>
      <w:pPr>
        <w:pStyle w:val="16"/>
      </w:pPr>
      <w:r>
        <w:rPr>
          <w:rFonts w:ascii="微软雅黑" w:hAnsi="微软雅黑" w:eastAsia="微软雅黑"/>
          <w:b/>
          <w:color w:val="2F5597"/>
          <w:sz w:val="20"/>
        </w:rPr>
        <w:t>使用说明</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：用于查看用户访问或行为会话。</w:t>
      </w:r>
    </w:p>
    <w:p>
      <w:pPr>
        <w:pStyle w:val="16"/>
      </w:pPr>
      <w:r>
        <w:rPr>
          <w:rFonts w:ascii="微软雅黑" w:hAnsi="微软雅黑" w:eastAsia="微软雅黑"/>
          <w:b/>
          <w:color w:val="2F5597"/>
          <w:sz w:val="20"/>
        </w:rPr>
        <w:t>主要操作</w:t>
      </w:r>
      <w:r>
        <w:rPr>
          <w:rFonts w:ascii="微软雅黑" w:hAnsi="微软雅黑" w:eastAsia="微软雅黑"/>
          <w:b w:val="0"/>
          <w:sz w:val="20"/>
        </w:rPr>
        <w:t>：按用户、会话 ID、渠道或时间筛选，查看会话轨迹。</w:t>
      </w:r>
    </w:p>
    <w:p>
      <w:pPr>
        <w:pStyle w:val="16"/>
      </w:pPr>
      <w:r>
        <w:rPr>
          <w:rFonts w:ascii="微软雅黑" w:hAnsi="微软雅黑" w:eastAsia="微软雅黑"/>
          <w:b/>
          <w:color w:val="2F5597"/>
          <w:sz w:val="20"/>
        </w:rPr>
        <w:t>使用说明</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：用于查看埋点事件明细流水。</w:t>
      </w:r>
    </w:p>
    <w:p>
      <w:pPr>
        <w:pStyle w:val="16"/>
      </w:pPr>
      <w:r>
        <w:rPr>
          <w:rFonts w:ascii="微软雅黑" w:hAnsi="微软雅黑" w:eastAsia="微软雅黑"/>
          <w:b/>
          <w:color w:val="2F5597"/>
          <w:sz w:val="20"/>
        </w:rPr>
        <w:t>主要操作</w:t>
      </w:r>
      <w:r>
        <w:rPr>
          <w:rFonts w:ascii="微软雅黑" w:hAnsi="微软雅黑" w:eastAsia="微软雅黑"/>
          <w:b w:val="0"/>
          <w:sz w:val="20"/>
        </w:rPr>
        <w:t>：按事件、用户、页面或时间筛选，查看单次事件详情。</w:t>
      </w:r>
    </w:p>
    <w:p>
      <w:pPr>
        <w:pStyle w:val="16"/>
      </w:pPr>
      <w:r>
        <w:rPr>
          <w:rFonts w:ascii="微软雅黑" w:hAnsi="微软雅黑" w:eastAsia="微软雅黑"/>
          <w:b/>
          <w:color w:val="2F5597"/>
          <w:sz w:val="20"/>
        </w:rPr>
        <w:t>使用说明</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：用于管理后台账号和角色归属。</w:t>
      </w:r>
    </w:p>
    <w:p>
      <w:pPr>
        <w:pStyle w:val="16"/>
      </w:pPr>
      <w:r>
        <w:rPr>
          <w:rFonts w:ascii="微软雅黑" w:hAnsi="微软雅黑" w:eastAsia="微软雅黑"/>
          <w:b/>
          <w:color w:val="2F5597"/>
          <w:sz w:val="20"/>
        </w:rPr>
        <w:t>主要操作</w:t>
      </w:r>
      <w:r>
        <w:rPr>
          <w:rFonts w:ascii="微软雅黑" w:hAnsi="微软雅黑" w:eastAsia="微软雅黑"/>
          <w:b w:val="0"/>
          <w:sz w:val="20"/>
        </w:rPr>
        <w:t>：新增、编辑、启用、停用账号，分配系统预设角色。</w:t>
      </w:r>
    </w:p>
    <w:p>
      <w:pPr>
        <w:pStyle w:val="16"/>
      </w:pPr>
      <w:r>
        <w:rPr>
          <w:rFonts w:ascii="微软雅黑" w:hAnsi="微软雅黑" w:eastAsia="微软雅黑"/>
          <w:b/>
          <w:color w:val="2F5597"/>
          <w:sz w:val="20"/>
        </w:rPr>
        <w:t>使用说明</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：用于查看后台管理员登录记录。</w:t>
      </w:r>
    </w:p>
    <w:p>
      <w:pPr>
        <w:pStyle w:val="16"/>
      </w:pPr>
      <w:r>
        <w:rPr>
          <w:rFonts w:ascii="微软雅黑" w:hAnsi="微软雅黑" w:eastAsia="微软雅黑"/>
          <w:b/>
          <w:color w:val="2F5597"/>
          <w:sz w:val="20"/>
        </w:rPr>
        <w:t>主要操作</w:t>
      </w:r>
      <w:r>
        <w:rPr>
          <w:rFonts w:ascii="微软雅黑" w:hAnsi="微软雅黑" w:eastAsia="微软雅黑"/>
          <w:b w:val="0"/>
          <w:sz w:val="20"/>
        </w:rPr>
        <w:t>：按账号、IP、时间或状态筛选，查看登录结果。</w:t>
      </w:r>
    </w:p>
    <w:p>
      <w:pPr>
        <w:pStyle w:val="16"/>
      </w:pPr>
      <w:r>
        <w:rPr>
          <w:rFonts w:ascii="微软雅黑" w:hAnsi="微软雅黑" w:eastAsia="微软雅黑"/>
          <w:b/>
          <w:color w:val="2F5597"/>
          <w:sz w:val="20"/>
        </w:rPr>
        <w:t>使用说明</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：用于查看后台关键操作记录。</w:t>
      </w:r>
    </w:p>
    <w:p>
      <w:pPr>
        <w:pStyle w:val="16"/>
      </w:pPr>
      <w:r>
        <w:rPr>
          <w:rFonts w:ascii="微软雅黑" w:hAnsi="微软雅黑" w:eastAsia="微软雅黑"/>
          <w:b/>
          <w:color w:val="2F5597"/>
          <w:sz w:val="20"/>
        </w:rPr>
        <w:t>主要操作</w:t>
      </w:r>
      <w:r>
        <w:rPr>
          <w:rFonts w:ascii="微软雅黑" w:hAnsi="微软雅黑" w:eastAsia="微软雅黑"/>
          <w:b w:val="0"/>
          <w:sz w:val="20"/>
        </w:rPr>
        <w:t>：按账号、模块、操作类型或时间筛选，查看操作详情。</w:t>
      </w:r>
    </w:p>
    <w:p>
      <w:pPr>
        <w:pStyle w:val="16"/>
      </w:pPr>
      <w:r>
        <w:rPr>
          <w:rFonts w:ascii="微软雅黑" w:hAnsi="微软雅黑" w:eastAsia="微软雅黑"/>
          <w:b/>
          <w:color w:val="2F5597"/>
          <w:sz w:val="20"/>
        </w:rPr>
        <w:t>使用说明</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：用于查看后台系统异常和接口错误记录。</w:t>
      </w:r>
    </w:p>
    <w:p>
      <w:pPr>
        <w:pStyle w:val="16"/>
      </w:pPr>
      <w:r>
        <w:rPr>
          <w:rFonts w:ascii="微软雅黑" w:hAnsi="微软雅黑" w:eastAsia="微软雅黑"/>
          <w:b/>
          <w:color w:val="2F5597"/>
          <w:sz w:val="20"/>
        </w:rPr>
        <w:t>主要操作</w:t>
      </w:r>
      <w:r>
        <w:rPr>
          <w:rFonts w:ascii="微软雅黑" w:hAnsi="微软雅黑" w:eastAsia="微软雅黑"/>
          <w:b w:val="0"/>
          <w:sz w:val="20"/>
        </w:rPr>
        <w:t>：按时间、模块或异常类型筛选，查看错误信息和处理状态。</w:t>
      </w:r>
    </w:p>
    <w:p>
      <w:pPr>
        <w:pStyle w:val="16"/>
      </w:pPr>
      <w:r>
        <w:rPr>
          <w:rFonts w:ascii="微软雅黑" w:hAnsi="微软雅黑" w:eastAsia="微软雅黑"/>
          <w:b/>
          <w:color w:val="2F5597"/>
          <w:sz w:val="20"/>
        </w:rPr>
        <w:t>使用说明</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pPr>
        <w:spacing w:after="60" w:line="276" w:lineRule="auto"/>
      </w:pPr>
    </w:p>
    <w:p>
      <w:pPr>
        <w:spacing w:after="100"/>
      </w:pPr>
    </w:p>
    <w:p>
      <w:pPr>
        <w:spacing w:after="40"/>
      </w:pPr>
    </w:p>
    <w:p>
      <w:pPr>
        <w:spacing w:after="120"/>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40"/>
      </w:pPr>
    </w:p>
    <w:p>
      <w:pPr>
        <w:spacing w:after="12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40"/>
      </w:pPr>
    </w:p>
    <w:p>
      <w:pPr>
        <w:spacing w:after="12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5F63412"/>
    <w:rsid w:val="18FA3DCE"/>
    <w:rsid w:val="1E20265C"/>
    <w:rsid w:val="259865AB"/>
    <w:rsid w:val="308E051A"/>
    <w:rsid w:val="38A20FFB"/>
    <w:rsid w:val="3AEF22C6"/>
    <w:rsid w:val="4E892E94"/>
    <w:rsid w:val="4F407994"/>
    <w:rsid w:val="578C750D"/>
    <w:rsid w:val="61DB474F"/>
    <w:rsid w:val="6E5F3FAE"/>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customXml" Target="../customXml/item1.xml"/><Relationship Id="rId38" Type="http://schemas.openxmlformats.org/officeDocument/2006/relationships/numbering" Target="numbering.xml"/><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18216</Words>
  <Characters>19144</Characters>
  <Lines>0</Lines>
  <Paragraphs>0</Paragraphs>
  <TotalTime>7</TotalTime>
  <ScaleCrop>false</ScaleCrop>
  <LinksUpToDate>false</LinksUpToDate>
  <CharactersWithSpaces>19374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2026-06-08T07:32:09Z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