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：用于设置站点维护状态、维护时间和前台提示内容。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：查看维护配置，新增或编辑维护计划，启用、停用维护状态。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39" name="Picture 3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：用于向平台提交产品、运营或系统使用建议。</w:t>
      </w:r>
    </w:p>
    <w:p>
      <w:pPr>
        <w:pStyle w:val="16"/>
      </w:pPr>
      <w:r>
        <w:rPr>
          <w:rFonts w:ascii="微软雅黑" w:hAnsi="微软雅黑" w:eastAsia="微软雅黑"/>
          <w:b/>
          <w:color w:val="2F5597"/>
          <w:sz w:val="20"/>
        </w:rPr>
        <w:t>主要操作</w:t>
      </w:r>
      <w:r>
        <w:rPr>
          <w:rFonts w:ascii="微软雅黑" w:hAnsi="微软雅黑" w:eastAsia="微软雅黑"/>
          <w:b w:val="0"/>
          <w:sz w:val="20"/>
        </w:rPr>
        <w:t>：填写建议标题、建议内容和联系方式，提交后在列表查看处理状态。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：用于查看玩家提交的投诉、意见和处理状态。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：按会员、状态或时间筛选投诉，查看详情并记录处理结果。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0" name="Picture 4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：用于维护站点宣传内容、推广素材和展示状态。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：新增、编辑、上架、下架宣传内容，检查标题、图片和跳转地址。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：用于配置玩家任务、查看任务状态和管理任务奖励。</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：新增或编辑任务，设置任务条件、奖励、时间范围和启停状态。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：用于维护推广落地页、页面模板和投放链接。</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：新增、编辑、预览、启用或停用落地页，配置标题、素材和跳转地址。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：用于查看活动参与、排名和奖励相关统计。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：按活动、时间或玩家筛选数据，查看排行、参与人数和奖励发放情况。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：用于管理站点优惠活动和活动状态。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：查询活动，新增、编辑、复制、启用、停用或查看活动数据。</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：用于配置幸运转盘活动、奖品和抽奖规则。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：设置奖品、中奖概率、参与条件、活动时间和启停状态。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：用于创建新的优惠活动。</w:t>
      </w:r>
    </w:p>
    <w:p>
      <w:pPr>
        <w:pStyle w:val="16"/>
      </w:pPr>
      <w:r>
        <w:rPr>
          <w:rFonts w:ascii="微软雅黑" w:hAnsi="微软雅黑" w:eastAsia="微软雅黑"/>
          <w:b/>
          <w:color w:val="2F5597"/>
          <w:sz w:val="20"/>
        </w:rPr>
        <w:t>主要操作</w:t>
      </w:r>
      <w:r>
        <w:rPr>
          <w:rFonts w:ascii="微软雅黑" w:hAnsi="微软雅黑" w:eastAsia="微软雅黑"/>
          <w:b w:val="0"/>
          <w:sz w:val="20"/>
        </w:rPr>
        <w:t>：选择活动类型，填写活动信息、规则、奖励、展示素材和时间范围。</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：用于查看活动效果和玩家参与数据。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：按活动和时间筛选，查看参与人数、领取金额、转化效果等指标。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：用于统计优惠活动相关数据。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：按活动、时间、渠道或玩家筛选，查看领取、消耗和转化数据。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：用于管理优惠券、票券模板和发放规则。</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：新增、编辑、启用、停用票券，配置面额、使用门槛和有效期。</w:t>
      </w:r>
    </w:p>
    <w:p>
      <w:pPr>
        <w:pStyle w:val="16"/>
      </w:pPr>
      <w:r>
        <w:rPr>
          <w:rFonts w:ascii="微软雅黑" w:hAnsi="微软雅黑" w:eastAsia="微软雅黑"/>
          <w:b/>
          <w:color w:val="2F5597"/>
          <w:sz w:val="20"/>
        </w:rPr>
        <w:t>使用说明</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：用于查询玩家票券领取和使用记录。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：按玩家、票券、状态或时间筛选，查看使用时间和关联活动。</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：用于维护优惠活动相关的全局规则和默认参数。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：查看并编辑活动通用开关、限制条件和基础配置。</w:t>
      </w:r>
    </w:p>
    <w:p>
      <w:pPr>
        <w:pStyle w:val="16"/>
      </w:pPr>
      <w:r>
        <w:rPr>
          <w:rFonts w:ascii="微软雅黑" w:hAnsi="微软雅黑" w:eastAsia="微软雅黑"/>
          <w:b/>
          <w:color w:val="2F5597"/>
          <w:sz w:val="20"/>
        </w:rPr>
        <w:t>使用说明</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：用于配置会员提现规则和限制。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：设置提现额度、次数、手续费、审核规则和启停状态。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：用于配置会员充值入口、限额和展示规则。</w:t>
      </w:r>
    </w:p>
    <w:p>
      <w:pPr>
        <w:pStyle w:val="16"/>
      </w:pPr>
      <w:r>
        <w:rPr>
          <w:rFonts w:ascii="微软雅黑" w:hAnsi="微软雅黑" w:eastAsia="微软雅黑"/>
          <w:b/>
          <w:color w:val="2F5597"/>
          <w:sz w:val="20"/>
        </w:rPr>
        <w:t>主要操作</w:t>
      </w:r>
      <w:r>
        <w:rPr>
          <w:rFonts w:ascii="微软雅黑" w:hAnsi="微软雅黑" w:eastAsia="微软雅黑"/>
          <w:b w:val="0"/>
          <w:sz w:val="20"/>
        </w:rPr>
        <w:t>：维护充值金额、通道展示、优惠提示和启停状态。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：用于查询会员充值订单和订单状态。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：按会员、订单号、通道、状态或时间筛选，查看订单详情。</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：用于查询会员提现订单和处理进度。</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：按会员、订单号、状态或时间筛选，查看审核和出款信息。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：用于处理触发风控的提现订单。</w:t>
      </w:r>
    </w:p>
    <w:p>
      <w:pPr>
        <w:pStyle w:val="16"/>
      </w:pPr>
      <w:r>
        <w:rPr>
          <w:rFonts w:ascii="微软雅黑" w:hAnsi="微软雅黑" w:eastAsia="微软雅黑"/>
          <w:b/>
          <w:color w:val="2F5597"/>
          <w:sz w:val="20"/>
        </w:rPr>
        <w:t>主要操作</w:t>
      </w:r>
      <w:r>
        <w:rPr>
          <w:rFonts w:ascii="微软雅黑" w:hAnsi="微软雅黑" w:eastAsia="微软雅黑"/>
          <w:b w:val="0"/>
          <w:sz w:val="20"/>
        </w:rPr>
        <w:t>：查看风控原因、会员信息和订单详情，执行通过、拒绝或补充审核。</w:t>
      </w:r>
    </w:p>
    <w:p>
      <w:pPr>
        <w:pStyle w:val="16"/>
      </w:pPr>
      <w:r>
        <w:rPr>
          <w:rFonts w:ascii="微软雅黑" w:hAnsi="微软雅黑" w:eastAsia="微软雅黑"/>
          <w:b/>
          <w:color w:val="2F5597"/>
          <w:sz w:val="20"/>
        </w:rPr>
        <w:t>使用说明</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：用于查看支付通道的交易和成功率数据。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：按通道、时间或状态筛选，查看充值笔数、金额和成功率。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：用于对会员账户执行人工加款或扣款。</w:t>
      </w:r>
    </w:p>
    <w:p>
      <w:pPr>
        <w:pStyle w:val="16"/>
      </w:pPr>
      <w:r>
        <w:rPr>
          <w:rFonts w:ascii="微软雅黑" w:hAnsi="微软雅黑" w:eastAsia="微软雅黑"/>
          <w:b/>
          <w:color w:val="2F5597"/>
          <w:sz w:val="20"/>
        </w:rPr>
        <w:t>主要操作</w:t>
      </w:r>
      <w:r>
        <w:rPr>
          <w:rFonts w:ascii="微软雅黑" w:hAnsi="微软雅黑" w:eastAsia="微软雅黑"/>
          <w:b w:val="0"/>
          <w:sz w:val="20"/>
        </w:rPr>
        <w:t>：填写会员、金额、类型和备注，提交后查看处理结果。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：用于查询会员资金变动明细。</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：按会员、账变类型、订单号或时间筛选，查看余额变化。</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：用于维护资金账变类型和展示名称。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：查看、启用、停用或调整账变类型配置。</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：用于查看和管理会员打码量要求。</w:t>
      </w:r>
    </w:p>
    <w:p>
      <w:pPr>
        <w:pStyle w:val="16"/>
      </w:pPr>
      <w:r>
        <w:rPr>
          <w:rFonts w:ascii="微软雅黑" w:hAnsi="微软雅黑" w:eastAsia="微软雅黑"/>
          <w:b/>
          <w:color w:val="2F5597"/>
          <w:sz w:val="20"/>
        </w:rPr>
        <w:t>主要操作</w:t>
      </w:r>
      <w:r>
        <w:rPr>
          <w:rFonts w:ascii="微软雅黑" w:hAnsi="微软雅黑" w:eastAsia="微软雅黑"/>
          <w:b w:val="0"/>
          <w:sz w:val="20"/>
        </w:rPr>
        <w:t>：查询会员打码进度，核对活动、充值或人工调整产生的打码要求。</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：用于查看站点综合运营数据。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：按时间筛选充值、提现、投注、输赢、会员等关键指标。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：用于查看游戏维度的玩家人数数据。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：按时间、游戏或渠道筛选，查看活跃、投注和参与人数。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spacing w:after="60" w:line="276" w:lineRule="auto"/>
      </w:pP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常用操作</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：用于查看充值用户后续留存情况。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：按首充日期、渠道或站点筛选，查看次日、多日留存。</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：用于查看代理结算明细和结算结果。</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：按代理、结算周期或状态筛选，查看佣金、返水和调整项。</w:t>
      </w:r>
    </w:p>
    <w:p>
      <w:pPr>
        <w:pStyle w:val="16"/>
      </w:pPr>
      <w:r>
        <w:rPr>
          <w:rFonts w:ascii="微软雅黑" w:hAnsi="微软雅黑" w:eastAsia="微软雅黑"/>
          <w:b/>
          <w:color w:val="2F5597"/>
          <w:sz w:val="20"/>
        </w:rPr>
        <w:t>使用说明</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：用于统计各 VIP 等级会员数据。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：按时间或等级查看会员数量、充值、投注和升降级情况。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：用于查看会员、游戏或渠道相关排行。</w:t>
      </w:r>
    </w:p>
    <w:p>
      <w:pPr>
        <w:pStyle w:val="16"/>
      </w:pPr>
      <w:r>
        <w:rPr>
          <w:rFonts w:ascii="微软雅黑" w:hAnsi="微软雅黑" w:eastAsia="微软雅黑"/>
          <w:b/>
          <w:color w:val="2F5597"/>
          <w:sz w:val="20"/>
        </w:rPr>
        <w:t>主要操作</w:t>
      </w:r>
      <w:r>
        <w:rPr>
          <w:rFonts w:ascii="微软雅黑" w:hAnsi="微软雅黑" w:eastAsia="微软雅黑"/>
          <w:b w:val="0"/>
          <w:sz w:val="20"/>
        </w:rPr>
        <w:t>：按指标和时间筛选，查看充值、投注、输赢等排名。</w:t>
      </w:r>
    </w:p>
    <w:p>
      <w:pPr>
        <w:pStyle w:val="16"/>
      </w:pPr>
      <w:r>
        <w:rPr>
          <w:rFonts w:ascii="微软雅黑" w:hAnsi="微软雅黑" w:eastAsia="微软雅黑"/>
          <w:b/>
          <w:color w:val="2F5597"/>
          <w:sz w:val="20"/>
        </w:rPr>
        <w:t>使用说明</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：用于查询玩家游戏投注记录。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：按玩家、游戏、订单号、状态或时间筛选，查看投注明细。</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：用于查看注册或活跃用户的留存情况。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：按日期、渠道或用户分组筛选，查看留存比例。</w:t>
      </w:r>
    </w:p>
    <w:p>
      <w:pPr>
        <w:pStyle w:val="16"/>
      </w:pPr>
      <w:r>
        <w:rPr>
          <w:rFonts w:ascii="微软雅黑" w:hAnsi="微软雅黑" w:eastAsia="微软雅黑"/>
          <w:b/>
          <w:color w:val="2F5597"/>
          <w:sz w:val="20"/>
        </w:rPr>
        <w:t>使用说明</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：用于分析用户结构、活跃和行为数据。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：按时间、渠道或用户类型筛选，查看新增、活跃、充值等指标。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：用于查看用户生命周期价值数据。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：按注册日期、渠道或用户分组筛选，查看不同周期价值表现。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：用于统计活动参与和奖励数据。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：按活动和时间筛选，查看参与人数、奖励金额和转化情况。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：用于查看充值金额、次数和用户分布。</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：按时间、金额区间或渠道筛选，查看充值结构。</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：用于查看任务参与和完成数据。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：按任务和时间筛选，查看参与人数、完成数和奖励发放。</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：用于查询用户分群结果和分群成员。</w:t>
      </w:r>
    </w:p>
    <w:p>
      <w:pPr>
        <w:pStyle w:val="16"/>
      </w:pPr>
      <w:r>
        <w:rPr>
          <w:rFonts w:ascii="微软雅黑" w:hAnsi="微软雅黑" w:eastAsia="微软雅黑"/>
          <w:b/>
          <w:color w:val="2F5597"/>
          <w:sz w:val="20"/>
        </w:rPr>
        <w:t>主要操作</w:t>
      </w:r>
      <w:r>
        <w:rPr>
          <w:rFonts w:ascii="微软雅黑" w:hAnsi="微软雅黑" w:eastAsia="微软雅黑"/>
          <w:b w:val="0"/>
          <w:sz w:val="20"/>
        </w:rPr>
        <w:t>：按分群条件、标签或会员信息筛选，查看命中用户。</w:t>
      </w:r>
    </w:p>
    <w:p>
      <w:pPr>
        <w:pStyle w:val="16"/>
      </w:pPr>
      <w:r>
        <w:rPr>
          <w:rFonts w:ascii="微软雅黑" w:hAnsi="微软雅黑" w:eastAsia="微软雅黑"/>
          <w:b/>
          <w:color w:val="2F5597"/>
          <w:sz w:val="20"/>
        </w:rPr>
        <w:t>使用说明</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：用于维护前台推荐频道和展示内容。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：新增、编辑、排序、启用或停用推荐频道。</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：用于维护游戏类型分类。</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：新增、编辑、排序、启用或停用游戏类型。</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：用于维护游戏频道和频道内游戏展示。</w:t>
      </w:r>
    </w:p>
    <w:p>
      <w:pPr>
        <w:pStyle w:val="16"/>
      </w:pPr>
      <w:r>
        <w:rPr>
          <w:rFonts w:ascii="微软雅黑" w:hAnsi="微软雅黑" w:eastAsia="微软雅黑"/>
          <w:b/>
          <w:color w:val="2F5597"/>
          <w:sz w:val="20"/>
        </w:rPr>
        <w:t>主要操作</w:t>
      </w:r>
      <w:r>
        <w:rPr>
          <w:rFonts w:ascii="微软雅黑" w:hAnsi="微软雅黑" w:eastAsia="微软雅黑"/>
          <w:b w:val="0"/>
          <w:sz w:val="20"/>
        </w:rPr>
        <w:t>：配置频道名称、排序、展示游戏和启停状态。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：用于查看和管理子游戏信息。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：按厂商、类型或状态筛选，启用、停用或调整游戏展示。</w:t>
      </w:r>
    </w:p>
    <w:p>
      <w:pPr>
        <w:pStyle w:val="16"/>
      </w:pPr>
      <w:r>
        <w:rPr>
          <w:rFonts w:ascii="微软雅黑" w:hAnsi="微软雅黑" w:eastAsia="微软雅黑"/>
          <w:b/>
          <w:color w:val="2F5597"/>
          <w:sz w:val="20"/>
        </w:rPr>
        <w:t>使用说明</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：用于查看游戏投注和输赢统计。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：按游戏、厂商或时间筛选，查看投注人数、投注额和输赢。</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：用于查看各游戏厂商数据表现。</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：按厂商和时间筛选，查看投注、输赢和活跃数据。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：用于查看当前在线玩家。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：按会员、渠道或状态筛选，查看在线时间、终端和会员信息。</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：用于查询和管理会员基础信息。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：按会员账号、ID、状态或注册时间筛选，查看资料、余额和行为信息。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 VIP 等级、权益和升级条件。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：设置等级名称、升级条件、保级条件、奖励和启停状态。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：用于查看和处理会员反馈奖励。</w:t>
      </w:r>
    </w:p>
    <w:p>
      <w:pPr>
        <w:pStyle w:val="16"/>
      </w:pPr>
      <w:r>
        <w:rPr>
          <w:rFonts w:ascii="微软雅黑" w:hAnsi="微软雅黑" w:eastAsia="微软雅黑"/>
          <w:b/>
          <w:color w:val="2F5597"/>
          <w:sz w:val="20"/>
        </w:rPr>
        <w:t>主要操作</w:t>
      </w:r>
      <w:r>
        <w:rPr>
          <w:rFonts w:ascii="微软雅黑" w:hAnsi="微软雅黑" w:eastAsia="微软雅黑"/>
          <w:b w:val="0"/>
          <w:sz w:val="20"/>
        </w:rPr>
        <w:t>：筛选反馈记录，查看内容、处理状态并发放或拒绝奖励。</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：用于查询和管理代理账号。</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：按代理账号、状态或时间筛选，查看代理信息和下级数据。</w:t>
      </w:r>
    </w:p>
    <w:p>
      <w:pPr>
        <w:pStyle w:val="16"/>
      </w:pPr>
      <w:r>
        <w:rPr>
          <w:rFonts w:ascii="微软雅黑" w:hAnsi="微软雅黑" w:eastAsia="微软雅黑"/>
          <w:b/>
          <w:color w:val="2F5597"/>
          <w:sz w:val="20"/>
        </w:rPr>
        <w:t>使用说明</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：用于维护代理返佣、返水和结算规则。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：设置代理等级、比例、结算周期和启停状态。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：用于查看代理奖励或佣金领取记录。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：按代理、状态或时间筛选，查看领取金额和处理结果。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：用于查询代理维度的运营数据。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：按代理和时间筛选，查看下级会员、充值、投注和佣金数据。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：用于管理受限制的玩家或风险对象。</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：新增、查询、解除黑名单，查看限制原因和操作记录。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：用于监控疑似异常套利或刷量玩家。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：按玩家、风险类型或时间筛选，查看异常指标和处理记录。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：用于监控玩家游戏获利异常情况。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：按玩家、游戏或时间筛选，查看获利、投注和风险状态。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：用于查看商户基础资料和账户状态。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：查看商户名称、账号信息、联系方式和状态配置。</w:t>
      </w:r>
    </w:p>
    <w:p>
      <w:pPr>
        <w:pStyle w:val="16"/>
      </w:pPr>
      <w:r>
        <w:rPr>
          <w:rFonts w:ascii="微软雅黑" w:hAnsi="微软雅黑" w:eastAsia="微软雅黑"/>
          <w:b/>
          <w:color w:val="2F5597"/>
          <w:sz w:val="20"/>
        </w:rPr>
        <w:t>使用说明</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：用于商户账户充值。</w:t>
      </w:r>
    </w:p>
    <w:p>
      <w:pPr>
        <w:pStyle w:val="16"/>
      </w:pPr>
      <w:r>
        <w:rPr>
          <w:rFonts w:ascii="微软雅黑" w:hAnsi="微软雅黑" w:eastAsia="微软雅黑"/>
          <w:b/>
          <w:color w:val="2F5597"/>
          <w:sz w:val="20"/>
        </w:rPr>
        <w:t>主要操作</w:t>
      </w:r>
      <w:r>
        <w:rPr>
          <w:rFonts w:ascii="微软雅黑" w:hAnsi="微软雅黑" w:eastAsia="微软雅黑"/>
          <w:b w:val="0"/>
          <w:sz w:val="20"/>
        </w:rPr>
        <w:t>：选择充值方式，填写金额并提交充值申请。</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：用于查询商户充值记录。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：按订单号、状态或时间筛选，查看充值金额和到账状态。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：用于查看商户账户资金变动。</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：按账变类型、时间或订单号筛选，查看金额变化和余额。</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：用于查看商户账单和费用结算情况。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：按账期或状态筛选，查看账单金额、费用项目和结算状态。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：用于查看站点埋点事件统计。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：按事件、页面、渠道或时间筛选，查看触发次数和转化数据。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：用于查看用户访问或行为会话。</w:t>
      </w:r>
    </w:p>
    <w:p>
      <w:pPr>
        <w:pStyle w:val="16"/>
      </w:pPr>
      <w:r>
        <w:rPr>
          <w:rFonts w:ascii="微软雅黑" w:hAnsi="微软雅黑" w:eastAsia="微软雅黑"/>
          <w:b/>
          <w:color w:val="2F5597"/>
          <w:sz w:val="20"/>
        </w:rPr>
        <w:t>主要操作</w:t>
      </w:r>
      <w:r>
        <w:rPr>
          <w:rFonts w:ascii="微软雅黑" w:hAnsi="微软雅黑" w:eastAsia="微软雅黑"/>
          <w:b w:val="0"/>
          <w:sz w:val="20"/>
        </w:rPr>
        <w:t>：按用户、会话 ID、渠道或时间筛选，查看会话轨迹。</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：用于查看埋点事件明细流水。</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：按事件、用户、页面或时间筛选，查看单次事件详情。</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：用于管理后台账号和角色归属。</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：新增、编辑、启用、停用账号，分配系统预设角色。</w:t>
      </w:r>
    </w:p>
    <w:p>
      <w:pPr>
        <w:pStyle w:val="16"/>
      </w:pPr>
      <w:r>
        <w:rPr>
          <w:rFonts w:ascii="微软雅黑" w:hAnsi="微软雅黑" w:eastAsia="微软雅黑"/>
          <w:b/>
          <w:color w:val="2F5597"/>
          <w:sz w:val="20"/>
        </w:rPr>
        <w:t>使用说明</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：用于查看后台管理员登录记录。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：按账号、IP、时间或状态筛选，查看登录结果。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：用于查看后台关键操作记录。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：按账号、模块、操作类型或时间筛选，查看操作详情。</w:t>
      </w:r>
    </w:p>
    <w:p>
      <w:pPr>
        <w:pStyle w:val="16"/>
      </w:pPr>
      <w:r>
        <w:rPr>
          <w:rFonts w:ascii="微软雅黑" w:hAnsi="微软雅黑" w:eastAsia="微软雅黑"/>
          <w:b/>
          <w:color w:val="2F5597"/>
          <w:sz w:val="20"/>
        </w:rPr>
        <w:t>使用说明</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：用于查看后台系统异常和接口错误记录。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：按时间、模块或异常类型筛选，查看错误信息和处理状态。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